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4"/>
          <w:szCs w:val="24"/>
          <w:color w:val="auto"/>
        </w:rPr>
      </w:pPr>
    </w:p>
    <w:p>
      <w:pPr>
        <w:ind w:left="8020"/>
        <w:spacing w:after="0"/>
        <w:rPr>
          <w:sz w:val="20"/>
          <w:szCs w:val="20"/>
          <w:color w:val="auto"/>
        </w:rPr>
      </w:pPr>
      <w:r>
        <w:rPr>
          <w:rFonts w:ascii="Arial" w:cs="Arial" w:eastAsia="Arial" w:hAnsi="Arial"/>
          <w:sz w:val="18"/>
          <w:szCs w:val="18"/>
          <w:color w:val="auto"/>
        </w:rPr>
        <w:t>Filed pursuant to Rule 424(b)(4)</w:t>
      </w:r>
    </w:p>
    <w:p>
      <w:pPr>
        <w:ind w:left="8020"/>
        <w:spacing w:after="0"/>
        <w:rPr>
          <w:sz w:val="20"/>
          <w:szCs w:val="20"/>
          <w:color w:val="auto"/>
        </w:rPr>
      </w:pPr>
      <w:r>
        <w:rPr>
          <w:rFonts w:ascii="Arial" w:cs="Arial" w:eastAsia="Arial" w:hAnsi="Arial"/>
          <w:sz w:val="18"/>
          <w:szCs w:val="18"/>
          <w:color w:val="auto"/>
        </w:rPr>
        <w:t>Registration No. 333-235968</w:t>
      </w:r>
    </w:p>
    <w:p>
      <w:pPr>
        <w:spacing w:after="0" w:line="122"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181" w:lineRule="exact"/>
        <w:rPr>
          <w:sz w:val="24"/>
          <w:szCs w:val="24"/>
          <w:color w:val="auto"/>
        </w:rPr>
      </w:pPr>
    </w:p>
    <w:p>
      <w:pPr>
        <w:ind w:left="200"/>
        <w:spacing w:after="0"/>
        <w:rPr>
          <w:sz w:val="20"/>
          <w:szCs w:val="20"/>
          <w:color w:val="auto"/>
        </w:rPr>
      </w:pPr>
      <w:r>
        <w:rPr>
          <w:rFonts w:ascii="Arial" w:cs="Arial" w:eastAsia="Arial" w:hAnsi="Arial"/>
          <w:sz w:val="32"/>
          <w:szCs w:val="32"/>
          <w:b w:val="1"/>
          <w:bCs w:val="1"/>
          <w:i w:val="1"/>
          <w:iCs w:val="1"/>
          <w:color w:val="auto"/>
        </w:rPr>
        <w:t>14,000,000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175260</wp:posOffset>
            </wp:positionV>
            <wp:extent cx="203263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200"/>
        <w:spacing w:after="0"/>
        <w:rPr>
          <w:sz w:val="20"/>
          <w:szCs w:val="20"/>
          <w:color w:val="auto"/>
        </w:rPr>
      </w:pPr>
      <w:r>
        <w:rPr>
          <w:rFonts w:ascii="Arial" w:cs="Arial" w:eastAsia="Arial" w:hAnsi="Arial"/>
          <w:sz w:val="32"/>
          <w:szCs w:val="32"/>
          <w:b w:val="1"/>
          <w:bCs w:val="1"/>
          <w:i w:val="1"/>
          <w:iCs w:val="1"/>
          <w:color w:val="auto"/>
        </w:rPr>
        <w:t>Common stock</w:t>
      </w:r>
    </w:p>
    <w:p>
      <w:pPr>
        <w:spacing w:after="0" w:line="212" w:lineRule="exact"/>
        <w:rPr>
          <w:sz w:val="24"/>
          <w:szCs w:val="24"/>
          <w:color w:val="auto"/>
        </w:rPr>
      </w:pPr>
    </w:p>
    <w:p>
      <w:pPr>
        <w:ind w:left="200" w:right="320"/>
        <w:spacing w:after="0" w:line="239" w:lineRule="auto"/>
        <w:rPr>
          <w:sz w:val="20"/>
          <w:szCs w:val="20"/>
          <w:color w:val="auto"/>
        </w:rPr>
      </w:pPr>
      <w:r>
        <w:rPr>
          <w:rFonts w:ascii="Arial" w:cs="Arial" w:eastAsia="Arial" w:hAnsi="Arial"/>
          <w:sz w:val="18"/>
          <w:szCs w:val="18"/>
          <w:color w:val="auto"/>
        </w:rPr>
        <w:t>This is the initial public offering of shares of common stock of Revolution Medicines, Inc. We are selling 14,000,000 shares of our common stock. The initial public offering price is $17.00 per share.</w:t>
      </w:r>
    </w:p>
    <w:p>
      <w:pPr>
        <w:spacing w:after="0" w:line="155"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Prior to this offering, there has been no public market for our common stock.</w:t>
      </w:r>
    </w:p>
    <w:p>
      <w:pPr>
        <w:spacing w:after="0" w:line="1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“RVMD.”</w:t>
      </w:r>
    </w:p>
    <w:p>
      <w:pPr>
        <w:spacing w:after="0" w:line="158" w:lineRule="exact"/>
        <w:rPr>
          <w:sz w:val="24"/>
          <w:szCs w:val="24"/>
          <w:color w:val="auto"/>
        </w:rPr>
      </w:pPr>
    </w:p>
    <w:p>
      <w:pPr>
        <w:ind w:left="200" w:right="700"/>
        <w:spacing w:after="0" w:line="239"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for this prospectus and may elect to do so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2" w:lineRule="exact"/>
        <w:rPr>
          <w:sz w:val="24"/>
          <w:szCs w:val="24"/>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2"/>
          </w:tcPr>
          <w:p>
            <w:pPr>
              <w:ind w:left="2940"/>
              <w:spacing w:after="0"/>
              <w:rPr>
                <w:sz w:val="20"/>
                <w:szCs w:val="20"/>
                <w:color w:val="auto"/>
              </w:rPr>
            </w:pPr>
            <w:r>
              <w:rPr>
                <w:rFonts w:ascii="Arial" w:cs="Arial" w:eastAsia="Arial" w:hAnsi="Arial"/>
                <w:sz w:val="18"/>
                <w:szCs w:val="18"/>
                <w:b w:val="1"/>
                <w:bCs w:val="1"/>
                <w:color w:val="auto"/>
              </w:rPr>
              <w:t>Per share</w:t>
            </w:r>
          </w:p>
        </w:tc>
        <w:tc>
          <w:tcPr>
            <w:tcW w:w="14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Total</w:t>
            </w:r>
          </w:p>
        </w:tc>
      </w:tr>
      <w:tr>
        <w:trPr>
          <w:trHeight w:val="115"/>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3160" w:type="dxa"/>
            <w:vAlign w:val="bottom"/>
            <w:shd w:val="clear" w:color="auto" w:fill="CCEEFF"/>
          </w:tcPr>
          <w:p>
            <w:pPr>
              <w:ind w:left="29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17.00</w:t>
            </w:r>
          </w:p>
        </w:tc>
        <w:tc>
          <w:tcPr>
            <w:tcW w:w="4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238,000,000</w:t>
            </w:r>
          </w:p>
        </w:tc>
        <w:tc>
          <w:tcPr>
            <w:tcW w:w="60" w:type="dxa"/>
            <w:vAlign w:val="bottom"/>
            <w:shd w:val="clear" w:color="auto" w:fill="CCEEFF"/>
          </w:tcPr>
          <w:p>
            <w:pPr>
              <w:spacing w:after="0"/>
              <w:rPr>
                <w:sz w:val="17"/>
                <w:szCs w:val="17"/>
                <w:color w:val="auto"/>
              </w:rPr>
            </w:pPr>
          </w:p>
        </w:tc>
      </w:tr>
      <w:tr>
        <w:trPr>
          <w:trHeight w:val="349"/>
        </w:trPr>
        <w:tc>
          <w:tcPr>
            <w:tcW w:w="5540" w:type="dxa"/>
            <w:vAlign w:val="bottom"/>
            <w:gridSpan w:val="2"/>
          </w:tcPr>
          <w:p>
            <w:pPr>
              <w:spacing w:after="0"/>
              <w:rPr>
                <w:sz w:val="20"/>
                <w:szCs w:val="20"/>
                <w:color w:val="auto"/>
              </w:rPr>
            </w:pPr>
            <w:r>
              <w:rPr>
                <w:rFonts w:ascii="Arial" w:cs="Arial" w:eastAsia="Arial" w:hAnsi="Arial"/>
                <w:sz w:val="18"/>
                <w:szCs w:val="18"/>
                <w:color w:val="auto"/>
              </w:rPr>
              <w:t>Underwriting discounts(1)</w:t>
            </w:r>
          </w:p>
        </w:tc>
        <w:tc>
          <w:tcPr>
            <w:tcW w:w="3160" w:type="dxa"/>
            <w:vAlign w:val="bottom"/>
          </w:tcPr>
          <w:p>
            <w:pPr>
              <w:ind w:left="29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1.19</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16,660,000</w:t>
            </w:r>
          </w:p>
        </w:tc>
        <w:tc>
          <w:tcPr>
            <w:tcW w:w="60" w:type="dxa"/>
            <w:vAlign w:val="bottom"/>
          </w:tcPr>
          <w:p>
            <w:pPr>
              <w:spacing w:after="0"/>
              <w:rPr>
                <w:sz w:val="24"/>
                <w:szCs w:val="24"/>
                <w:color w:val="auto"/>
              </w:rPr>
            </w:pPr>
          </w:p>
        </w:tc>
      </w:tr>
      <w:tr>
        <w:trPr>
          <w:trHeight w:val="124"/>
        </w:trPr>
        <w:tc>
          <w:tcPr>
            <w:tcW w:w="5540" w:type="dxa"/>
            <w:vAlign w:val="bottom"/>
            <w:gridSpan w:val="2"/>
          </w:tcPr>
          <w:p>
            <w:pPr>
              <w:spacing w:after="0"/>
              <w:rPr>
                <w:sz w:val="10"/>
                <w:szCs w:val="10"/>
                <w:color w:val="auto"/>
              </w:rPr>
            </w:pPr>
          </w:p>
        </w:tc>
        <w:tc>
          <w:tcPr>
            <w:tcW w:w="3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3160" w:type="dxa"/>
            <w:vAlign w:val="bottom"/>
            <w:shd w:val="clear" w:color="auto" w:fill="CCEEFF"/>
          </w:tcPr>
          <w:p>
            <w:pPr>
              <w:ind w:left="29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15.81</w:t>
            </w:r>
          </w:p>
        </w:tc>
        <w:tc>
          <w:tcPr>
            <w:tcW w:w="4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221,340,000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the section titled “Underwriting” beginning on page 214 for additional information regarding compensation payable to the underwriters.</w:t>
      </w:r>
    </w:p>
    <w:p>
      <w:pPr>
        <w:spacing w:after="0" w:line="153" w:lineRule="exact"/>
        <w:rPr>
          <w:sz w:val="24"/>
          <w:szCs w:val="24"/>
          <w:color w:val="auto"/>
        </w:rPr>
      </w:pPr>
    </w:p>
    <w:p>
      <w:pPr>
        <w:ind w:left="200" w:right="260"/>
        <w:spacing w:after="0" w:line="238" w:lineRule="auto"/>
        <w:rPr>
          <w:sz w:val="20"/>
          <w:szCs w:val="20"/>
          <w:color w:val="auto"/>
        </w:rPr>
      </w:pPr>
      <w:r>
        <w:rPr>
          <w:rFonts w:ascii="Arial" w:cs="Arial" w:eastAsia="Arial" w:hAnsi="Arial"/>
          <w:sz w:val="18"/>
          <w:szCs w:val="18"/>
          <w:color w:val="auto"/>
        </w:rPr>
        <w:t>We have granted the underwriters an option to purchase up to an additional 2,100,000 shares from us at the initial public offering price less the underwriting discounts and commissions. The underwriters may exercise this right at any time within 30 days after the date of this prospectus.</w:t>
      </w:r>
    </w:p>
    <w:p>
      <w:pPr>
        <w:spacing w:after="0" w:line="132" w:lineRule="exact"/>
        <w:rPr>
          <w:sz w:val="24"/>
          <w:szCs w:val="24"/>
          <w:color w:val="auto"/>
        </w:rPr>
      </w:pPr>
    </w:p>
    <w:p>
      <w:pPr>
        <w:ind w:left="200" w:right="36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the section titled “</w:t>
      </w:r>
      <w:hyperlink w:anchor="page1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12 to read about factors you should consider before buying shares of our common stock.</w:t>
      </w:r>
    </w:p>
    <w:p>
      <w:pPr>
        <w:spacing w:after="0" w:line="112" w:lineRule="exact"/>
        <w:rPr>
          <w:sz w:val="24"/>
          <w:szCs w:val="24"/>
          <w:color w:val="auto"/>
        </w:rPr>
      </w:pPr>
    </w:p>
    <w:p>
      <w:pPr>
        <w:ind w:left="200" w:right="80"/>
        <w:spacing w:after="0" w:line="328" w:lineRule="auto"/>
        <w:rPr>
          <w:sz w:val="20"/>
          <w:szCs w:val="20"/>
          <w:color w:val="auto"/>
        </w:rPr>
      </w:pPr>
      <w:r>
        <w:rPr>
          <w:rFonts w:ascii="Arial" w:cs="Arial" w:eastAsia="Arial" w:hAnsi="Arial"/>
          <w:sz w:val="16"/>
          <w:szCs w:val="16"/>
          <w:b w:val="1"/>
          <w:bCs w:val="1"/>
          <w:color w:val="auto"/>
        </w:rPr>
        <w:t>Neither the Securities and Exchange Commission nor any other state securities commission has approved or disapproved of these securities, or passed upon the adequacy or accuracy of this prospectus. Any representation to the contrary is a criminal offense.</w:t>
      </w:r>
    </w:p>
    <w:p>
      <w:pPr>
        <w:spacing w:after="0" w:line="86"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The underwriters expect to deliver the shares against payment in New York, New York on February 18, 2020.</w:t>
      </w:r>
    </w:p>
    <w:p>
      <w:pPr>
        <w:sectPr>
          <w:pgSz w:w="11900" w:h="16838" w:orient="portrait"/>
          <w:cols w:equalWidth="0" w:num="1">
            <w:col w:w="11240"/>
          </w:cols>
          <w:pgMar w:left="240" w:top="230" w:right="419" w:bottom="1440" w:gutter="0" w:footer="0" w:header="0"/>
        </w:sectPr>
      </w:pPr>
    </w:p>
    <w:p>
      <w:pPr>
        <w:spacing w:after="0" w:line="226" w:lineRule="exact"/>
        <w:rPr>
          <w:sz w:val="24"/>
          <w:szCs w:val="24"/>
          <w:color w:val="auto"/>
        </w:rPr>
      </w:pPr>
    </w:p>
    <w:p>
      <w:pPr>
        <w:ind w:left="200"/>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jc w:val="center"/>
        <w:ind w:right="160"/>
        <w:spacing w:after="0"/>
        <w:rPr>
          <w:sz w:val="20"/>
          <w:szCs w:val="20"/>
          <w:color w:val="auto"/>
        </w:rPr>
      </w:pPr>
      <w:r>
        <w:rPr>
          <w:rFonts w:ascii="Arial" w:cs="Arial" w:eastAsia="Arial" w:hAnsi="Arial"/>
          <w:sz w:val="32"/>
          <w:szCs w:val="32"/>
          <w:b w:val="1"/>
          <w:bCs w:val="1"/>
          <w:color w:val="auto"/>
        </w:rPr>
        <w:t>Cowen</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SVB Leerink</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Guggenheim Securities</w:t>
      </w:r>
    </w:p>
    <w:p>
      <w:pPr>
        <w:spacing w:after="0" w:line="190" w:lineRule="exact"/>
        <w:rPr>
          <w:sz w:val="24"/>
          <w:szCs w:val="24"/>
          <w:color w:val="auto"/>
        </w:rPr>
      </w:pPr>
    </w:p>
    <w:p>
      <w:pPr>
        <w:sectPr>
          <w:pgSz w:w="11900" w:h="16838" w:orient="portrait"/>
          <w:cols w:equalWidth="0" w:num="4">
            <w:col w:w="2160" w:space="720"/>
            <w:col w:w="1220" w:space="720"/>
            <w:col w:w="2060" w:space="720"/>
            <w:col w:w="3640"/>
          </w:cols>
          <w:pgMar w:left="240" w:top="230"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Prospectus dated February 12, 2020</w:t>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94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Prospectus summary</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178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Risk factors</w:t>
              </w:r>
            </w:hyperlink>
          </w:p>
        </w:tc>
        <w:tc>
          <w:tcPr>
            <w:tcW w:w="7160" w:type="dxa"/>
            <w:vAlign w:val="bottom"/>
            <w:gridSpan w:val="14"/>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Special note regarding forward-looking statements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424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Market and industry data</w:t>
              </w:r>
            </w:hyperlink>
          </w:p>
        </w:tc>
        <w:tc>
          <w:tcPr>
            <w:tcW w:w="4700" w:type="dxa"/>
            <w:vAlign w:val="bottom"/>
            <w:gridSpan w:val="5"/>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0"/>
        </w:trPr>
        <w:tc>
          <w:tcPr>
            <w:tcW w:w="208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Use of proceeds</w:t>
              </w:r>
            </w:hyperlink>
          </w:p>
        </w:tc>
        <w:tc>
          <w:tcPr>
            <w:tcW w:w="6860" w:type="dxa"/>
            <w:vAlign w:val="bottom"/>
            <w:gridSpan w:val="12"/>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136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Dividend policy</w:t>
              </w:r>
            </w:hyperlink>
          </w:p>
        </w:tc>
        <w:tc>
          <w:tcPr>
            <w:tcW w:w="7580" w:type="dxa"/>
            <w:vAlign w:val="bottom"/>
            <w:gridSpan w:val="15"/>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50"/>
        </w:trPr>
        <w:tc>
          <w:tcPr>
            <w:tcW w:w="130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Capitalization</w:t>
              </w:r>
            </w:hyperlink>
          </w:p>
        </w:tc>
        <w:tc>
          <w:tcPr>
            <w:tcW w:w="7640" w:type="dxa"/>
            <w:vAlign w:val="bottom"/>
            <w:gridSpan w:val="16"/>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66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5"/>
              </w:rPr>
            </w:pPr>
            <w:hyperlink w:anchor="page80">
              <w:r>
                <w:rPr>
                  <w:rFonts w:ascii="Arial" w:cs="Arial" w:eastAsia="Arial" w:hAnsi="Arial"/>
                  <w:sz w:val="18"/>
                  <w:szCs w:val="18"/>
                  <w:b w:val="1"/>
                  <w:bCs w:val="1"/>
                  <w:color w:val="0000EE"/>
                  <w:w w:val="95"/>
                </w:rPr>
                <w:t>Dilution</w:t>
              </w:r>
            </w:hyperlink>
          </w:p>
        </w:tc>
        <w:tc>
          <w:tcPr>
            <w:tcW w:w="480" w:type="dxa"/>
            <w:vAlign w:val="bottom"/>
            <w:tcBorders>
              <w:top w:val="single" w:sz="8" w:color="0000EE"/>
            </w:tcBorders>
            <w:gridSpan w:val="4"/>
          </w:tcPr>
          <w:p>
            <w:pPr>
              <w:spacing w:after="0"/>
              <w:rPr>
                <w:sz w:val="21"/>
                <w:szCs w:val="21"/>
                <w:color w:val="auto"/>
              </w:rPr>
            </w:pPr>
          </w:p>
        </w:tc>
        <w:tc>
          <w:tcPr>
            <w:tcW w:w="7800" w:type="dxa"/>
            <w:vAlign w:val="bottom"/>
            <w:gridSpan w:val="17"/>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Selected consolidated financial data</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6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Unaudited pro forma condensed combined financial statements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6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Management’s discussion and analysis of financial condition and results of operations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50"/>
        </w:trPr>
        <w:tc>
          <w:tcPr>
            <w:tcW w:w="7240" w:type="dxa"/>
            <w:vAlign w:val="bottom"/>
            <w:tcBorders>
              <w:top w:val="single" w:sz="8" w:color="0000EE"/>
            </w:tcBorders>
            <w:gridSpan w:val="22"/>
          </w:tcPr>
          <w:p>
            <w:pPr>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Business</w:t>
              </w:r>
            </w:hyperlink>
          </w:p>
        </w:tc>
        <w:tc>
          <w:tcPr>
            <w:tcW w:w="17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6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108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172">
              <w:r>
                <w:rPr>
                  <w:rFonts w:ascii="Arial" w:cs="Arial" w:eastAsia="Arial" w:hAnsi="Arial"/>
                  <w:sz w:val="18"/>
                  <w:szCs w:val="18"/>
                  <w:b w:val="1"/>
                  <w:bCs w:val="1"/>
                  <w:color w:val="0000EE"/>
                  <w:w w:val="96"/>
                </w:rPr>
                <w:t>Management</w:t>
              </w:r>
            </w:hyperlink>
          </w:p>
        </w:tc>
        <w:tc>
          <w:tcPr>
            <w:tcW w:w="7860" w:type="dxa"/>
            <w:vAlign w:val="bottom"/>
            <w:gridSpan w:val="18"/>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50"/>
        </w:trPr>
        <w:tc>
          <w:tcPr>
            <w:tcW w:w="3140" w:type="dxa"/>
            <w:vAlign w:val="bottom"/>
            <w:tcBorders>
              <w:bottom w:val="single" w:sz="8" w:color="0000EE"/>
            </w:tcBorders>
            <w:gridSpan w:val="16"/>
          </w:tcPr>
          <w:p>
            <w:pPr>
              <w:spacing w:after="0"/>
              <w:rPr>
                <w:rFonts w:ascii="Arial" w:cs="Arial" w:eastAsia="Arial" w:hAnsi="Arial"/>
                <w:sz w:val="18"/>
                <w:szCs w:val="18"/>
                <w:b w:val="1"/>
                <w:bCs w:val="1"/>
                <w:color w:val="0000EE"/>
                <w:w w:val="97"/>
              </w:rPr>
            </w:pPr>
            <w:hyperlink w:anchor="page181">
              <w:r>
                <w:rPr>
                  <w:rFonts w:ascii="Arial" w:cs="Arial" w:eastAsia="Arial" w:hAnsi="Arial"/>
                  <w:sz w:val="18"/>
                  <w:szCs w:val="18"/>
                  <w:b w:val="1"/>
                  <w:bCs w:val="1"/>
                  <w:color w:val="0000EE"/>
                  <w:w w:val="97"/>
                </w:rPr>
                <w:t>Executive and director compensation</w:t>
              </w:r>
            </w:hyperlink>
          </w:p>
        </w:tc>
        <w:tc>
          <w:tcPr>
            <w:tcW w:w="5800" w:type="dxa"/>
            <w:vAlign w:val="bottom"/>
            <w:gridSpan w:val="7"/>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196">
              <w:r>
                <w:rPr>
                  <w:rFonts w:ascii="Arial" w:cs="Arial" w:eastAsia="Arial" w:hAnsi="Arial"/>
                  <w:sz w:val="18"/>
                  <w:szCs w:val="18"/>
                  <w:b w:val="1"/>
                  <w:bCs w:val="1"/>
                  <w:color w:val="0000EE"/>
                </w:rPr>
                <w:t>Certain relationships and related party transactions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50"/>
        </w:trPr>
        <w:tc>
          <w:tcPr>
            <w:tcW w:w="430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201">
              <w:r>
                <w:rPr>
                  <w:rFonts w:ascii="Arial" w:cs="Arial" w:eastAsia="Arial" w:hAnsi="Arial"/>
                  <w:sz w:val="18"/>
                  <w:szCs w:val="18"/>
                  <w:b w:val="1"/>
                  <w:bCs w:val="1"/>
                  <w:color w:val="0000EE"/>
                </w:rPr>
                <w:t>Principal stockholders</w:t>
              </w:r>
            </w:hyperlink>
          </w:p>
        </w:tc>
        <w:tc>
          <w:tcPr>
            <w:tcW w:w="4640" w:type="dxa"/>
            <w:vAlign w:val="bottom"/>
            <w:gridSpan w:val="4"/>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6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2300" w:type="dxa"/>
            <w:vAlign w:val="bottom"/>
            <w:tcBorders>
              <w:bottom w:val="single" w:sz="8" w:color="0000EE"/>
            </w:tcBorders>
            <w:gridSpan w:val="12"/>
          </w:tcPr>
          <w:p>
            <w:pPr>
              <w:spacing w:after="0"/>
              <w:rPr>
                <w:rFonts w:ascii="Arial" w:cs="Arial" w:eastAsia="Arial" w:hAnsi="Arial"/>
                <w:sz w:val="18"/>
                <w:szCs w:val="18"/>
                <w:b w:val="1"/>
                <w:bCs w:val="1"/>
                <w:color w:val="0000EE"/>
                <w:w w:val="96"/>
              </w:rPr>
            </w:pPr>
            <w:hyperlink w:anchor="page204">
              <w:r>
                <w:rPr>
                  <w:rFonts w:ascii="Arial" w:cs="Arial" w:eastAsia="Arial" w:hAnsi="Arial"/>
                  <w:sz w:val="18"/>
                  <w:szCs w:val="18"/>
                  <w:b w:val="1"/>
                  <w:bCs w:val="1"/>
                  <w:color w:val="0000EE"/>
                  <w:w w:val="96"/>
                </w:rPr>
                <w:t>Description of capital stock</w:t>
              </w:r>
            </w:hyperlink>
          </w:p>
        </w:tc>
        <w:tc>
          <w:tcPr>
            <w:tcW w:w="6640" w:type="dxa"/>
            <w:vAlign w:val="bottom"/>
            <w:gridSpan w:val="11"/>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210">
              <w:r>
                <w:rPr>
                  <w:rFonts w:ascii="Arial" w:cs="Arial" w:eastAsia="Arial" w:hAnsi="Arial"/>
                  <w:sz w:val="18"/>
                  <w:szCs w:val="18"/>
                  <w:b w:val="1"/>
                  <w:bCs w:val="1"/>
                  <w:color w:val="0000EE"/>
                </w:rPr>
                <w:t>Shares eligible for future sale</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0"/>
        </w:trPr>
        <w:tc>
          <w:tcPr>
            <w:tcW w:w="6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213">
              <w:r>
                <w:rPr>
                  <w:rFonts w:ascii="Arial" w:cs="Arial" w:eastAsia="Arial" w:hAnsi="Arial"/>
                  <w:sz w:val="18"/>
                  <w:szCs w:val="18"/>
                  <w:b w:val="1"/>
                  <w:bCs w:val="1"/>
                  <w:color w:val="0000EE"/>
                </w:rPr>
                <w:t>Material U.S. federal income tax consequences to non-U.S. holders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50"/>
        </w:trPr>
        <w:tc>
          <w:tcPr>
            <w:tcW w:w="5580" w:type="dxa"/>
            <w:vAlign w:val="bottom"/>
            <w:tcBorders>
              <w:top w:val="single" w:sz="8" w:color="0000EE"/>
            </w:tcBorders>
            <w:gridSpan w:val="21"/>
          </w:tcPr>
          <w:p>
            <w:pPr>
              <w:spacing w:after="0"/>
              <w:rPr>
                <w:rFonts w:ascii="Arial" w:cs="Arial" w:eastAsia="Arial" w:hAnsi="Arial"/>
                <w:sz w:val="18"/>
                <w:szCs w:val="18"/>
                <w:b w:val="1"/>
                <w:bCs w:val="1"/>
                <w:color w:val="0000EE"/>
              </w:rPr>
            </w:pPr>
            <w:hyperlink w:anchor="page217">
              <w:r>
                <w:rPr>
                  <w:rFonts w:ascii="Arial" w:cs="Arial" w:eastAsia="Arial" w:hAnsi="Arial"/>
                  <w:sz w:val="18"/>
                  <w:szCs w:val="18"/>
                  <w:b w:val="1"/>
                  <w:bCs w:val="1"/>
                  <w:color w:val="0000EE"/>
                </w:rPr>
                <w:t>Underwriting</w:t>
              </w:r>
            </w:hyperlink>
          </w:p>
        </w:tc>
        <w:tc>
          <w:tcPr>
            <w:tcW w:w="3360" w:type="dxa"/>
            <w:vAlign w:val="bottom"/>
            <w:gridSpan w:val="2"/>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0"/>
        </w:trPr>
        <w:tc>
          <w:tcPr>
            <w:tcW w:w="6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228">
              <w:r>
                <w:rPr>
                  <w:rFonts w:ascii="Arial" w:cs="Arial" w:eastAsia="Arial" w:hAnsi="Arial"/>
                  <w:sz w:val="18"/>
                  <w:szCs w:val="18"/>
                  <w:b w:val="1"/>
                  <w:bCs w:val="1"/>
                  <w:color w:val="0000EE"/>
                </w:rPr>
                <w:t>Legal matters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50"/>
        </w:trPr>
        <w:tc>
          <w:tcPr>
            <w:tcW w:w="114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228">
              <w:r>
                <w:rPr>
                  <w:rFonts w:ascii="Arial" w:cs="Arial" w:eastAsia="Arial" w:hAnsi="Arial"/>
                  <w:sz w:val="18"/>
                  <w:szCs w:val="18"/>
                  <w:b w:val="1"/>
                  <w:bCs w:val="1"/>
                  <w:color w:val="0000EE"/>
                </w:rPr>
                <w:t>Experts</w:t>
              </w:r>
            </w:hyperlink>
          </w:p>
        </w:tc>
        <w:tc>
          <w:tcPr>
            <w:tcW w:w="7800" w:type="dxa"/>
            <w:vAlign w:val="bottom"/>
            <w:gridSpan w:val="17"/>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640" w:type="dxa"/>
            <w:vAlign w:val="bottom"/>
            <w:shd w:val="clear" w:color="auto" w:fill="0000EE"/>
          </w:tcPr>
          <w:p>
            <w:pPr>
              <w:spacing w:after="0" w:line="20" w:lineRule="exact"/>
              <w:rPr>
                <w:sz w:val="1"/>
                <w:szCs w:val="1"/>
                <w:color w:val="auto"/>
              </w:rPr>
            </w:pPr>
          </w:p>
        </w:tc>
        <w:tc>
          <w:tcPr>
            <w:tcW w:w="2480" w:type="dxa"/>
            <w:vAlign w:val="bottom"/>
            <w:gridSpan w:val="1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3120" w:type="dxa"/>
            <w:vAlign w:val="bottom"/>
            <w:tcBorders>
              <w:bottom w:val="single" w:sz="8" w:color="0000EE"/>
            </w:tcBorders>
            <w:gridSpan w:val="15"/>
          </w:tcPr>
          <w:p>
            <w:pPr>
              <w:spacing w:after="0"/>
              <w:rPr>
                <w:rFonts w:ascii="Arial" w:cs="Arial" w:eastAsia="Arial" w:hAnsi="Arial"/>
                <w:sz w:val="18"/>
                <w:szCs w:val="18"/>
                <w:b w:val="1"/>
                <w:bCs w:val="1"/>
                <w:color w:val="0000EE"/>
                <w:w w:val="97"/>
              </w:rPr>
            </w:pPr>
            <w:hyperlink w:anchor="page228">
              <w:r>
                <w:rPr>
                  <w:rFonts w:ascii="Arial" w:cs="Arial" w:eastAsia="Arial" w:hAnsi="Arial"/>
                  <w:sz w:val="18"/>
                  <w:szCs w:val="18"/>
                  <w:b w:val="1"/>
                  <w:bCs w:val="1"/>
                  <w:color w:val="0000EE"/>
                  <w:w w:val="97"/>
                </w:rPr>
                <w:t>Where you can find more information</w:t>
              </w:r>
            </w:hyperlink>
          </w:p>
        </w:tc>
        <w:tc>
          <w:tcPr>
            <w:tcW w:w="5820" w:type="dxa"/>
            <w:vAlign w:val="bottom"/>
            <w:gridSpan w:val="8"/>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230">
              <w:r>
                <w:rPr>
                  <w:rFonts w:ascii="Arial" w:cs="Arial" w:eastAsia="Arial" w:hAnsi="Arial"/>
                  <w:sz w:val="18"/>
                  <w:szCs w:val="18"/>
                  <w:b w:val="1"/>
                  <w:bCs w:val="1"/>
                  <w:color w:val="0000EE"/>
                </w:rPr>
                <w:t>Index to consolidated financial statements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2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Neither we nor the underwriters have authorized anyone to provide you with information that is different from that contained in this prospectus or in any free writing prospectus we may authorize to be delivered or made available to you. We and the underwriters take no responsibility for, and can provide no assurance as to the reliability of, any other information that others may give you. We and the underwriters are offering to sell shares of common stock and seeking offers to buy shares of common stock only in jurisdictions where offers and sales are permitted. The information contained in this prospectus is accurate only as of the date on the front of this prospectus, or other earlier date stated in this prospectus, regardless of the time of delivery of this prospectus or any sale of shares of our common stock. Our business, financial condition, results of operations and prospects may have changed since that date.</w:t>
      </w:r>
    </w:p>
    <w:p>
      <w:pPr>
        <w:spacing w:after="0" w:line="101" w:lineRule="exact"/>
        <w:rPr>
          <w:sz w:val="20"/>
          <w:szCs w:val="20"/>
          <w:color w:val="auto"/>
        </w:rPr>
      </w:pPr>
    </w:p>
    <w:p>
      <w:pPr>
        <w:ind w:left="200" w:right="380"/>
        <w:spacing w:after="0" w:line="237"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Revolution Medicines</w:t>
      </w:r>
      <w:r>
        <w:rPr>
          <w:rFonts w:ascii="Arial" w:cs="Arial" w:eastAsia="Arial" w:hAnsi="Arial"/>
          <w:sz w:val="11"/>
          <w:szCs w:val="11"/>
          <w:color w:val="auto"/>
        </w:rPr>
        <w:t>®</w:t>
      </w:r>
      <w:r>
        <w:rPr>
          <w:rFonts w:ascii="Arial" w:cs="Arial" w:eastAsia="Arial" w:hAnsi="Arial"/>
          <w:sz w:val="18"/>
          <w:szCs w:val="18"/>
          <w:color w:val="auto"/>
        </w:rPr>
        <w:t xml:space="preserve"> and our logo are some of our trademarks used in this prospectus. This prospectus also includes trademarks, tradenames and service marks that are the property of other organizations. Solely for convenience, our trademarks, service marks and tradenames referred to in this prospectus may appear without the </w:t>
      </w:r>
      <w:r>
        <w:rPr>
          <w:rFonts w:ascii="Arial" w:cs="Arial" w:eastAsia="Arial" w:hAnsi="Arial"/>
          <w:sz w:val="11"/>
          <w:szCs w:val="11"/>
          <w:color w:val="auto"/>
        </w:rPr>
        <w:t>®</w:t>
      </w:r>
      <w:r>
        <w:rPr>
          <w:rFonts w:ascii="Arial" w:cs="Arial" w:eastAsia="Arial" w:hAnsi="Arial"/>
          <w:sz w:val="18"/>
          <w:szCs w:val="18"/>
          <w:color w:val="auto"/>
        </w:rPr>
        <w:t xml:space="preserve"> and </w:t>
      </w:r>
      <w:r>
        <w:rPr>
          <w:rFonts w:ascii="Arial" w:cs="Arial" w:eastAsia="Arial" w:hAnsi="Arial"/>
          <w:sz w:val="11"/>
          <w:szCs w:val="11"/>
          <w:color w:val="auto"/>
        </w:rPr>
        <w:t>™</w:t>
      </w:r>
      <w:r>
        <w:rPr>
          <w:rFonts w:ascii="Arial" w:cs="Arial" w:eastAsia="Arial" w:hAnsi="Arial"/>
          <w:sz w:val="18"/>
          <w:szCs w:val="18"/>
          <w:color w:val="auto"/>
        </w:rPr>
        <w:t xml:space="preserve"> symbol, but those references are not intended to indicate, in any way, that we will not assert, to the fullest extent under applicable law, our rights, or the right of the applicable licensor to these trademarks, service marks and tradenames.</w:t>
      </w:r>
    </w:p>
    <w:p>
      <w:pPr>
        <w:spacing w:after="0" w:line="81"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color w:val="auto"/>
        </w:rPr>
        <w:t>Through and including March 8, 2020 (the 25th day after the date of this prospectus),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31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2145" cy="45319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Prospectus summary</w:t>
      </w:r>
    </w:p>
    <w:p>
      <w:pPr>
        <w:spacing w:after="0" w:line="140" w:lineRule="exact"/>
        <w:rPr>
          <w:sz w:val="20"/>
          <w:szCs w:val="20"/>
          <w:color w:val="auto"/>
        </w:rPr>
      </w:pPr>
    </w:p>
    <w:p>
      <w:pPr>
        <w:ind w:left="380"/>
        <w:spacing w:after="0" w:line="23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in this prospectus titled “Risk factors” and our consolidated financial statements and the related notes thereto included at the end of this prospectus, before making an investment decision. As used in this prospectus, unless the context otherwise requires, references to “we,” “us,” “our,” “our company,” “the Company” and “Revolution Medicines” refer to Revolution Medicines, Inc. and its subsidiary taken as a whole, and references to “Warp Drive” refer to its wholly-owned subsidiary Warp Drive Bio, Inc.</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Overview</w:t>
      </w:r>
    </w:p>
    <w:p>
      <w:pPr>
        <w:spacing w:after="0" w:line="116" w:lineRule="exact"/>
        <w:rPr>
          <w:sz w:val="20"/>
          <w:szCs w:val="20"/>
          <w:color w:val="auto"/>
        </w:rPr>
      </w:pPr>
    </w:p>
    <w:p>
      <w:pPr>
        <w:ind w:left="380" w:right="20"/>
        <w:spacing w:after="0" w:line="247" w:lineRule="auto"/>
        <w:rPr>
          <w:sz w:val="20"/>
          <w:szCs w:val="20"/>
          <w:color w:val="auto"/>
        </w:rPr>
      </w:pPr>
      <w:r>
        <w:rPr>
          <w:rFonts w:ascii="Arial" w:cs="Arial" w:eastAsia="Arial" w:hAnsi="Arial"/>
          <w:sz w:val="17"/>
          <w:szCs w:val="17"/>
          <w:color w:val="auto"/>
        </w:rPr>
        <w:t xml:space="preserve">We are a clinical-stage precision oncology company focused on developing novel targeted therapies to inhibit elusive, high-value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targets within notorious growth and survival pathways, with particular emphasis on the RAS and mTOR signaling pathways. We define </w:t>
      </w:r>
      <w:r>
        <w:rPr>
          <w:rFonts w:ascii="Arial" w:cs="Arial" w:eastAsia="Arial" w:hAnsi="Arial"/>
          <w:sz w:val="17"/>
          <w:szCs w:val="17"/>
          <w:i w:val="1"/>
          <w:iCs w:val="1"/>
          <w:color w:val="auto"/>
        </w:rPr>
        <w:t xml:space="preserve">frontier </w:t>
      </w:r>
      <w:r>
        <w:rPr>
          <w:rFonts w:ascii="Arial" w:cs="Arial" w:eastAsia="Arial" w:hAnsi="Arial"/>
          <w:sz w:val="17"/>
          <w:szCs w:val="17"/>
          <w:color w:val="auto"/>
        </w:rPr>
        <w:t>targets as proteins that play an important role in cancer and for which there is either: no approved drug that directly inhibits it,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one or more approved drugs that directly inhibit it but through a mechanism of action that may not enable suppression of the full range of its biologic contributions to cancer. 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 Our most advanced product candidate, RMC-4630, is a potent and selective inhibitor of SHP2, based on preclinical evidence described in this prospectus under the heading “Business—Our pipeline—Our SHP2 inhibitor, RMC-4630—Preclinical profile of RMC-4630.” SHP2 is a central node in the RAS signaling pathway. In collaboration with Sanofi, we are evaluating RMC-4630 in a multi-cohort Phase 1/2 clinical program. This RMC-4630 Phase 1/2 program currently consists of two active clinical trials: RMC-4630-01, a Phase 1 study of RMC-4630 as a single agent, and RMC-4630-02, a Phase 1b/2 study of RMC-4630 in combination with the MEK inhibitor cobimetinib (Cotellic). In this prospectus, we report preliminary data from 63 patients who had enrolled in our Phase 1 study and received RMC-4630 as monotherapy as of November 6, 2019 and from eight patients who had enrolled in our Phase 1b/2 combination study and received RMC-4630 as of November 14, 2019. Leveraging our proprietary tri-complex technology platform, we are also developing a portfolio of mutant-selective RAS inhibitors that we believe are the first potent, selective, cell-active inhibitors of the active, GTP-bound form of RAS, or RAS(ON). These inhibitors also have exhibited anti-tumor activity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 preclinical models. Initially, we will prioritize four mutant RAS(ON) targets—KRAS</w:t>
      </w:r>
      <w:r>
        <w:rPr>
          <w:rFonts w:ascii="Arial" w:cs="Arial" w:eastAsia="Arial" w:hAnsi="Arial"/>
          <w:sz w:val="21"/>
          <w:szCs w:val="21"/>
          <w:color w:val="auto"/>
          <w:vertAlign w:val="superscript"/>
        </w:rPr>
        <w:t>G12C</w:t>
      </w:r>
      <w:r>
        <w:rPr>
          <w:rFonts w:ascii="Arial" w:cs="Arial" w:eastAsia="Arial" w:hAnsi="Arial"/>
          <w:sz w:val="17"/>
          <w:szCs w:val="17"/>
          <w:color w:val="auto"/>
        </w:rPr>
        <w:t>, KRAS</w:t>
      </w:r>
      <w:r>
        <w:rPr>
          <w:rFonts w:ascii="Arial" w:cs="Arial" w:eastAsia="Arial" w:hAnsi="Arial"/>
          <w:sz w:val="21"/>
          <w:szCs w:val="21"/>
          <w:color w:val="auto"/>
          <w:vertAlign w:val="superscript"/>
        </w:rPr>
        <w:t>G13C</w:t>
      </w:r>
      <w:r>
        <w:rPr>
          <w:rFonts w:ascii="Arial" w:cs="Arial" w:eastAsia="Arial" w:hAnsi="Arial"/>
          <w:sz w:val="17"/>
          <w:szCs w:val="17"/>
          <w:color w:val="auto"/>
        </w:rPr>
        <w:t>, KRAS</w:t>
      </w:r>
      <w:r>
        <w:rPr>
          <w:rFonts w:ascii="Arial" w:cs="Arial" w:eastAsia="Arial" w:hAnsi="Arial"/>
          <w:sz w:val="21"/>
          <w:szCs w:val="21"/>
          <w:color w:val="auto"/>
          <w:vertAlign w:val="superscript"/>
        </w:rPr>
        <w:t>G12D</w:t>
      </w:r>
      <w:r>
        <w:rPr>
          <w:rFonts w:ascii="Arial" w:cs="Arial" w:eastAsia="Arial" w:hAnsi="Arial"/>
          <w:sz w:val="17"/>
          <w:szCs w:val="17"/>
          <w:color w:val="auto"/>
        </w:rPr>
        <w:t xml:space="preserve"> and NRAS</w:t>
      </w:r>
      <w:r>
        <w:rPr>
          <w:rFonts w:ascii="Arial" w:cs="Arial" w:eastAsia="Arial" w:hAnsi="Arial"/>
          <w:sz w:val="21"/>
          <w:szCs w:val="21"/>
          <w:color w:val="auto"/>
          <w:vertAlign w:val="superscript"/>
        </w:rPr>
        <w:t>G12C</w:t>
      </w:r>
      <w:r>
        <w:rPr>
          <w:rFonts w:ascii="Arial" w:cs="Arial" w:eastAsia="Arial" w:hAnsi="Arial"/>
          <w:sz w:val="17"/>
          <w:szCs w:val="17"/>
          <w:color w:val="auto"/>
        </w:rPr>
        <w:t>—and expect to nominate our first development candidate in 2020. Our pipeline also includes inhibitors of other key nodes within the RAS and mTOR signaling pathways, such as SOS1 and mTORC1. Our pipeline includes one product candidate that is in clinical development and all of our other programs are in the preclinical stage.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66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2145" cy="54667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0" w:right="100"/>
        <w:spacing w:after="0" w:line="281" w:lineRule="auto"/>
        <w:rPr>
          <w:sz w:val="20"/>
          <w:szCs w:val="20"/>
          <w:color w:val="auto"/>
        </w:rPr>
      </w:pPr>
      <w:r>
        <w:rPr>
          <w:rFonts w:ascii="Arial" w:cs="Arial" w:eastAsia="Arial" w:hAnsi="Arial"/>
          <w:sz w:val="16"/>
          <w:szCs w:val="16"/>
          <w:color w:val="auto"/>
        </w:rPr>
        <w:t>Under our collaboration on our SHP2 program with Sanofi,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 For all other programs, we retain worldwide commercial rights.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opportunity and innovation engine</w:t>
      </w:r>
    </w:p>
    <w:p>
      <w:pPr>
        <w:spacing w:after="0" w:line="134" w:lineRule="exact"/>
        <w:rPr>
          <w:sz w:val="20"/>
          <w:szCs w:val="20"/>
          <w:color w:val="auto"/>
        </w:rPr>
      </w:pPr>
    </w:p>
    <w:p>
      <w:pPr>
        <w:ind w:left="380"/>
        <w:spacing w:after="0" w:line="268" w:lineRule="auto"/>
        <w:rPr>
          <w:sz w:val="20"/>
          <w:szCs w:val="20"/>
          <w:color w:val="auto"/>
        </w:rPr>
      </w:pPr>
      <w:r>
        <w:rPr>
          <w:rFonts w:ascii="Arial" w:cs="Arial" w:eastAsia="Arial" w:hAnsi="Arial"/>
          <w:sz w:val="16"/>
          <w:szCs w:val="16"/>
          <w:color w:val="auto"/>
        </w:rPr>
        <w:t>The RAS and mTOR signaling cascades are among the most frequently exploited by human cancers, where mutations in key nodes in these pathways cause excessive or aberrant signaling and cell growth. For example, mutations in RAS proteins account for approximately 30% of all human cancers in the United States, many of which are fatal. According to the National Cancer Institute, KRAS protein mutations occur in up to 35% of lung, 45% of colon and 95% of pancreatic cancers. Cancers caused by RAS-pathway mutations exhibit a phenomenon called “oncogene addiction,” in which tumor cells become highly dependent on signaling through the RAS pathway to survive. The importance of the RAS pathway in cancer has led to the development of several targeted therapies that can profoundly inhibit tumor growth and cause regressions in some instances. However, cancer cells can eventually develop adaptive resistance, losing sensitivity to treatment by hijacking other cell signaling circuitry to circumvent the inhibition and restore RAS-dependent signaling. The need to overcome this resistance in treating RAS-dependent tumors has led to the use of combination regimens designed to inhibit the RAS signaling pathway at multiple nodes simultaneously in an attempt to prolong the depth and durability of clinical benefit.</w:t>
      </w:r>
    </w:p>
    <w:p>
      <w:pPr>
        <w:spacing w:after="0" w:line="79" w:lineRule="exact"/>
        <w:rPr>
          <w:sz w:val="20"/>
          <w:szCs w:val="20"/>
          <w:color w:val="auto"/>
        </w:rPr>
      </w:pPr>
    </w:p>
    <w:p>
      <w:pPr>
        <w:jc w:val="both"/>
        <w:ind w:left="380" w:right="220"/>
        <w:spacing w:after="0" w:line="281" w:lineRule="auto"/>
        <w:rPr>
          <w:sz w:val="20"/>
          <w:szCs w:val="20"/>
          <w:color w:val="auto"/>
        </w:rPr>
      </w:pPr>
      <w:r>
        <w:rPr>
          <w:rFonts w:ascii="Arial" w:cs="Arial" w:eastAsia="Arial" w:hAnsi="Arial"/>
          <w:sz w:val="16"/>
          <w:szCs w:val="16"/>
          <w:color w:val="auto"/>
        </w:rPr>
        <w:t xml:space="preserve">Despite recent progress in targeted therapies, we believe there is a significant need and opportunity to further improve the treatment of certain cancers. We have built an innovation engine consisting of three complementary drivers that enable us to discover and develop targeted therapies for elusive, high-value </w:t>
      </w:r>
      <w:r>
        <w:rPr>
          <w:rFonts w:ascii="Arial" w:cs="Arial" w:eastAsia="Arial" w:hAnsi="Arial"/>
          <w:sz w:val="16"/>
          <w:szCs w:val="16"/>
          <w:i w:val="1"/>
          <w:iCs w:val="1"/>
          <w:color w:val="auto"/>
        </w:rPr>
        <w:t>frontier</w:t>
      </w:r>
      <w:r>
        <w:rPr>
          <w:rFonts w:ascii="Arial" w:cs="Arial" w:eastAsia="Arial" w:hAnsi="Arial"/>
          <w:sz w:val="16"/>
          <w:szCs w:val="16"/>
          <w:color w:val="auto"/>
        </w:rPr>
        <w:t xml:space="preserve"> cancer targets within notorious growth and survival pathways:</w:t>
      </w:r>
    </w:p>
    <w:p>
      <w:pPr>
        <w:spacing w:after="0" w:line="61" w:lineRule="exact"/>
        <w:rPr>
          <w:sz w:val="20"/>
          <w:szCs w:val="20"/>
          <w:color w:val="auto"/>
        </w:rPr>
      </w:pPr>
    </w:p>
    <w:p>
      <w:pPr>
        <w:ind w:left="580" w:right="480" w:hanging="194"/>
        <w:spacing w:after="0" w:line="264"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Deep </w:t>
      </w:r>
      <w:r>
        <w:rPr>
          <w:rFonts w:ascii="Arial" w:cs="Arial" w:eastAsia="Arial" w:hAnsi="Arial"/>
          <w:sz w:val="18"/>
          <w:szCs w:val="18"/>
          <w:b w:val="1"/>
          <w:bCs w:val="1"/>
          <w:color w:val="auto"/>
        </w:rPr>
        <w:t>chemical biology and cancer pharmacology know-how</w:t>
      </w:r>
      <w:r>
        <w:rPr>
          <w:rFonts w:ascii="Arial" w:cs="Arial" w:eastAsia="Arial" w:hAnsi="Arial"/>
          <w:sz w:val="18"/>
          <w:szCs w:val="18"/>
          <w:color w:val="auto"/>
        </w:rPr>
        <w:t>, including assays and proprietary tool compounds, to define the critical vulnerabilities of “frontier” RAS and mTOR pathway targets and associated signaling circuits in cancer cells;</w:t>
      </w:r>
    </w:p>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75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60756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80" w:right="180" w:hanging="194"/>
        <w:spacing w:after="0" w:line="26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Sophisticated </w:t>
      </w:r>
      <w:r>
        <w:rPr>
          <w:rFonts w:ascii="Arial" w:cs="Arial" w:eastAsia="Arial" w:hAnsi="Arial"/>
          <w:sz w:val="18"/>
          <w:szCs w:val="18"/>
          <w:b w:val="1"/>
          <w:bCs w:val="1"/>
          <w:color w:val="auto"/>
        </w:rPr>
        <w:t>structure-based drug discovery capabilities</w:t>
      </w:r>
      <w:r>
        <w:rPr>
          <w:rFonts w:ascii="Arial" w:cs="Arial" w:eastAsia="Arial" w:hAnsi="Arial"/>
          <w:sz w:val="18"/>
          <w:szCs w:val="18"/>
          <w:color w:val="auto"/>
        </w:rPr>
        <w:t xml:space="preserve">, including proven </w:t>
      </w:r>
      <w:r>
        <w:rPr>
          <w:rFonts w:ascii="Arial" w:cs="Arial" w:eastAsia="Arial" w:hAnsi="Arial"/>
          <w:sz w:val="18"/>
          <w:szCs w:val="18"/>
          <w:b w:val="1"/>
          <w:bCs w:val="1"/>
          <w:color w:val="auto"/>
        </w:rPr>
        <w:t>access to complex chemical space</w:t>
      </w:r>
      <w:r>
        <w:rPr>
          <w:rFonts w:ascii="Arial" w:cs="Arial" w:eastAsia="Arial" w:hAnsi="Arial"/>
          <w:sz w:val="18"/>
          <w:szCs w:val="18"/>
          <w:color w:val="auto"/>
        </w:rPr>
        <w:t>, to create drug candidates tailored to unconventional binding sites on elusive cancer targets; and</w:t>
      </w:r>
    </w:p>
    <w:p>
      <w:pPr>
        <w:spacing w:after="0" w:line="71" w:lineRule="exact"/>
        <w:rPr>
          <w:rFonts w:ascii="Arial" w:cs="Arial" w:eastAsia="Arial" w:hAnsi="Arial"/>
          <w:sz w:val="18"/>
          <w:szCs w:val="18"/>
          <w:color w:val="auto"/>
        </w:rPr>
      </w:pPr>
    </w:p>
    <w:p>
      <w:pPr>
        <w:ind w:left="580" w:right="180" w:hanging="194"/>
        <w:spacing w:after="0" w:line="328"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32" w:lineRule="exact"/>
        <w:rPr>
          <w:sz w:val="20"/>
          <w:szCs w:val="20"/>
          <w:color w:val="auto"/>
        </w:rPr>
      </w:pPr>
    </w:p>
    <w:p>
      <w:pPr>
        <w:ind w:left="380"/>
        <w:spacing w:after="0" w:line="270" w:lineRule="auto"/>
        <w:rPr>
          <w:sz w:val="20"/>
          <w:szCs w:val="20"/>
          <w:color w:val="auto"/>
        </w:rPr>
      </w:pPr>
      <w:r>
        <w:rPr>
          <w:rFonts w:ascii="Arial" w:cs="Arial" w:eastAsia="Arial" w:hAnsi="Arial"/>
          <w:sz w:val="16"/>
          <w:szCs w:val="16"/>
          <w:color w:val="auto"/>
        </w:rPr>
        <w:t>Focusing these drivers on a cohesive set of related disease targets provides biological, chemical and translational insights that can be leveraged to maximize the efficiency and effectiveness of our discovery and development efforts. We have built a portfolio of compounds that inhibit select signaling nodes within these pathways, including clinical targets that previously have been difficult or impossible to drug. To date, our discovery and development efforts have focused on SHP2, RAS, SOS1 and mTORC1 (these targets are shaded dark green or blue in the figure below). We believe our current and future product candidates, when used in specialized dosing paradigms and rational in-pathway combinations, will have the potential to promote profound and sustainable clinical benefit, combat adaptive resistance mechanisms and, in some cases, supplant the current standard of care for patients with tumors driven by these pathways.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product candidates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RMC-4630, a SHP2 inhibitor</w:t>
      </w:r>
    </w:p>
    <w:p>
      <w:pPr>
        <w:spacing w:after="0" w:line="124" w:lineRule="exact"/>
        <w:rPr>
          <w:sz w:val="20"/>
          <w:szCs w:val="20"/>
          <w:color w:val="auto"/>
        </w:rPr>
      </w:pPr>
    </w:p>
    <w:p>
      <w:pPr>
        <w:ind w:left="380"/>
        <w:spacing w:after="0" w:line="237" w:lineRule="auto"/>
        <w:rPr>
          <w:sz w:val="20"/>
          <w:szCs w:val="20"/>
          <w:color w:val="auto"/>
        </w:rPr>
      </w:pPr>
      <w:r>
        <w:rPr>
          <w:rFonts w:ascii="Arial" w:cs="Arial" w:eastAsia="Arial" w:hAnsi="Arial"/>
          <w:sz w:val="18"/>
          <w:szCs w:val="18"/>
          <w:color w:val="auto"/>
        </w:rPr>
        <w:t>Our most advanced product candidate, RMC-4630, is a potent and selective inhibitor of SHP2, based on preclinical evidence described in this prospectus. SHP2 is a protein that plays a central role in modulating cell survival and growth by transmitting signals from upstream receptor tyrosine kinases, or RTKs, to RAS. In collaboration with Sanofi, we are evaluating RMC-4630 in a multi-cohort Phase 1/2 clinical program. This</w:t>
      </w:r>
    </w:p>
    <w:p>
      <w:pPr>
        <w:spacing w:after="0" w:line="15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184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51841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80" w:right="300"/>
        <w:spacing w:after="0" w:line="236" w:lineRule="auto"/>
        <w:rPr>
          <w:sz w:val="20"/>
          <w:szCs w:val="20"/>
          <w:color w:val="auto"/>
        </w:rPr>
      </w:pPr>
      <w:r>
        <w:rPr>
          <w:rFonts w:ascii="Arial" w:cs="Arial" w:eastAsia="Arial" w:hAnsi="Arial"/>
          <w:sz w:val="18"/>
          <w:szCs w:val="18"/>
          <w:color w:val="auto"/>
        </w:rPr>
        <w:t>RMC-4630 Phase 1/2 program currently consists of two active clinical trials: RMC-4630-01, a Phase 1 study of RMC-4630 as a single agent, and RMC-4630-02, a Phase 1b/2 study of RMC-4630 in combination with the MEK inhibitor cobimetinib. In this prospectus, we report preliminary data from 63 patients who had enrolled in our Phase 1 study and received RMC-4630 as a monotherapy as of November 6, 2019 and from eight patients who had enrolled in our Phase 1b/2 combination study and received RMC-4630 as of November 14, 2019.</w:t>
      </w:r>
    </w:p>
    <w:p>
      <w:pPr>
        <w:spacing w:after="0" w:line="103" w:lineRule="exact"/>
        <w:rPr>
          <w:sz w:val="20"/>
          <w:szCs w:val="20"/>
          <w:color w:val="auto"/>
        </w:rPr>
      </w:pPr>
    </w:p>
    <w:p>
      <w:pPr>
        <w:ind w:left="380" w:right="40"/>
        <w:spacing w:after="0" w:line="235" w:lineRule="auto"/>
        <w:rPr>
          <w:sz w:val="20"/>
          <w:szCs w:val="20"/>
          <w:color w:val="auto"/>
        </w:rPr>
      </w:pPr>
      <w:r>
        <w:rPr>
          <w:rFonts w:ascii="Arial" w:cs="Arial" w:eastAsia="Arial" w:hAnsi="Arial"/>
          <w:sz w:val="18"/>
          <w:szCs w:val="18"/>
          <w:color w:val="auto"/>
        </w:rPr>
        <w:t>The RMC-4630-01 study is evaluating the safety, pharmacokinetics and pharmacodynamic effects of RMC-4630 as a single agent under two different dosing schedules: daily and twice weekly dosing. Fourteen patients were treated on an intermittent schedule and 49 were treated with the daily schedule. Although both dosing regimens have been reasonably well tolerated, daily dosing has been associated with more frequent and severe adverse events than the intermittent schedule. Adverse events in both schedules were consistent with the expected mechanistic effects of the product candidate; including anemia, thrombocytopenia, edema, fatigue and diarrhea. The RMC-4630-02 study is evaluating the safety, tolerability and pharmacokinetics of RMC-4630 and cobimetinib using intermittent dosing of RMC-4630 with daily dosing of cobimetinib. An alternative schedule using intermittent dosing of both RMC-4630 and cobimetinib is planned, but has not begun dosing. Adverse events were consistent with the expected mechanistic effects of both SHP2 inhibition and MEK inhibition and are similar in nature to those observed in the RMC-4630-01 study.</w:t>
      </w:r>
    </w:p>
    <w:p>
      <w:pPr>
        <w:spacing w:after="0" w:line="107" w:lineRule="exact"/>
        <w:rPr>
          <w:sz w:val="20"/>
          <w:szCs w:val="20"/>
          <w:color w:val="auto"/>
        </w:rPr>
      </w:pPr>
    </w:p>
    <w:p>
      <w:pPr>
        <w:ind w:left="380" w:right="120"/>
        <w:spacing w:after="0" w:line="229" w:lineRule="auto"/>
        <w:rPr>
          <w:sz w:val="20"/>
          <w:szCs w:val="20"/>
          <w:color w:val="auto"/>
        </w:rPr>
      </w:pPr>
      <w:r>
        <w:rPr>
          <w:rFonts w:ascii="Arial" w:cs="Arial" w:eastAsia="Arial" w:hAnsi="Arial"/>
          <w:sz w:val="17"/>
          <w:szCs w:val="17"/>
          <w:color w:val="auto"/>
        </w:rPr>
        <w:t>We also plan to explore the potential clinical benefit of RMC-4630 in combination with other in-pathway agents such as RTK (initially EGFR) and KRAS</w:t>
      </w:r>
      <w:r>
        <w:rPr>
          <w:rFonts w:ascii="Arial" w:cs="Arial" w:eastAsia="Arial" w:hAnsi="Arial"/>
          <w:sz w:val="21"/>
          <w:szCs w:val="21"/>
          <w:color w:val="auto"/>
          <w:vertAlign w:val="superscript"/>
        </w:rPr>
        <w:t>G12C</w:t>
      </w:r>
      <w:r>
        <w:rPr>
          <w:rFonts w:ascii="Arial" w:cs="Arial" w:eastAsia="Arial" w:hAnsi="Arial"/>
          <w:sz w:val="17"/>
          <w:szCs w:val="17"/>
          <w:color w:val="auto"/>
        </w:rPr>
        <w:t xml:space="preserve"> inhibitors as well as in combination with PD-1 inhibitors. In November 2019, we entered into an agreement with Amgen to evaluate the combination of RMC-4630 and Amgen’s KRAS</w:t>
      </w:r>
      <w:r>
        <w:rPr>
          <w:rFonts w:ascii="Arial" w:cs="Arial" w:eastAsia="Arial" w:hAnsi="Arial"/>
          <w:sz w:val="21"/>
          <w:szCs w:val="21"/>
          <w:color w:val="auto"/>
          <w:vertAlign w:val="superscript"/>
        </w:rPr>
        <w:t>G12C</w:t>
      </w:r>
      <w:r>
        <w:rPr>
          <w:rFonts w:ascii="Arial" w:cs="Arial" w:eastAsia="Arial" w:hAnsi="Arial"/>
          <w:sz w:val="17"/>
          <w:szCs w:val="17"/>
          <w:color w:val="auto"/>
        </w:rPr>
        <w:t xml:space="preserve"> (OFF) inhibitor AMG 510 in a Phase 1b trial that will be conducted by Amgen. Although we are at an early stage of clinical testing and product candidate development, we believe RMC-4630 is well-positioned to become the backbone of targeted therapy combinations for the treatment of various RAS-dependent tumors.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RAS(ON) portfolio</w:t>
      </w:r>
    </w:p>
    <w:p>
      <w:pPr>
        <w:spacing w:after="0" w:line="124" w:lineRule="exact"/>
        <w:rPr>
          <w:sz w:val="20"/>
          <w:szCs w:val="20"/>
          <w:color w:val="auto"/>
        </w:rPr>
      </w:pPr>
    </w:p>
    <w:p>
      <w:pPr>
        <w:ind w:left="380"/>
        <w:spacing w:after="0" w:line="227" w:lineRule="auto"/>
        <w:rPr>
          <w:sz w:val="20"/>
          <w:szCs w:val="20"/>
          <w:color w:val="auto"/>
        </w:rPr>
      </w:pPr>
      <w:r>
        <w:rPr>
          <w:rFonts w:ascii="Arial" w:cs="Arial" w:eastAsia="Arial" w:hAnsi="Arial"/>
          <w:sz w:val="18"/>
          <w:szCs w:val="18"/>
          <w:color w:val="auto"/>
        </w:rPr>
        <w:t>We are also developing a portfolio of what we believe to be the first potent, selective and cell-active inhibitors of mutant RAS(ON) proteins. Historically, direct inhibition of any RAS protein has been challenging due to a lack of tractable, or “druggable,” binding pockets. Recently, selective inhibitors of inactive, GDP-bound forms of RAS, or RAS(OFF), have demonstrated encouraging preliminary anti-tumor effects and thus provide clinical validation for targeting mutant RAS in cancer. Our small molecule inhibitors of mutant RAS(ON) are derived from our proprietary tri-complex technology platform, which enables us to target proteins lacking intrinsic drug binding sites by inducing new druggable pockets. In tumor cells that are addicted to high levels of RAS activation, we believe that selective inhibitors of RAS(ON) will suppress cell growth and survival and be less susceptible to adaptive resistance mechanisms recognized for RAS(OFF) inhibitors. Initially, we will prioritize four mutant RAS(ON) targets—KRAS</w:t>
      </w:r>
      <w:r>
        <w:rPr>
          <w:rFonts w:ascii="Arial" w:cs="Arial" w:eastAsia="Arial" w:hAnsi="Arial"/>
          <w:sz w:val="22"/>
          <w:szCs w:val="22"/>
          <w:color w:val="auto"/>
          <w:vertAlign w:val="superscript"/>
        </w:rPr>
        <w:t>G12C</w:t>
      </w:r>
      <w:r>
        <w:rPr>
          <w:rFonts w:ascii="Arial" w:cs="Arial" w:eastAsia="Arial" w:hAnsi="Arial"/>
          <w:sz w:val="18"/>
          <w:szCs w:val="18"/>
          <w:color w:val="auto"/>
        </w:rPr>
        <w:t>, KRAS</w:t>
      </w:r>
      <w:r>
        <w:rPr>
          <w:rFonts w:ascii="Arial" w:cs="Arial" w:eastAsia="Arial" w:hAnsi="Arial"/>
          <w:sz w:val="22"/>
          <w:szCs w:val="22"/>
          <w:color w:val="auto"/>
          <w:vertAlign w:val="superscript"/>
        </w:rPr>
        <w:t>G13C</w:t>
      </w:r>
      <w:r>
        <w:rPr>
          <w:rFonts w:ascii="Arial" w:cs="Arial" w:eastAsia="Arial" w:hAnsi="Arial"/>
          <w:sz w:val="18"/>
          <w:szCs w:val="18"/>
          <w:color w:val="auto"/>
        </w:rPr>
        <w:t>, KRAS</w:t>
      </w:r>
      <w:r>
        <w:rPr>
          <w:rFonts w:ascii="Arial" w:cs="Arial" w:eastAsia="Arial" w:hAnsi="Arial"/>
          <w:sz w:val="22"/>
          <w:szCs w:val="22"/>
          <w:color w:val="auto"/>
          <w:vertAlign w:val="superscript"/>
        </w:rPr>
        <w:t>G12D</w:t>
      </w:r>
      <w:r>
        <w:rPr>
          <w:rFonts w:ascii="Arial" w:cs="Arial" w:eastAsia="Arial" w:hAnsi="Arial"/>
          <w:sz w:val="18"/>
          <w:szCs w:val="18"/>
          <w:color w:val="auto"/>
        </w:rPr>
        <w:t xml:space="preserve"> and NRAS</w:t>
      </w:r>
      <w:r>
        <w:rPr>
          <w:rFonts w:ascii="Arial" w:cs="Arial" w:eastAsia="Arial" w:hAnsi="Arial"/>
          <w:sz w:val="22"/>
          <w:szCs w:val="22"/>
          <w:color w:val="auto"/>
          <w:vertAlign w:val="superscript"/>
        </w:rPr>
        <w:t>G12C</w:t>
      </w:r>
      <w:r>
        <w:rPr>
          <w:rFonts w:ascii="Arial" w:cs="Arial" w:eastAsia="Arial" w:hAnsi="Arial"/>
          <w:sz w:val="18"/>
          <w:szCs w:val="18"/>
          <w:color w:val="auto"/>
        </w:rPr>
        <w:t>—and expect to nominate our first development candidate in 2020. We plan to evaluate our RAS(ON) inhibitors alone and in combination with other approved drugs and investigational new drugs, particularly in-pathway agents. We believe that targeted inhibition of various oncogenic RAS(ON) mutants represents a highly differentiated approach for treating the large population of patients with diverse RAS mutations, including non-small cell lung cancer, or NSCLC, colorectal, pancreatic and other cancers.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SOS1 and 4EBP1/mTORC1 programs</w:t>
      </w:r>
    </w:p>
    <w:p>
      <w:pPr>
        <w:spacing w:after="0" w:line="124" w:lineRule="exact"/>
        <w:rPr>
          <w:sz w:val="20"/>
          <w:szCs w:val="20"/>
          <w:color w:val="auto"/>
        </w:rPr>
      </w:pPr>
    </w:p>
    <w:p>
      <w:pPr>
        <w:ind w:left="380" w:right="140"/>
        <w:spacing w:after="0" w:line="239" w:lineRule="auto"/>
        <w:rPr>
          <w:sz w:val="20"/>
          <w:szCs w:val="20"/>
          <w:color w:val="auto"/>
        </w:rPr>
      </w:pPr>
      <w:r>
        <w:rPr>
          <w:rFonts w:ascii="Arial" w:cs="Arial" w:eastAsia="Arial" w:hAnsi="Arial"/>
          <w:sz w:val="18"/>
          <w:szCs w:val="18"/>
          <w:color w:val="auto"/>
        </w:rPr>
        <w:t>We have two preclinical programs targeting other key nodes in the RAS and mTOR signaling pathways. Our program targeting SOS1, a protein that plays a key role in converting RAS(OFF) to RAS(ON) in cells, is currently</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712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47123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80" w:right="60"/>
        <w:spacing w:after="0" w:line="237" w:lineRule="auto"/>
        <w:rPr>
          <w:sz w:val="20"/>
          <w:szCs w:val="20"/>
          <w:color w:val="auto"/>
        </w:rPr>
      </w:pPr>
      <w:r>
        <w:rPr>
          <w:rFonts w:ascii="Arial" w:cs="Arial" w:eastAsia="Arial" w:hAnsi="Arial"/>
          <w:sz w:val="18"/>
          <w:szCs w:val="18"/>
          <w:color w:val="auto"/>
        </w:rPr>
        <w:t>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team</w:t>
      </w:r>
    </w:p>
    <w:p>
      <w:pPr>
        <w:spacing w:after="0" w:line="134" w:lineRule="exact"/>
        <w:rPr>
          <w:sz w:val="20"/>
          <w:szCs w:val="20"/>
          <w:color w:val="auto"/>
        </w:rPr>
      </w:pPr>
    </w:p>
    <w:p>
      <w:pPr>
        <w:ind w:left="380"/>
        <w:spacing w:after="0" w:line="232" w:lineRule="auto"/>
        <w:rPr>
          <w:sz w:val="20"/>
          <w:szCs w:val="20"/>
          <w:color w:val="auto"/>
        </w:rPr>
      </w:pPr>
      <w:r>
        <w:rPr>
          <w:rFonts w:ascii="Arial" w:cs="Arial" w:eastAsia="Arial" w:hAnsi="Arial"/>
          <w:sz w:val="18"/>
          <w:szCs w:val="18"/>
          <w:color w:val="auto"/>
        </w:rPr>
        <w:t>Our management team has significant experience in oncology and in progressing products from early stage research to clinical trials, and ultimately to regulatory approval and commercialization. Dr. Steve Kelsey, our President of Research and Development, was previously President of Onkaido Therapeutics, a Moderna venture focused on oncology mRNA therapeutics, and has held senior positions at Medivation, Geron and Genentech, where he played a significant role in the development of Perjeta, Kadcyla and Erivedge. Our President and Chief Executive Officer, Dr. Mark Goldsmith, served as Chief Executive Officer of Constellation Pharmaceuticals, where he led the creation of its oncology pipeline and drove the development of a strategic alliance with Genentech. He also has led four other companies spanning early discovery through development, including Global Blood Therapeutics, where he led the discovery and early development of voxelotor. Our company was founded and continues to be supported by three world-class scientific advisors: Dr. Kevan Shokat (Professor and Chair of the Department of Cellular and Molecular Pharmacology at University of California, San Francisco, Professor of Chemistry at the University of California, Berkeley and an investigator at the Howard Hughes Medical Institute), Dr. Martin Burke (Professor of Chemistry at the University of Illinois at Urbana-Champaign) and Dr. Michael Fischbach (Associate Professor in the Department of Bioengineering at Stanford University and a Stanford ChEM-H Institute Scholar). Dr. Shokat is widely recognized for his seminal contributions to the field of kinase biology, using chemistry, protein engineering and genetic tools to pioneer novel therapeutic approaches to target key signaling pathways in cancer. He led the discovery of the first KRAS</w:t>
      </w:r>
      <w:r>
        <w:rPr>
          <w:rFonts w:ascii="Arial" w:cs="Arial" w:eastAsia="Arial" w:hAnsi="Arial"/>
          <w:sz w:val="22"/>
          <w:szCs w:val="22"/>
          <w:color w:val="auto"/>
          <w:vertAlign w:val="superscript"/>
        </w:rPr>
        <w:t>G12C</w:t>
      </w:r>
      <w:r>
        <w:rPr>
          <w:rFonts w:ascii="Arial" w:cs="Arial" w:eastAsia="Arial" w:hAnsi="Arial"/>
          <w:sz w:val="18"/>
          <w:szCs w:val="18"/>
          <w:color w:val="auto"/>
        </w:rPr>
        <w:t>(OFF) inhibitor. We are also supported by a leading syndicate of investors, which include our founding investor, Third Rock Ventures, and BVF, Casdin Capital, Cormorant, Deerfield, Fidelity, Nextech, Tavistock, The Column Group and Vivo Ventures.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strategy</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goal is to develop novel targeted therapies to outsmart cancer for the benefit of patients. We plan to pursue the following strategies:</w:t>
      </w:r>
    </w:p>
    <w:p>
      <w:pPr>
        <w:spacing w:after="0" w:line="122" w:lineRule="exact"/>
        <w:rPr>
          <w:sz w:val="20"/>
          <w:szCs w:val="20"/>
          <w:color w:val="auto"/>
        </w:rPr>
      </w:pPr>
    </w:p>
    <w:p>
      <w:pPr>
        <w:ind w:left="580" w:hanging="19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Deploy our innovation engine against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oncology targets;</w:t>
      </w:r>
    </w:p>
    <w:p>
      <w:pPr>
        <w:spacing w:after="0" w:line="135" w:lineRule="exact"/>
        <w:rPr>
          <w:rFonts w:ascii="Arial" w:cs="Arial" w:eastAsia="Arial" w:hAnsi="Arial"/>
          <w:sz w:val="18"/>
          <w:szCs w:val="18"/>
          <w:color w:val="auto"/>
        </w:rPr>
      </w:pPr>
    </w:p>
    <w:p>
      <w:pPr>
        <w:ind w:left="580" w:right="940" w:hanging="194"/>
        <w:spacing w:after="0" w:line="23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our proprietary SHP2 inhibitor, RMC-4630, as the backbone of targeted therapy combinations for the treatment of RAS-dependent tumors;</w:t>
      </w:r>
    </w:p>
    <w:p>
      <w:pPr>
        <w:spacing w:after="0" w:line="114" w:lineRule="exact"/>
        <w:rPr>
          <w:rFonts w:ascii="Arial" w:cs="Arial" w:eastAsia="Arial" w:hAnsi="Arial"/>
          <w:sz w:val="18"/>
          <w:szCs w:val="18"/>
          <w:color w:val="auto"/>
        </w:rPr>
      </w:pPr>
    </w:p>
    <w:p>
      <w:pPr>
        <w:ind w:left="580" w:hanging="19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Pioneer mutant selective RAS(ON) inhibition across multiple genetically defined cancers;</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Maximize the global value of our programs by continuing to execute synergistic and value-creating transactions; and</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culture of tireless commitment to patients.</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209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520954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Risks related to our business</w:t>
      </w:r>
    </w:p>
    <w:p>
      <w:pPr>
        <w:spacing w:after="0" w:line="134" w:lineRule="exact"/>
        <w:rPr>
          <w:sz w:val="20"/>
          <w:szCs w:val="20"/>
          <w:color w:val="auto"/>
        </w:rPr>
      </w:pPr>
    </w:p>
    <w:p>
      <w:pPr>
        <w:ind w:left="380" w:right="380"/>
        <w:spacing w:after="0" w:line="239" w:lineRule="auto"/>
        <w:rPr>
          <w:sz w:val="20"/>
          <w:szCs w:val="20"/>
          <w:color w:val="auto"/>
        </w:rPr>
      </w:pPr>
      <w:r>
        <w:rPr>
          <w:rFonts w:ascii="Arial" w:cs="Arial" w:eastAsia="Arial" w:hAnsi="Arial"/>
          <w:sz w:val="18"/>
          <w:szCs w:val="18"/>
          <w:color w:val="auto"/>
        </w:rPr>
        <w:t>Our ability to execute our business strategy is subject to numerous risks, including those described in the section titled “Risk factors” immediately following this prospectus summary. These risks include the following, among others:</w:t>
      </w:r>
    </w:p>
    <w:p>
      <w:pPr>
        <w:spacing w:after="0" w:line="114" w:lineRule="exact"/>
        <w:rPr>
          <w:sz w:val="20"/>
          <w:szCs w:val="20"/>
          <w:color w:val="auto"/>
        </w:rPr>
      </w:pPr>
    </w:p>
    <w:p>
      <w:pPr>
        <w:ind w:left="580" w:right="300" w:hanging="194"/>
        <w:spacing w:after="0" w:line="281"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83" w:lineRule="exact"/>
        <w:rPr>
          <w:rFonts w:ascii="Arial" w:cs="Arial" w:eastAsia="Arial" w:hAnsi="Arial"/>
          <w:sz w:val="16"/>
          <w:szCs w:val="16"/>
          <w:color w:val="auto"/>
        </w:rPr>
      </w:pPr>
    </w:p>
    <w:p>
      <w:pPr>
        <w:ind w:left="580" w:hanging="19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17" w:lineRule="exact"/>
        <w:rPr>
          <w:rFonts w:ascii="Arial" w:cs="Arial" w:eastAsia="Arial" w:hAnsi="Arial"/>
          <w:sz w:val="18"/>
          <w:szCs w:val="18"/>
          <w:color w:val="auto"/>
        </w:rPr>
      </w:pPr>
    </w:p>
    <w:p>
      <w:pPr>
        <w:ind w:left="580" w:right="20" w:hanging="194"/>
        <w:spacing w:after="0" w:line="238"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13" w:lineRule="exact"/>
        <w:rPr>
          <w:rFonts w:ascii="Arial" w:cs="Arial" w:eastAsia="Arial" w:hAnsi="Arial"/>
          <w:sz w:val="18"/>
          <w:szCs w:val="18"/>
          <w:color w:val="auto"/>
        </w:rPr>
      </w:pPr>
    </w:p>
    <w:p>
      <w:pPr>
        <w:ind w:left="580" w:right="120" w:hanging="194"/>
        <w:spacing w:after="0" w:line="23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114" w:lineRule="exact"/>
        <w:rPr>
          <w:rFonts w:ascii="Arial" w:cs="Arial" w:eastAsia="Arial" w:hAnsi="Arial"/>
          <w:sz w:val="18"/>
          <w:szCs w:val="18"/>
          <w:color w:val="auto"/>
        </w:rPr>
      </w:pPr>
    </w:p>
    <w:p>
      <w:pPr>
        <w:ind w:left="580" w:right="240" w:hanging="194"/>
        <w:spacing w:after="0" w:line="23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be adversely affected.</w:t>
      </w:r>
    </w:p>
    <w:p>
      <w:pPr>
        <w:spacing w:after="0" w:line="114" w:lineRule="exact"/>
        <w:rPr>
          <w:rFonts w:ascii="Arial" w:cs="Arial" w:eastAsia="Arial" w:hAnsi="Arial"/>
          <w:sz w:val="18"/>
          <w:szCs w:val="18"/>
          <w:color w:val="auto"/>
        </w:rPr>
      </w:pPr>
    </w:p>
    <w:p>
      <w:pPr>
        <w:ind w:left="580" w:right="60" w:hanging="194"/>
        <w:spacing w:after="0" w:line="238"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p>
    <w:p>
      <w:pPr>
        <w:spacing w:after="0" w:line="113" w:lineRule="exact"/>
        <w:rPr>
          <w:rFonts w:ascii="Arial" w:cs="Arial" w:eastAsia="Arial" w:hAnsi="Arial"/>
          <w:sz w:val="18"/>
          <w:szCs w:val="18"/>
          <w:color w:val="auto"/>
        </w:rPr>
      </w:pPr>
    </w:p>
    <w:p>
      <w:pPr>
        <w:ind w:left="580" w:right="140" w:hanging="194"/>
        <w:spacing w:after="0" w:line="23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developing RMC-4630 in combination with Roche’s cobimetinib, and may in the future, develop RMC-4630 and other product candidates in combination with other therapies, such as Amgen’s AMG 510, which exposes us to additional risks.</w:t>
      </w:r>
    </w:p>
    <w:p>
      <w:pPr>
        <w:spacing w:after="0" w:line="114" w:lineRule="exact"/>
        <w:rPr>
          <w:rFonts w:ascii="Arial" w:cs="Arial" w:eastAsia="Arial" w:hAnsi="Arial"/>
          <w:sz w:val="18"/>
          <w:szCs w:val="18"/>
          <w:color w:val="auto"/>
        </w:rPr>
      </w:pPr>
    </w:p>
    <w:p>
      <w:pPr>
        <w:ind w:left="580" w:right="240" w:hanging="194"/>
        <w:spacing w:after="0" w:line="23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14" w:lineRule="exact"/>
        <w:rPr>
          <w:rFonts w:ascii="Arial" w:cs="Arial" w:eastAsia="Arial" w:hAnsi="Arial"/>
          <w:sz w:val="18"/>
          <w:szCs w:val="18"/>
          <w:color w:val="auto"/>
        </w:rPr>
      </w:pPr>
    </w:p>
    <w:p>
      <w:pPr>
        <w:jc w:val="both"/>
        <w:ind w:left="580" w:right="20" w:hanging="194"/>
        <w:spacing w:after="0" w:line="281"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380" w:right="740"/>
        <w:spacing w:after="0" w:line="239" w:lineRule="auto"/>
        <w:rPr>
          <w:sz w:val="20"/>
          <w:szCs w:val="20"/>
          <w:color w:val="auto"/>
        </w:rPr>
      </w:pPr>
      <w:r>
        <w:rPr>
          <w:rFonts w:ascii="Arial" w:cs="Arial" w:eastAsia="Arial" w:hAnsi="Arial"/>
          <w:sz w:val="18"/>
          <w:szCs w:val="18"/>
          <w:color w:val="auto"/>
        </w:rPr>
        <w:t>We were founded in October 2014 as a Delaware corporation. Our principal executive offices are located at 700 Saginaw Drive, Redwood City, California 94063, and our telephone number is (650) 481-6801.</w:t>
      </w:r>
    </w:p>
    <w:p>
      <w:pPr>
        <w:spacing w:after="0" w:line="101" w:lineRule="exact"/>
        <w:rPr>
          <w:sz w:val="20"/>
          <w:szCs w:val="20"/>
          <w:color w:val="auto"/>
        </w:rPr>
      </w:pPr>
    </w:p>
    <w:p>
      <w:pPr>
        <w:ind w:left="380"/>
        <w:spacing w:after="0" w:line="239" w:lineRule="auto"/>
        <w:rPr>
          <w:sz w:val="20"/>
          <w:szCs w:val="20"/>
          <w:color w:val="auto"/>
        </w:rPr>
      </w:pPr>
      <w:r>
        <w:rPr>
          <w:rFonts w:ascii="Arial" w:cs="Arial" w:eastAsia="Arial" w:hAnsi="Arial"/>
          <w:sz w:val="18"/>
          <w:szCs w:val="18"/>
          <w:color w:val="auto"/>
        </w:rPr>
        <w:t>Our website address is www.revmed.com. The information on, or that can be accessed through, our website is not part of this prospectus and is not incorporated by reference herein. We have included our website address as an inactive textual reference only.</w:t>
      </w:r>
    </w:p>
    <w:p>
      <w:pPr>
        <w:spacing w:after="0" w:line="15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05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330581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 emerging growth company until the earliest of: (1) the last day of the fiscal year following the fifth anniversary of the consummation of</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this offering, (2) the last day of the fiscal year in which we have total annual gross revenue of at least $1.07 billion, (3) the last day of the</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fiscal year in which we are deemed to be a “large accelerated filer” as defined in Rule 12b-2 under the Securities Exchange Act of 1934,</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amended, or the Exchange Act, which would occur if the market value of our common stock held by non-affiliates exceeded</w:t>
      </w:r>
    </w:p>
    <w:p>
      <w:pPr>
        <w:ind w:left="380"/>
        <w:spacing w:after="0"/>
        <w:rPr>
          <w:sz w:val="20"/>
          <w:szCs w:val="20"/>
          <w:color w:val="auto"/>
        </w:rPr>
      </w:pPr>
      <w:r>
        <w:rPr>
          <w:rFonts w:ascii="Arial" w:cs="Arial" w:eastAsia="Arial" w:hAnsi="Arial"/>
          <w:sz w:val="16"/>
          <w:szCs w:val="16"/>
          <w:color w:val="auto"/>
        </w:rPr>
        <w:t>$700.0 million as of the last business day of the second fiscal quarter of such year or (4) the date on which we have issued more than</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 billion in non-convertible debt securities during the prior three-year period. An emerging growth company may take advantage of</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specified reduced reporting requirements and is relieved of certain other significant requirements that are otherwise generally applicable</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public companies. As an emerging growth company:</w:t>
      </w:r>
    </w:p>
    <w:p>
      <w:pPr>
        <w:spacing w:after="0" w:line="117" w:lineRule="exact"/>
        <w:rPr>
          <w:sz w:val="20"/>
          <w:szCs w:val="20"/>
          <w:color w:val="auto"/>
        </w:rPr>
      </w:pPr>
    </w:p>
    <w:p>
      <w:pPr>
        <w:ind w:left="580" w:right="640" w:hanging="194"/>
        <w:spacing w:after="0" w:line="23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present in this prospectus only two years of audited annual financial statements, plus any required unaudited financial statements, and related management’s discussion and analysis of financial condition and results of operations;</w:t>
      </w:r>
    </w:p>
    <w:p>
      <w:pPr>
        <w:spacing w:after="0" w:line="114" w:lineRule="exact"/>
        <w:rPr>
          <w:rFonts w:ascii="Arial" w:cs="Arial" w:eastAsia="Arial" w:hAnsi="Arial"/>
          <w:sz w:val="18"/>
          <w:szCs w:val="18"/>
          <w:color w:val="auto"/>
        </w:rPr>
      </w:pPr>
    </w:p>
    <w:p>
      <w:pPr>
        <w:ind w:left="580" w:right="100" w:hanging="194"/>
        <w:spacing w:after="0" w:line="299"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w:t>
      </w:r>
    </w:p>
    <w:p>
      <w:pPr>
        <w:spacing w:after="0" w:line="68" w:lineRule="exact"/>
        <w:rPr>
          <w:rFonts w:ascii="Arial" w:cs="Arial" w:eastAsia="Arial" w:hAnsi="Arial"/>
          <w:sz w:val="16"/>
          <w:szCs w:val="16"/>
          <w:color w:val="auto"/>
        </w:rPr>
      </w:pPr>
    </w:p>
    <w:p>
      <w:pPr>
        <w:ind w:left="580" w:hanging="194"/>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 and</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w:t>
      </w:r>
    </w:p>
    <w:p>
      <w:pPr>
        <w:spacing w:after="0" w:line="104" w:lineRule="exact"/>
        <w:rPr>
          <w:sz w:val="20"/>
          <w:szCs w:val="20"/>
          <w:color w:val="auto"/>
        </w:rPr>
      </w:pPr>
    </w:p>
    <w:p>
      <w:pPr>
        <w:ind w:left="380"/>
        <w:spacing w:after="0" w:line="236"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15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240" w:top="459" w:right="71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312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5312410"/>
                    </a:xfrm>
                    <a:prstGeom prst="rect">
                      <a:avLst/>
                    </a:prstGeom>
                    <a:noFill/>
                  </pic:spPr>
                </pic:pic>
              </a:graphicData>
            </a:graphic>
          </wp:anchor>
        </w:drawing>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The offering</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Common stock offered by us</w:t>
      </w:r>
    </w:p>
    <w:p>
      <w:pPr>
        <w:spacing w:after="0" w:line="131" w:lineRule="exact"/>
        <w:rPr>
          <w:sz w:val="20"/>
          <w:szCs w:val="20"/>
          <w:color w:val="auto"/>
        </w:rPr>
      </w:pPr>
    </w:p>
    <w:p>
      <w:pPr>
        <w:ind w:left="380" w:right="140"/>
        <w:spacing w:after="0" w:line="328" w:lineRule="auto"/>
        <w:rPr>
          <w:sz w:val="20"/>
          <w:szCs w:val="20"/>
          <w:color w:val="auto"/>
        </w:rPr>
      </w:pPr>
      <w:r>
        <w:rPr>
          <w:rFonts w:ascii="Arial" w:cs="Arial" w:eastAsia="Arial" w:hAnsi="Arial"/>
          <w:sz w:val="16"/>
          <w:szCs w:val="16"/>
          <w:b w:val="1"/>
          <w:bCs w:val="1"/>
          <w:color w:val="auto"/>
        </w:rPr>
        <w:t>Underwriters’ option to purchase additional shares from us</w:t>
      </w:r>
    </w:p>
    <w:p>
      <w:pPr>
        <w:spacing w:after="0" w:line="37" w:lineRule="exact"/>
        <w:rPr>
          <w:sz w:val="20"/>
          <w:szCs w:val="20"/>
          <w:color w:val="auto"/>
        </w:rPr>
      </w:pPr>
    </w:p>
    <w:p>
      <w:pPr>
        <w:ind w:left="380" w:right="100"/>
        <w:spacing w:after="0" w:line="328" w:lineRule="auto"/>
        <w:rPr>
          <w:sz w:val="20"/>
          <w:szCs w:val="20"/>
          <w:color w:val="auto"/>
        </w:rPr>
      </w:pPr>
      <w:r>
        <w:rPr>
          <w:rFonts w:ascii="Arial" w:cs="Arial" w:eastAsia="Arial" w:hAnsi="Arial"/>
          <w:sz w:val="16"/>
          <w:szCs w:val="16"/>
          <w:b w:val="1"/>
          <w:bCs w:val="1"/>
          <w:color w:val="auto"/>
        </w:rPr>
        <w:t>Common stock to be outstanding immediately after this offering</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14,000,000 shares</w:t>
      </w:r>
    </w:p>
    <w:p>
      <w:pPr>
        <w:spacing w:after="0" w:line="131"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We have granted the underwriters a 30-day option to purchase up to 2,100,000 additional shares at the initial public offering price, less underwriting discounts and commissions.</w:t>
      </w:r>
    </w:p>
    <w:p>
      <w:pPr>
        <w:spacing w:after="0" w:line="8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56,902,309 shares (or 59,002,309 shares if the underwriters exercise in full their option to purchase additional shares)</w:t>
      </w:r>
    </w:p>
    <w:p>
      <w:pPr>
        <w:spacing w:after="0" w:line="12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estimate that the net proceeds from this offering will be approximately $217.8 million, or approximately $251.0 million if the underwriters exercise their option to purchase additional shares in full, at the initial public offering price of $17.00 per share, after deducting the underwriting discounts and commissions and estimated offering expenses payable by us.</w:t>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currently expect to use the net proceeds from this offering to fund the development of our multiple RAS programs, including our RAS(ON) portfolio and our SOS1 program, and our 4EBP1/mTORC1 program and other general corporate purposes, which may include the hiring of additional personnel, capital expenditures and the costs of operating as a public company. See “Use of proceeds” on page 73 for a more complete description of the intended use of proceeds from this offering.</w:t>
      </w:r>
    </w:p>
    <w:p>
      <w:pPr>
        <w:spacing w:after="0" w:line="11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See “Risk factors” beginning on page 12 and other information included in this prospectus for a discussion of factors that you should consider carefully before deciding to invest in our common stock.</w:t>
      </w:r>
    </w:p>
    <w:p>
      <w:pPr>
        <w:spacing w:after="0" w:line="92" w:lineRule="exact"/>
        <w:rPr>
          <w:sz w:val="20"/>
          <w:szCs w:val="20"/>
          <w:color w:val="auto"/>
        </w:rPr>
      </w:pPr>
    </w:p>
    <w:p>
      <w:pPr>
        <w:sectPr>
          <w:pgSz w:w="11900" w:h="16838" w:orient="portrait"/>
          <w:cols w:equalWidth="0" w:num="2">
            <w:col w:w="3280" w:space="720"/>
            <w:col w:w="7020"/>
          </w:cols>
          <w:pgMar w:left="240" w:top="459" w:right="639" w:bottom="1440" w:gutter="0" w:footer="0" w:header="0"/>
          <w:type w:val="continuous"/>
        </w:sectPr>
      </w:pPr>
    </w:p>
    <w:p>
      <w:pPr>
        <w:ind w:left="380"/>
        <w:spacing w:after="0"/>
        <w:tabs>
          <w:tab w:leader="none" w:pos="3980" w:val="left"/>
        </w:tabs>
        <w:rPr>
          <w:sz w:val="20"/>
          <w:szCs w:val="20"/>
          <w:color w:val="auto"/>
        </w:rPr>
      </w:pPr>
      <w:r>
        <w:rPr>
          <w:rFonts w:ascii="Arial" w:cs="Arial" w:eastAsia="Arial" w:hAnsi="Arial"/>
          <w:sz w:val="18"/>
          <w:szCs w:val="18"/>
          <w:b w:val="1"/>
          <w:bCs w:val="1"/>
          <w:color w:val="auto"/>
        </w:rPr>
        <w:t>Nasdaq Global Select Market symbol</w:t>
      </w:r>
      <w:r>
        <w:rPr>
          <w:sz w:val="20"/>
          <w:szCs w:val="20"/>
          <w:color w:val="auto"/>
        </w:rPr>
        <w:tab/>
      </w:r>
      <w:r>
        <w:rPr>
          <w:rFonts w:ascii="Arial" w:cs="Arial" w:eastAsia="Arial" w:hAnsi="Arial"/>
          <w:sz w:val="16"/>
          <w:szCs w:val="16"/>
          <w:color w:val="auto"/>
        </w:rPr>
        <w:t>“RVMD”</w:t>
      </w:r>
    </w:p>
    <w:p>
      <w:pPr>
        <w:spacing w:after="0" w:line="139" w:lineRule="exact"/>
        <w:rPr>
          <w:sz w:val="20"/>
          <w:szCs w:val="20"/>
          <w:color w:val="auto"/>
        </w:rPr>
      </w:pPr>
    </w:p>
    <w:p>
      <w:pPr>
        <w:ind w:left="380"/>
        <w:spacing w:after="0" w:line="239" w:lineRule="auto"/>
        <w:rPr>
          <w:sz w:val="20"/>
          <w:szCs w:val="20"/>
          <w:color w:val="auto"/>
        </w:rPr>
      </w:pPr>
      <w:r>
        <w:rPr>
          <w:rFonts w:ascii="Arial" w:cs="Arial" w:eastAsia="Arial" w:hAnsi="Arial"/>
          <w:sz w:val="18"/>
          <w:szCs w:val="18"/>
          <w:color w:val="auto"/>
        </w:rPr>
        <w:t>The number of shares of common stock to be outstanding after this offering is based on 42,902,309 shares of common stock outstanding as of September 30, 2019, and excludes the following:</w:t>
      </w:r>
    </w:p>
    <w:p>
      <w:pPr>
        <w:spacing w:after="0" w:line="114" w:lineRule="exact"/>
        <w:rPr>
          <w:sz w:val="20"/>
          <w:szCs w:val="20"/>
          <w:color w:val="auto"/>
        </w:rPr>
      </w:pPr>
    </w:p>
    <w:p>
      <w:pPr>
        <w:ind w:left="580" w:right="580" w:hanging="194"/>
        <w:spacing w:after="0" w:line="23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4,670,745 shares of common stock issuable upon the exercise of outstanding stock options as of September 30, 2019 having a weighted-average exercise price of $3.36 per share;</w:t>
      </w:r>
    </w:p>
    <w:p>
      <w:pPr>
        <w:spacing w:after="0" w:line="114" w:lineRule="exact"/>
        <w:rPr>
          <w:rFonts w:ascii="Arial" w:cs="Arial" w:eastAsia="Arial" w:hAnsi="Arial"/>
          <w:sz w:val="18"/>
          <w:szCs w:val="18"/>
          <w:color w:val="auto"/>
        </w:rPr>
      </w:pPr>
    </w:p>
    <w:p>
      <w:pPr>
        <w:ind w:left="580" w:right="260" w:hanging="194"/>
        <w:spacing w:after="0" w:line="23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277,012 shares of common stock issuable upon the exercise of stock options granted after September 30, 2019 having a weighted-average exercise price of $7.50 per share;</w:t>
      </w:r>
    </w:p>
    <w:p>
      <w:pPr>
        <w:spacing w:after="0" w:line="114" w:lineRule="exact"/>
        <w:rPr>
          <w:rFonts w:ascii="Arial" w:cs="Arial" w:eastAsia="Arial" w:hAnsi="Arial"/>
          <w:sz w:val="18"/>
          <w:szCs w:val="18"/>
          <w:color w:val="auto"/>
        </w:rPr>
      </w:pPr>
    </w:p>
    <w:p>
      <w:pPr>
        <w:ind w:left="580" w:right="240" w:hanging="194"/>
        <w:spacing w:after="0" w:line="23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1,041,448 shares of common stock reserved for issuance pursuant to future awards under our 2014 Equity Incentive Plan, as amended, as of September 30, 2019, which became available for issuance under our 2020 Incentive Award Plan on the day prior to the effectiveness of the registration statement to which this prospectus relates;</w:t>
      </w:r>
    </w:p>
    <w:p>
      <w:pPr>
        <w:spacing w:after="0" w:line="113" w:lineRule="exact"/>
        <w:rPr>
          <w:rFonts w:ascii="Arial" w:cs="Arial" w:eastAsia="Arial" w:hAnsi="Arial"/>
          <w:sz w:val="18"/>
          <w:szCs w:val="18"/>
          <w:color w:val="auto"/>
        </w:rPr>
      </w:pPr>
    </w:p>
    <w:p>
      <w:pPr>
        <w:ind w:left="580" w:right="140" w:hanging="194"/>
        <w:spacing w:after="0" w:line="23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5,771,197 shares of common stock reserved for issuance pursuant to future awards under our 2020 Incentive Award Plan, as well as any automatic increases in the number of shares of common stock reserved for future</w:t>
      </w:r>
    </w:p>
    <w:p>
      <w:pPr>
        <w:spacing w:after="0" w:line="15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176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317690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580" w:right="480"/>
        <w:spacing w:after="0" w:line="238" w:lineRule="auto"/>
        <w:rPr>
          <w:sz w:val="20"/>
          <w:szCs w:val="20"/>
          <w:color w:val="auto"/>
        </w:rPr>
      </w:pPr>
      <w:r>
        <w:rPr>
          <w:rFonts w:ascii="Arial" w:cs="Arial" w:eastAsia="Arial" w:hAnsi="Arial"/>
          <w:sz w:val="18"/>
          <w:szCs w:val="18"/>
          <w:color w:val="auto"/>
        </w:rPr>
        <w:t>issuance under this plan, which became effective on the day prior to the effectiveness of the registration statement to which this prospectus relates, of which options to purchase 481,600 shares of common stock at an exercise price equal to the initial public offering price set forth on the cover of this prospectus have been granted coincident with this offering; and</w:t>
      </w:r>
    </w:p>
    <w:p>
      <w:pPr>
        <w:spacing w:after="0" w:line="114" w:lineRule="exact"/>
        <w:rPr>
          <w:sz w:val="20"/>
          <w:szCs w:val="20"/>
          <w:color w:val="auto"/>
        </w:rPr>
      </w:pPr>
    </w:p>
    <w:p>
      <w:pPr>
        <w:ind w:left="580" w:right="180" w:hanging="194"/>
        <w:spacing w:after="0" w:line="23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528,959 shares of common stock reserved for issuance under our 2020 Employee Stock Purchase Plan, as well as any automatic increases in the number of shares of our common stock reserved for future issuance under this plan, which became effective on the day prior to the effectiveness of the registration statement to which this prospectus relates.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unless we specifically state otherwise, all information in this prospectus reflects and assumes the following:</w:t>
      </w:r>
    </w:p>
    <w:p>
      <w:pPr>
        <w:spacing w:after="0" w:line="117" w:lineRule="exact"/>
        <w:rPr>
          <w:sz w:val="20"/>
          <w:szCs w:val="20"/>
          <w:color w:val="auto"/>
        </w:rPr>
      </w:pPr>
    </w:p>
    <w:p>
      <w:pPr>
        <w:ind w:left="580" w:hanging="194"/>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1-for-4.8661 reverse stock split of our common stock and preferred stock, which we effected on February 7, 2020;</w:t>
      </w:r>
    </w:p>
    <w:p>
      <w:pPr>
        <w:spacing w:after="0" w:line="117" w:lineRule="exact"/>
        <w:rPr>
          <w:rFonts w:ascii="Arial" w:cs="Arial" w:eastAsia="Arial" w:hAnsi="Arial"/>
          <w:sz w:val="18"/>
          <w:szCs w:val="18"/>
          <w:color w:val="auto"/>
        </w:rPr>
      </w:pPr>
    </w:p>
    <w:p>
      <w:pPr>
        <w:ind w:left="580" w:right="320" w:hanging="194"/>
        <w:spacing w:after="0" w:line="239"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all 39,600,423 shares of our outstanding preferred stock as of September 30, 2019 into an equivalent number of shares of common stock immediately upon the consummation of this offering;</w:t>
      </w:r>
    </w:p>
    <w:p>
      <w:pPr>
        <w:spacing w:after="0" w:line="114" w:lineRule="exact"/>
        <w:rPr>
          <w:rFonts w:ascii="Arial" w:cs="Arial" w:eastAsia="Arial" w:hAnsi="Arial"/>
          <w:sz w:val="18"/>
          <w:szCs w:val="18"/>
          <w:color w:val="auto"/>
        </w:rPr>
      </w:pPr>
    </w:p>
    <w:p>
      <w:pPr>
        <w:ind w:left="580" w:hanging="194"/>
        <w:spacing w:after="0" w:line="239"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upon the consummation of this offering;</w:t>
      </w:r>
    </w:p>
    <w:p>
      <w:pPr>
        <w:spacing w:after="0" w:line="114" w:lineRule="exact"/>
        <w:rPr>
          <w:rFonts w:ascii="Arial" w:cs="Arial" w:eastAsia="Arial" w:hAnsi="Arial"/>
          <w:sz w:val="18"/>
          <w:szCs w:val="18"/>
          <w:color w:val="auto"/>
        </w:rPr>
      </w:pPr>
    </w:p>
    <w:p>
      <w:pPr>
        <w:ind w:left="580" w:hanging="194"/>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outstanding stock options subsequent to September 30, 2019; and</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common stock.</w:t>
      </w:r>
    </w:p>
    <w:p>
      <w:pPr>
        <w:spacing w:after="0" w:line="104" w:lineRule="exact"/>
        <w:rPr>
          <w:sz w:val="20"/>
          <w:szCs w:val="20"/>
          <w:color w:val="auto"/>
        </w:rPr>
      </w:pPr>
    </w:p>
    <w:p>
      <w:pPr>
        <w:ind w:left="380" w:right="20"/>
        <w:spacing w:after="0" w:line="236" w:lineRule="auto"/>
        <w:rPr>
          <w:sz w:val="20"/>
          <w:szCs w:val="20"/>
          <w:color w:val="auto"/>
        </w:rPr>
      </w:pPr>
      <w:r>
        <w:rPr>
          <w:rFonts w:ascii="Arial" w:cs="Arial" w:eastAsia="Arial" w:hAnsi="Arial"/>
          <w:sz w:val="18"/>
          <w:szCs w:val="18"/>
          <w:color w:val="auto"/>
        </w:rPr>
        <w:t>Unless otherwise specified and unless the context otherwise requires, we refer to our Series A, Series B and Series C redeemable convertible preferred stock collectively as “preferred stock” in this prospectus. For financial reporting purposes and in the financial tables included in this prospectus, we refer to our Series A, Series B and Series C redeemable convertible preferred stock collectively as “redeemable convertible preferred stock,” as more fully explained in Note 8 to our consolidated financial statements included in this prospectus.</w:t>
      </w:r>
    </w:p>
    <w:p>
      <w:pPr>
        <w:spacing w:after="0" w:line="15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24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69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55695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Summary consolidated financial data</w:t>
      </w:r>
    </w:p>
    <w:p>
      <w:pPr>
        <w:spacing w:after="0" w:line="140" w:lineRule="exact"/>
        <w:rPr>
          <w:sz w:val="20"/>
          <w:szCs w:val="20"/>
          <w:color w:val="auto"/>
        </w:rPr>
      </w:pPr>
    </w:p>
    <w:p>
      <w:pPr>
        <w:ind w:left="380" w:right="20"/>
        <w:spacing w:after="0" w:line="243" w:lineRule="auto"/>
        <w:rPr>
          <w:sz w:val="20"/>
          <w:szCs w:val="20"/>
          <w:color w:val="auto"/>
        </w:rPr>
      </w:pPr>
      <w:r>
        <w:rPr>
          <w:rFonts w:ascii="Arial" w:cs="Arial" w:eastAsia="Arial" w:hAnsi="Arial"/>
          <w:sz w:val="18"/>
          <w:szCs w:val="18"/>
          <w:i w:val="1"/>
          <w:iCs w:val="1"/>
          <w:color w:val="auto"/>
        </w:rPr>
        <w:t>The following tables present our summary consolidated financial data. You should read this data together with our consolidated financial statements and related notes appearing elsewhere in this prospectus and the information under the captions “Selected consolidated financial data,” “Unaudited pro forma condensed combined financial statements” and “Management’s discussion and analysis of financial condition and results of operations.”</w:t>
      </w:r>
    </w:p>
    <w:p>
      <w:pPr>
        <w:spacing w:after="0" w:line="98" w:lineRule="exact"/>
        <w:rPr>
          <w:sz w:val="20"/>
          <w:szCs w:val="20"/>
          <w:color w:val="auto"/>
        </w:rPr>
      </w:pPr>
    </w:p>
    <w:p>
      <w:pPr>
        <w:ind w:left="380" w:right="20"/>
        <w:spacing w:after="0" w:line="268" w:lineRule="auto"/>
        <w:rPr>
          <w:sz w:val="20"/>
          <w:szCs w:val="20"/>
          <w:color w:val="auto"/>
        </w:rPr>
      </w:pPr>
      <w:r>
        <w:rPr>
          <w:rFonts w:ascii="Arial" w:cs="Arial" w:eastAsia="Arial" w:hAnsi="Arial"/>
          <w:sz w:val="16"/>
          <w:szCs w:val="16"/>
          <w:color w:val="auto"/>
        </w:rPr>
        <w:t>We have derived the following consolidated summary statements of operations data for the years ended December 31, 2017 and 2018 (except for the pro forma net loss per share and the pro forma share information) from our audited consolidated financial statements and related notes appearing elsewhere in this prospectus. The summary consolidated statements of operations data for the nine months ended September 30, 2018 and 2019 and the summary consolidated balance sheet data as of September 30, 2019 are derived from our unaudited interim consolidated financial statements included elsewhere in this prospectus. The unaudited interim financial statements have been prepared in accordance with generally accepted accounting principles in the United States and on the same basis as the audited consolidated financial statements and, in the opinion of management, reflect all adjustments, which include only normal recurring adjustments, necessary to state fairly our financial position as of September 30, 2019 and the results of operations for the nine months ended September 30, 2018 and 2019. Our historical results are not necessarily indicative of our future results and results for the nine months ended September 30, 2019 are not necessarily indicative of results to be expected for the full year.</w:t>
      </w:r>
    </w:p>
    <w:p>
      <w:pPr>
        <w:spacing w:after="0" w:line="33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65"/>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7"/>
              </w:rPr>
              <w:t>Year ended December 31,</w:t>
            </w:r>
          </w:p>
        </w:tc>
        <w:tc>
          <w:tcPr>
            <w:tcW w:w="80" w:type="dxa"/>
            <w:vAlign w:val="bottom"/>
          </w:tcPr>
          <w:p>
            <w:pPr>
              <w:spacing w:after="0"/>
              <w:rPr>
                <w:sz w:val="14"/>
                <w:szCs w:val="14"/>
                <w:color w:val="auto"/>
              </w:rPr>
            </w:pPr>
          </w:p>
        </w:tc>
        <w:tc>
          <w:tcPr>
            <w:tcW w:w="18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64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9"/>
                <w:szCs w:val="19"/>
                <w:color w:val="auto"/>
              </w:rPr>
            </w:pPr>
          </w:p>
        </w:tc>
      </w:tr>
      <w:tr>
        <w:trPr>
          <w:trHeight w:val="172"/>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(in thousands, except share and per share data)</w:t>
            </w:r>
          </w:p>
        </w:tc>
      </w:tr>
      <w:tr>
        <w:trPr>
          <w:trHeight w:val="38"/>
        </w:trPr>
        <w:tc>
          <w:tcPr>
            <w:tcW w:w="6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6440" w:type="dxa"/>
            <w:vAlign w:val="bottom"/>
          </w:tcPr>
          <w:p>
            <w:pPr>
              <w:ind w:left="20"/>
              <w:spacing w:after="0" w:line="149" w:lineRule="exact"/>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Collaboration revenue, related party</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19,420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9,818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37,953</w:t>
            </w:r>
          </w:p>
        </w:tc>
      </w:tr>
      <w:tr>
        <w:trPr>
          <w:trHeight w:val="149"/>
        </w:trPr>
        <w:tc>
          <w:tcPr>
            <w:tcW w:w="6440" w:type="dxa"/>
            <w:vAlign w:val="bottom"/>
          </w:tcPr>
          <w:p>
            <w:pPr>
              <w:ind w:left="220"/>
              <w:spacing w:after="0" w:line="149" w:lineRule="exact"/>
              <w:rPr>
                <w:sz w:val="20"/>
                <w:szCs w:val="20"/>
                <w:color w:val="auto"/>
              </w:rPr>
            </w:pPr>
            <w:r>
              <w:rPr>
                <w:rFonts w:ascii="Arial" w:cs="Arial" w:eastAsia="Arial" w:hAnsi="Arial"/>
                <w:sz w:val="14"/>
                <w:szCs w:val="14"/>
                <w:color w:val="auto"/>
              </w:rPr>
              <w:t>Collaboration revenue, other</w:t>
            </w:r>
          </w:p>
        </w:tc>
        <w:tc>
          <w:tcPr>
            <w:tcW w:w="10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745</w:t>
            </w:r>
          </w:p>
        </w:tc>
        <w:tc>
          <w:tcPr>
            <w:tcW w:w="8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revenue</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20,165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9,818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37,953</w:t>
            </w:r>
          </w:p>
        </w:tc>
      </w:tr>
      <w:tr>
        <w:trPr>
          <w:trHeight w:val="216"/>
        </w:trPr>
        <w:tc>
          <w:tcPr>
            <w:tcW w:w="64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26,586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51,084</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32,903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64,265</w:t>
            </w:r>
          </w:p>
        </w:tc>
      </w:tr>
      <w:tr>
        <w:trPr>
          <w:trHeight w:val="149"/>
        </w:trPr>
        <w:tc>
          <w:tcPr>
            <w:tcW w:w="6440" w:type="dxa"/>
            <w:vAlign w:val="bottom"/>
          </w:tcPr>
          <w:p>
            <w:pPr>
              <w:ind w:left="220"/>
              <w:spacing w:after="0" w:line="149" w:lineRule="exact"/>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4,543</w:t>
            </w:r>
          </w:p>
        </w:tc>
        <w:tc>
          <w:tcPr>
            <w:tcW w:w="12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9,410</w:t>
            </w:r>
          </w:p>
        </w:tc>
        <w:tc>
          <w:tcPr>
            <w:tcW w:w="8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5,575</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8,244</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31,129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60,494</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38,478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72,509</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440" w:type="dxa"/>
            <w:vAlign w:val="bottom"/>
          </w:tcPr>
          <w:p>
            <w:pPr>
              <w:ind w:left="20"/>
              <w:spacing w:after="0" w:line="155" w:lineRule="exact"/>
              <w:rPr>
                <w:sz w:val="20"/>
                <w:szCs w:val="20"/>
                <w:color w:val="auto"/>
              </w:rPr>
            </w:pPr>
            <w:r>
              <w:rPr>
                <w:rFonts w:ascii="Arial" w:cs="Arial" w:eastAsia="Arial" w:hAnsi="Arial"/>
                <w:sz w:val="14"/>
                <w:szCs w:val="14"/>
                <w:color w:val="auto"/>
              </w:rPr>
              <w:t>Loss from operations</w:t>
            </w:r>
          </w:p>
        </w:tc>
        <w:tc>
          <w:tcPr>
            <w:tcW w:w="100" w:type="dxa"/>
            <w:vAlign w:val="bottom"/>
          </w:tcPr>
          <w:p>
            <w:pPr>
              <w:spacing w:after="0"/>
              <w:rPr>
                <w:sz w:val="13"/>
                <w:szCs w:val="13"/>
                <w:color w:val="auto"/>
              </w:rPr>
            </w:pPr>
          </w:p>
        </w:tc>
        <w:tc>
          <w:tcPr>
            <w:tcW w:w="98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(31,129)</w:t>
            </w:r>
          </w:p>
        </w:tc>
        <w:tc>
          <w:tcPr>
            <w:tcW w:w="120" w:type="dxa"/>
            <w:vAlign w:val="bottom"/>
          </w:tcPr>
          <w:p>
            <w:pPr>
              <w:spacing w:after="0"/>
              <w:rPr>
                <w:sz w:val="13"/>
                <w:szCs w:val="13"/>
                <w:color w:val="auto"/>
              </w:rPr>
            </w:pPr>
          </w:p>
        </w:tc>
        <w:tc>
          <w:tcPr>
            <w:tcW w:w="10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(40,329)</w:t>
            </w:r>
          </w:p>
        </w:tc>
        <w:tc>
          <w:tcPr>
            <w:tcW w:w="80" w:type="dxa"/>
            <w:vAlign w:val="bottom"/>
          </w:tcPr>
          <w:p>
            <w:pPr>
              <w:spacing w:after="0"/>
              <w:rPr>
                <w:sz w:val="13"/>
                <w:szCs w:val="13"/>
                <w:color w:val="auto"/>
              </w:rPr>
            </w:pPr>
          </w:p>
        </w:tc>
        <w:tc>
          <w:tcPr>
            <w:tcW w:w="98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(28,660)</w:t>
            </w:r>
          </w:p>
        </w:tc>
        <w:tc>
          <w:tcPr>
            <w:tcW w:w="100" w:type="dxa"/>
            <w:vAlign w:val="bottom"/>
          </w:tcPr>
          <w:p>
            <w:pPr>
              <w:spacing w:after="0"/>
              <w:rPr>
                <w:sz w:val="13"/>
                <w:szCs w:val="13"/>
                <w:color w:val="auto"/>
              </w:rPr>
            </w:pP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(34,556)</w:t>
            </w: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6440" w:type="dxa"/>
            <w:vAlign w:val="bottom"/>
          </w:tcPr>
          <w:p>
            <w:pPr>
              <w:ind w:left="220"/>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105</w:t>
            </w:r>
          </w:p>
        </w:tc>
        <w:tc>
          <w:tcPr>
            <w:tcW w:w="12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777</w:t>
            </w:r>
          </w:p>
        </w:tc>
        <w:tc>
          <w:tcPr>
            <w:tcW w:w="8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414</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1,571</w:t>
            </w: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and other expense</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w:t>
            </w:r>
          </w:p>
        </w:tc>
      </w:tr>
      <w:tr>
        <w:trPr>
          <w:trHeight w:val="149"/>
        </w:trPr>
        <w:tc>
          <w:tcPr>
            <w:tcW w:w="6440" w:type="dxa"/>
            <w:vAlign w:val="bottom"/>
          </w:tcPr>
          <w:p>
            <w:pPr>
              <w:ind w:left="220"/>
              <w:spacing w:after="0" w:line="149" w:lineRule="exact"/>
              <w:rPr>
                <w:sz w:val="20"/>
                <w:szCs w:val="20"/>
                <w:color w:val="auto"/>
              </w:rPr>
            </w:pPr>
            <w:r>
              <w:rPr>
                <w:rFonts w:ascii="Arial" w:cs="Arial" w:eastAsia="Arial" w:hAnsi="Arial"/>
                <w:sz w:val="14"/>
                <w:szCs w:val="14"/>
                <w:color w:val="auto"/>
              </w:rPr>
              <w:t>Change in fair value of redeemable convertible preferred stock liability</w:t>
            </w:r>
          </w:p>
        </w:tc>
        <w:tc>
          <w:tcPr>
            <w:tcW w:w="10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(2,121)</w:t>
            </w:r>
          </w:p>
        </w:tc>
        <w:tc>
          <w:tcPr>
            <w:tcW w:w="80" w:type="dxa"/>
            <w:vAlign w:val="bottom"/>
          </w:tcPr>
          <w:p>
            <w:pPr>
              <w:spacing w:after="0"/>
              <w:rPr>
                <w:sz w:val="12"/>
                <w:szCs w:val="12"/>
                <w:color w:val="auto"/>
              </w:rPr>
            </w:pPr>
          </w:p>
        </w:tc>
        <w:tc>
          <w:tcPr>
            <w:tcW w:w="9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(2,121)</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other income (expense), net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(1,460)</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(1,790)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1,488</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440" w:type="dxa"/>
            <w:vAlign w:val="bottom"/>
          </w:tcPr>
          <w:p>
            <w:pPr>
              <w:ind w:left="20"/>
              <w:spacing w:after="0" w:line="155" w:lineRule="exact"/>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(31,127)</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(41,789)</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(30,450)</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(33,068)</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Redeemable convertible preferred stock dividends—undeclared and cumulative</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(3,763)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(7,031)</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(4,512)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(9,987)</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440" w:type="dxa"/>
            <w:vAlign w:val="bottom"/>
          </w:tcPr>
          <w:p>
            <w:pPr>
              <w:ind w:left="20"/>
              <w:spacing w:after="0" w:line="155" w:lineRule="exact"/>
              <w:rPr>
                <w:sz w:val="20"/>
                <w:szCs w:val="20"/>
                <w:color w:val="auto"/>
              </w:rPr>
            </w:pPr>
            <w:r>
              <w:rPr>
                <w:rFonts w:ascii="Arial" w:cs="Arial" w:eastAsia="Arial" w:hAnsi="Arial"/>
                <w:sz w:val="14"/>
                <w:szCs w:val="14"/>
                <w:color w:val="auto"/>
              </w:rPr>
              <w:t>Net loss attributable to common stockholders</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(34,890)</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(48,820)</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(34,962)</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(43,055)</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 per share attributable to common stockholders—basic and diluted(1)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(20.25)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(21.24)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(15.77)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(15.81)</w:t>
            </w:r>
          </w:p>
        </w:tc>
      </w:tr>
      <w:tr>
        <w:trPr>
          <w:trHeight w:val="155"/>
        </w:trPr>
        <w:tc>
          <w:tcPr>
            <w:tcW w:w="6440" w:type="dxa"/>
            <w:vAlign w:val="bottom"/>
          </w:tcPr>
          <w:p>
            <w:pPr>
              <w:ind w:left="20"/>
              <w:spacing w:after="0" w:line="155" w:lineRule="exact"/>
              <w:rPr>
                <w:sz w:val="20"/>
                <w:szCs w:val="20"/>
                <w:color w:val="auto"/>
              </w:rPr>
            </w:pPr>
            <w:r>
              <w:rPr>
                <w:rFonts w:ascii="Arial" w:cs="Arial" w:eastAsia="Arial" w:hAnsi="Arial"/>
                <w:sz w:val="14"/>
                <w:szCs w:val="14"/>
                <w:color w:val="auto"/>
              </w:rPr>
              <w:t>Weighted-average shares used to compute net loss per share attributable to common stockholders—</w:t>
            </w: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440" w:type="dxa"/>
            <w:vAlign w:val="bottom"/>
          </w:tcPr>
          <w:p>
            <w:pPr>
              <w:ind w:left="220"/>
              <w:spacing w:after="0" w:line="149" w:lineRule="exact"/>
              <w:rPr>
                <w:sz w:val="20"/>
                <w:szCs w:val="20"/>
                <w:color w:val="auto"/>
              </w:rPr>
            </w:pPr>
            <w:r>
              <w:rPr>
                <w:rFonts w:ascii="Arial" w:cs="Arial" w:eastAsia="Arial" w:hAnsi="Arial"/>
                <w:sz w:val="14"/>
                <w:szCs w:val="14"/>
                <w:color w:val="auto"/>
              </w:rPr>
              <w:t>basic and diluted(1)</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w w:val="96"/>
              </w:rPr>
              <w:t>1,723,387</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2,298,820</w:t>
            </w: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w w:val="96"/>
              </w:rPr>
              <w:t>2,217,159</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2,723,541</w:t>
            </w:r>
          </w:p>
        </w:tc>
        <w:tc>
          <w:tcPr>
            <w:tcW w:w="80" w:type="dxa"/>
            <w:vAlign w:val="bottom"/>
          </w:tcPr>
          <w:p>
            <w:pPr>
              <w:spacing w:after="0"/>
              <w:rPr>
                <w:sz w:val="13"/>
                <w:szCs w:val="13"/>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 forma net loss per share—basic and diluted(1)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(0.91)</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shares used in computing pro forma net loss per share—basic and diluted(1)</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w w:val="96"/>
              </w:rPr>
              <w:t>23,163,260</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36,473,121</w:t>
            </w:r>
          </w:p>
        </w:tc>
        <w:tc>
          <w:tcPr>
            <w:tcW w:w="80" w:type="dxa"/>
            <w:vAlign w:val="bottom"/>
          </w:tcPr>
          <w:p>
            <w:pPr>
              <w:spacing w:after="0"/>
              <w:rPr>
                <w:sz w:val="14"/>
                <w:szCs w:val="14"/>
                <w:color w:val="auto"/>
              </w:rPr>
            </w:pPr>
          </w:p>
        </w:tc>
      </w:tr>
    </w:tbl>
    <w:p>
      <w:pPr>
        <w:spacing w:after="0" w:line="67" w:lineRule="exact"/>
        <w:rPr>
          <w:sz w:val="20"/>
          <w:szCs w:val="20"/>
          <w:color w:val="auto"/>
        </w:rPr>
      </w:pPr>
    </w:p>
    <w:p>
      <w:pPr>
        <w:ind w:left="680" w:right="300" w:hanging="294"/>
        <w:spacing w:after="0" w:line="300" w:lineRule="auto"/>
        <w:tabs>
          <w:tab w:leader="none" w:pos="6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calculation of our basic and diluted net loss per share attributable to common stockholders, basic and diluted pro forma net loss per share and weighted-average number of shares used in the computation of the per share amounts, see Note 12 to our consolidated financial statements included elsewhere in this prospectus.</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520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35204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380" w:type="dxa"/>
        <w:tblCellMar>
          <w:top w:w="0" w:type="dxa"/>
          <w:left w:w="0" w:type="dxa"/>
          <w:bottom w:w="0" w:type="dxa"/>
          <w:right w:w="0" w:type="dxa"/>
        </w:tblCellMar>
      </w:tblPr>
      <w:tr>
        <w:trPr>
          <w:trHeight w:val="221"/>
        </w:trPr>
        <w:tc>
          <w:tcPr>
            <w:tcW w:w="7100" w:type="dxa"/>
            <w:vAlign w:val="bottom"/>
          </w:tcPr>
          <w:p>
            <w:pPr>
              <w:spacing w:after="0"/>
              <w:rPr>
                <w:sz w:val="19"/>
                <w:szCs w:val="19"/>
                <w:color w:val="auto"/>
              </w:rPr>
            </w:pPr>
          </w:p>
        </w:tc>
        <w:tc>
          <w:tcPr>
            <w:tcW w:w="35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As of September 30, 2019</w:t>
            </w:r>
          </w:p>
        </w:tc>
      </w:tr>
      <w:tr>
        <w:trPr>
          <w:trHeight w:val="177"/>
        </w:trPr>
        <w:tc>
          <w:tcPr>
            <w:tcW w:w="7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5"/>
                <w:szCs w:val="15"/>
                <w:color w:val="auto"/>
              </w:rPr>
            </w:pPr>
          </w:p>
        </w:tc>
      </w:tr>
      <w:tr>
        <w:trPr>
          <w:trHeight w:val="221"/>
        </w:trPr>
        <w:tc>
          <w:tcPr>
            <w:tcW w:w="7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Actual</w:t>
            </w: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Pro forma</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as adjusted</w:t>
            </w:r>
          </w:p>
        </w:tc>
      </w:tr>
      <w:tr>
        <w:trPr>
          <w:trHeight w:val="226"/>
        </w:trPr>
        <w:tc>
          <w:tcPr>
            <w:tcW w:w="7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7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7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0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marketable securities</w:t>
            </w: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9"/>
              </w:rPr>
              <w:t>$ 136,288</w:t>
            </w:r>
          </w:p>
        </w:tc>
        <w:tc>
          <w:tcPr>
            <w:tcW w:w="14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$ 136,288</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   354,235</w:t>
            </w:r>
          </w:p>
        </w:tc>
      </w:tr>
      <w:tr>
        <w:trPr>
          <w:trHeight w:val="203"/>
        </w:trPr>
        <w:tc>
          <w:tcPr>
            <w:tcW w:w="7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Working capital(1)</w:t>
            </w: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110,477</w:t>
            </w:r>
          </w:p>
        </w:tc>
        <w:tc>
          <w:tcPr>
            <w:tcW w:w="14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110,477</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329,619</w:t>
            </w: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234,745</w:t>
            </w:r>
          </w:p>
        </w:tc>
        <w:tc>
          <w:tcPr>
            <w:tcW w:w="14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234,745</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451,390</w:t>
            </w:r>
          </w:p>
        </w:tc>
      </w:tr>
      <w:tr>
        <w:trPr>
          <w:trHeight w:val="203"/>
        </w:trPr>
        <w:tc>
          <w:tcPr>
            <w:tcW w:w="7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Redeemable convertible preferred stock</w:t>
            </w: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305,114</w:t>
            </w:r>
          </w:p>
        </w:tc>
        <w:tc>
          <w:tcPr>
            <w:tcW w:w="14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(142,790)</w:t>
            </w:r>
          </w:p>
        </w:tc>
        <w:tc>
          <w:tcPr>
            <w:tcW w:w="14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(142,790)</w:t>
            </w: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(142,790)</w:t>
            </w:r>
          </w:p>
        </w:tc>
      </w:tr>
      <w:tr>
        <w:trPr>
          <w:trHeight w:val="203"/>
        </w:trPr>
        <w:tc>
          <w:tcPr>
            <w:tcW w:w="7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stockholders’ (deficit) equity</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(139,446)</w:t>
            </w:r>
          </w:p>
        </w:tc>
        <w:tc>
          <w:tcPr>
            <w:tcW w:w="14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165,668</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383,508</w:t>
            </w: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380"/>
        <w:spacing w:after="0"/>
        <w:tabs>
          <w:tab w:leader="none" w:pos="66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We define working capital as current assets less current liabilities.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preceding table presents our consolidated balance sheet data as of September 30, 2019:</w:t>
      </w:r>
    </w:p>
    <w:p>
      <w:pPr>
        <w:spacing w:after="0" w:line="117" w:lineRule="exact"/>
        <w:rPr>
          <w:sz w:val="20"/>
          <w:szCs w:val="20"/>
          <w:color w:val="auto"/>
        </w:rPr>
      </w:pPr>
    </w:p>
    <w:p>
      <w:pPr>
        <w:ind w:left="580" w:hanging="194"/>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580" w:right="320" w:hanging="194"/>
        <w:spacing w:after="0" w:line="23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 pro forma basis to give effect to: (i) the conversion of all 39,600,423 shares of our redeemable convertible preferred stock outstanding as of September 30, 2019 into an equivalent number of shares of our common stock, which will be effective upon the closing of this offering; and (ii) the filing and effectiveness of our amended and restated certificate of incorporation, which will occur immediately prior to the consummation of this offering; and</w:t>
      </w:r>
    </w:p>
    <w:p>
      <w:pPr>
        <w:spacing w:after="0" w:line="114" w:lineRule="exact"/>
        <w:rPr>
          <w:rFonts w:ascii="Arial" w:cs="Arial" w:eastAsia="Arial" w:hAnsi="Arial"/>
          <w:sz w:val="18"/>
          <w:szCs w:val="18"/>
          <w:color w:val="auto"/>
        </w:rPr>
      </w:pPr>
    </w:p>
    <w:p>
      <w:pPr>
        <w:ind w:left="580" w:right="20" w:hanging="194"/>
        <w:spacing w:after="0" w:line="236"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(i) the sale of 14,000,000 shares of common stock in this offering at the initial public offering price of $17.00 per share, after deducting the underwriting discounts and commissions and estimated offering expenses payable by us, net of $0.1 million of offering costs paid as of September 30, 2019, (ii) the reclassification of $1.3 million in deferred offering costs from other noncurrent assets to additional paid-in-capital, and (iii) the reduction of $1.2 million in current liabilities to reflect the payment of unpaid deferred offering costs.</w:t>
      </w:r>
    </w:p>
    <w:p>
      <w:pPr>
        <w:spacing w:after="0" w:line="1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Risk factors</w:t>
      </w:r>
    </w:p>
    <w:p>
      <w:pPr>
        <w:spacing w:after="0" w:line="140" w:lineRule="exact"/>
        <w:rPr>
          <w:sz w:val="20"/>
          <w:szCs w:val="20"/>
          <w:color w:val="auto"/>
        </w:rPr>
      </w:pPr>
    </w:p>
    <w:p>
      <w:pPr>
        <w:ind w:left="200" w:right="40"/>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our limited operating history, financial position and need for additional capital</w:t>
      </w:r>
    </w:p>
    <w:p>
      <w:pPr>
        <w:spacing w:after="0" w:line="114"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b w:val="1"/>
          <w:bCs w:val="1"/>
          <w:i w:val="1"/>
          <w:iCs w:val="1"/>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60"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clinical-stage precision oncology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October 2014. In addition, we have limited experience as a company and have not yet demonstrated an ability to successfully overcome many of the risks and uncertainties frequently encountered by companies in new and rapidly evolving fields, particularly in the biopharmaceutical industry. Only one of our product candidates, RMC-4630, is currently in clinical development.</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 inception, we have incurred significant net losses. Our net losses were $31.1 million for the year ended December 31, 2017,</w:t>
      </w:r>
    </w:p>
    <w:p>
      <w:pPr>
        <w:ind w:left="200" w:right="120"/>
        <w:spacing w:after="0" w:line="235" w:lineRule="auto"/>
        <w:rPr>
          <w:sz w:val="20"/>
          <w:szCs w:val="20"/>
          <w:color w:val="auto"/>
        </w:rPr>
      </w:pPr>
      <w:r>
        <w:rPr>
          <w:rFonts w:ascii="Arial" w:cs="Arial" w:eastAsia="Arial" w:hAnsi="Arial"/>
          <w:sz w:val="18"/>
          <w:szCs w:val="18"/>
          <w:color w:val="auto"/>
        </w:rPr>
        <w:t>$41.8 million for the year ended December 31, 2018 and $33.1 million for the nine months ended September 30, 2019. As of September 30, 2019, we had an accumulated deficit of $142.8 million. We have funded our operations to date primarily with proceeds from the sale of preferred stock and upfront payments and research and development cost reimbursement received under our collaboration agreement with Genzyme Corporation, an affiliate of Sanofi, or the Sanofi Agreement.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product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2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development programs. We do not anticipate generating revenue from product sales for the next several years, if ever. Our ability to generate future revenue from product sales depends heavily on our, Sanofi’s, and any potential future collaborators’ success in:</w:t>
      </w:r>
    </w:p>
    <w:p>
      <w:pPr>
        <w:spacing w:after="0" w:line="114" w:lineRule="exact"/>
        <w:rPr>
          <w:sz w:val="20"/>
          <w:szCs w:val="20"/>
          <w:color w:val="auto"/>
        </w:rPr>
      </w:pPr>
    </w:p>
    <w:p>
      <w:pPr>
        <w:ind w:left="420" w:right="860" w:hanging="216"/>
        <w:spacing w:after="0" w:line="23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clinical and preclinical development of product candidates and programs and identifying and developing new product candidates;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product candidates that we develop;</w:t>
      </w:r>
    </w:p>
    <w:p>
      <w:pPr>
        <w:spacing w:after="0" w:line="117" w:lineRule="exact"/>
        <w:rPr>
          <w:rFonts w:ascii="Arial" w:cs="Arial" w:eastAsia="Arial" w:hAnsi="Arial"/>
          <w:sz w:val="18"/>
          <w:szCs w:val="18"/>
          <w:color w:val="auto"/>
        </w:rPr>
      </w:pPr>
    </w:p>
    <w:p>
      <w:pPr>
        <w:ind w:left="420" w:right="580" w:hanging="216"/>
        <w:spacing w:after="0" w:line="239"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product candidates that we develop;</w:t>
      </w:r>
    </w:p>
    <w:p>
      <w:pPr>
        <w:spacing w:after="0" w:line="117" w:lineRule="exact"/>
        <w:rPr>
          <w:rFonts w:ascii="Arial" w:cs="Arial" w:eastAsia="Arial" w:hAnsi="Arial"/>
          <w:sz w:val="18"/>
          <w:szCs w:val="18"/>
          <w:color w:val="auto"/>
        </w:rPr>
      </w:pPr>
    </w:p>
    <w:p>
      <w:pPr>
        <w:ind w:left="420" w:right="40" w:hanging="216"/>
        <w:spacing w:after="0" w:line="299"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68" w:lineRule="exact"/>
        <w:rPr>
          <w:rFonts w:ascii="Arial" w:cs="Arial" w:eastAsia="Arial" w:hAnsi="Arial"/>
          <w:sz w:val="16"/>
          <w:szCs w:val="16"/>
          <w:color w:val="auto"/>
        </w:rPr>
      </w:pPr>
    </w:p>
    <w:p>
      <w:pPr>
        <w:ind w:left="420" w:hanging="2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product candidates that we develop as viable treatment options;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maintaining, protecting, enforcing and expanding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420" w:hanging="2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0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U.S. Food and Drug Administration, or the FDA, the European Medicines Agency, or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83" w:lineRule="exact"/>
        <w:rPr>
          <w:sz w:val="20"/>
          <w:szCs w:val="20"/>
          <w:color w:val="auto"/>
        </w:rPr>
      </w:pPr>
    </w:p>
    <w:p>
      <w:pPr>
        <w:ind w:left="200" w:right="120"/>
        <w:spacing w:after="0" w:line="248"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9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operations have consumed substantial amounts of cash since inception. Since our inception, we have invested a significant portion of our efforts and financial resources in research and development activities for our initial preclinical and clinical product candidates. Preclinical studies and clinical trials and additional research and development activities will require substantial funds to complete. As of September 30, 2019, we had cash, cash equivalents and marketable securities of $136.3 million. We expect to continue to spend substantial amounts to continue the preclinical and clinical development of our current and future programs. If we are able to gain marketing approval for product candidates that we develop, including RMC-4630, we will require significant additional amounts of cash in order to launch and commercialize such product candidates to the extent that such launch and commercialization are not the responsibility of Sanofi or another collaborator that we may contract with in the future. In addition, other unanticipated costs may arise. Because the design and outcome of our planned and anticipated clinical trials is highly uncertain, we cannot reasonably estimate the actual amounts necessary to successfully complete the development and commercialization of any product candidate we develop.</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420" w:right="160" w:hanging="216"/>
        <w:spacing w:after="0" w:line="239"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programs, and of conducting preclinical studies and clinical trials;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product candidates we develop if clinical trials are successful;</w:t>
      </w:r>
    </w:p>
    <w:p>
      <w:pPr>
        <w:spacing w:after="0" w:line="117"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collaboration with Sanofi, including the continued reimbursement by Sanofi of substantially all of our research costs and all of our development costs for the SHP2 program under the Sanofi Agreement;</w:t>
      </w:r>
    </w:p>
    <w:p>
      <w:pPr>
        <w:spacing w:after="0" w:line="114" w:lineRule="exact"/>
        <w:rPr>
          <w:rFonts w:ascii="Arial" w:cs="Arial" w:eastAsia="Arial" w:hAnsi="Arial"/>
          <w:sz w:val="18"/>
          <w:szCs w:val="18"/>
          <w:color w:val="auto"/>
        </w:rPr>
      </w:pPr>
    </w:p>
    <w:p>
      <w:pPr>
        <w:ind w:left="420" w:right="760" w:hanging="216"/>
        <w:spacing w:after="0" w:line="239"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achieve certain clinical and regulatory milestones under the Sanofi Agreement, each of which would trigger additional payments to us;</w:t>
      </w:r>
    </w:p>
    <w:p>
      <w:pPr>
        <w:spacing w:after="0" w:line="114" w:lineRule="exact"/>
        <w:rPr>
          <w:rFonts w:ascii="Arial" w:cs="Arial" w:eastAsia="Arial" w:hAnsi="Arial"/>
          <w:sz w:val="18"/>
          <w:szCs w:val="18"/>
          <w:color w:val="auto"/>
        </w:rPr>
      </w:pPr>
    </w:p>
    <w:p>
      <w:pPr>
        <w:ind w:left="420" w:hanging="216"/>
        <w:spacing w:after="0" w:line="238"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113" w:lineRule="exact"/>
        <w:rPr>
          <w:rFonts w:ascii="Arial" w:cs="Arial" w:eastAsia="Arial" w:hAnsi="Arial"/>
          <w:sz w:val="18"/>
          <w:szCs w:val="18"/>
          <w:color w:val="auto"/>
        </w:rPr>
      </w:pPr>
    </w:p>
    <w:p>
      <w:pPr>
        <w:ind w:left="420" w:right="860" w:hanging="216"/>
        <w:spacing w:after="0" w:line="239"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our current and future product candidates for clinical trials in preparation for marketing approval and in preparation for commercialization;</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17"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of, profit share or royalties on, our future products, if any;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emergence of competing cancer therapies and other adverse market developments;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plans to acquire or in-license other programs or technologies.</w:t>
      </w:r>
    </w:p>
    <w:p>
      <w:pPr>
        <w:spacing w:after="0" w:line="10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Other than our Sanofi collaboration on SHP2 inhibitors, including RMC-4630, we do not have any committed external source of funds or other support for our development efforts. We expect to finance our cash needs through a combination of public or private equity offerings, debt financings, collaborations, strategic alliances, licensing arrangements and other marketing or distribution arrangements. In addition, we may seek additional capital due to favorable market conditions or strategic considerations even if we believe we have sufficient funds for our current or future operating plans. Based on our research and development plans, we expect that the net proceeds from this offering, together with our existing cash, cash equivalents and marketable securities, will enable us to fund our operations for at least 12 months following the date of this offering.</w:t>
      </w:r>
    </w:p>
    <w:p>
      <w:pPr>
        <w:spacing w:after="0" w:line="101"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Additional funds may not be available when we need them, on terms that are acceptable to us, or at all. If adequate funds are not available to us on a timely basis, we may be required to:</w:t>
      </w:r>
    </w:p>
    <w:p>
      <w:pPr>
        <w:spacing w:after="0" w:line="114" w:lineRule="exact"/>
        <w:rPr>
          <w:sz w:val="20"/>
          <w:szCs w:val="20"/>
          <w:color w:val="auto"/>
        </w:rPr>
      </w:pPr>
    </w:p>
    <w:p>
      <w:pPr>
        <w:ind w:left="420" w:right="240" w:hanging="216"/>
        <w:spacing w:after="0" w:line="239"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limit, reduce or terminate preclinical studies, clinical trials or other research and development activities or eliminate one or more of our development programs altogether; or</w:t>
      </w:r>
    </w:p>
    <w:p>
      <w:pPr>
        <w:spacing w:after="0" w:line="114" w:lineRule="exact"/>
        <w:rPr>
          <w:rFonts w:ascii="Arial" w:cs="Arial" w:eastAsia="Arial" w:hAnsi="Arial"/>
          <w:sz w:val="18"/>
          <w:szCs w:val="18"/>
          <w:color w:val="auto"/>
        </w:rPr>
      </w:pPr>
    </w:p>
    <w:p>
      <w:pPr>
        <w:ind w:left="420" w:right="200" w:hanging="216"/>
        <w:spacing w:after="0" w:line="238"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260"/>
        <w:spacing w:after="0" w:line="262"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w:t>
      </w:r>
    </w:p>
    <w:p>
      <w:pPr>
        <w:spacing w:after="0" w:line="81"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To date, we have primarily financed our operations through the sale of preferred stock and upfront payments and research and development cost reimbursement received in connection with our collaboration with Sanofi. We will be required to seek additional funding in the future and currently intend to do so through collaborations, public or private equity offerings or debt financings, credit or loan facilities or a combination of one or more of these funding sources.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funds by issuing equity securities, our stockholders may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Attempting to secure additional financing may also divert our management from our day-to-day activities, which may adversely affect our ability to develop our product candidates.</w:t>
      </w:r>
    </w:p>
    <w:p>
      <w:pPr>
        <w:spacing w:after="0" w:line="267" w:lineRule="exact"/>
        <w:rPr>
          <w:sz w:val="20"/>
          <w:szCs w:val="20"/>
          <w:color w:val="auto"/>
        </w:rPr>
      </w:pPr>
    </w:p>
    <w:p>
      <w:pPr>
        <w:ind w:left="200" w:right="100"/>
        <w:spacing w:after="0" w:line="262"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81" w:lineRule="exact"/>
        <w:rPr>
          <w:sz w:val="20"/>
          <w:szCs w:val="20"/>
          <w:color w:val="auto"/>
        </w:rPr>
      </w:pPr>
    </w:p>
    <w:p>
      <w:pPr>
        <w:ind w:left="200" w:right="400"/>
        <w:spacing w:after="0" w:line="299" w:lineRule="auto"/>
        <w:rPr>
          <w:sz w:val="20"/>
          <w:szCs w:val="20"/>
          <w:color w:val="auto"/>
        </w:rPr>
      </w:pPr>
      <w:r>
        <w:rPr>
          <w:rFonts w:ascii="Arial" w:cs="Arial" w:eastAsia="Arial" w:hAnsi="Arial"/>
          <w:sz w:val="16"/>
          <w:szCs w:val="16"/>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68" w:lineRule="exact"/>
        <w:rPr>
          <w:sz w:val="20"/>
          <w:szCs w:val="20"/>
          <w:color w:val="auto"/>
        </w:rPr>
      </w:pPr>
    </w:p>
    <w:p>
      <w:pPr>
        <w:ind w:left="420" w:right="8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17" w:lineRule="exact"/>
        <w:rPr>
          <w:rFonts w:ascii="Arial" w:cs="Arial" w:eastAsia="Arial" w:hAnsi="Arial"/>
          <w:sz w:val="18"/>
          <w:szCs w:val="18"/>
          <w:color w:val="auto"/>
        </w:rPr>
      </w:pPr>
    </w:p>
    <w:p>
      <w:pPr>
        <w:ind w:left="420" w:right="40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114" w:lineRule="exact"/>
        <w:rPr>
          <w:rFonts w:ascii="Arial" w:cs="Arial" w:eastAsia="Arial" w:hAnsi="Arial"/>
          <w:sz w:val="18"/>
          <w:szCs w:val="18"/>
          <w:color w:val="auto"/>
        </w:rPr>
      </w:pPr>
    </w:p>
    <w:p>
      <w:pPr>
        <w:ind w:left="420" w:right="44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of productions, and the terms of any agreements we enter into with third-party suppliers;</w:t>
      </w:r>
    </w:p>
    <w:p>
      <w:pPr>
        <w:spacing w:after="0" w:line="114" w:lineRule="exact"/>
        <w:rPr>
          <w:rFonts w:ascii="Arial" w:cs="Arial" w:eastAsia="Arial" w:hAnsi="Arial"/>
          <w:sz w:val="18"/>
          <w:szCs w:val="18"/>
          <w:color w:val="auto"/>
        </w:rPr>
      </w:pPr>
    </w:p>
    <w:p>
      <w:pPr>
        <w:ind w:left="420" w:right="66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and amount of any milestone, royalty or other payments due under any current or future collaboration or license agreement, including the Sanofi Agreement;</w:t>
      </w:r>
    </w:p>
    <w:p>
      <w:pPr>
        <w:spacing w:after="0" w:line="114" w:lineRule="exact"/>
        <w:rPr>
          <w:rFonts w:ascii="Arial" w:cs="Arial" w:eastAsia="Arial" w:hAnsi="Arial"/>
          <w:sz w:val="18"/>
          <w:szCs w:val="18"/>
          <w:color w:val="auto"/>
        </w:rPr>
      </w:pPr>
    </w:p>
    <w:p>
      <w:pPr>
        <w:ind w:left="420" w:right="52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any future approved products, and potential future drugs that compete with our products;</w:t>
      </w:r>
    </w:p>
    <w:p>
      <w:pPr>
        <w:spacing w:after="0" w:line="114" w:lineRule="exact"/>
        <w:rPr>
          <w:rFonts w:ascii="Arial" w:cs="Arial" w:eastAsia="Arial" w:hAnsi="Arial"/>
          <w:sz w:val="18"/>
          <w:szCs w:val="18"/>
          <w:color w:val="auto"/>
        </w:rPr>
      </w:pPr>
    </w:p>
    <w:p>
      <w:pPr>
        <w:ind w:left="420" w:right="16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medical affairs and distribution infrastructure to commercialize any products for which we may obtain marketing approval and intend to commercialize on our own or jointly with Sanofi;</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101"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00"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product development and regulatory process</w:t>
      </w:r>
    </w:p>
    <w:p>
      <w:pPr>
        <w:spacing w:after="0" w:line="114" w:lineRule="exact"/>
        <w:rPr>
          <w:sz w:val="20"/>
          <w:szCs w:val="20"/>
          <w:color w:val="auto"/>
        </w:rPr>
      </w:pPr>
    </w:p>
    <w:p>
      <w:pPr>
        <w:ind w:left="200" w:right="240"/>
        <w:spacing w:after="0" w:line="244" w:lineRule="auto"/>
        <w:rPr>
          <w:sz w:val="20"/>
          <w:szCs w:val="20"/>
          <w:color w:val="auto"/>
        </w:rPr>
      </w:pPr>
      <w:r>
        <w:rPr>
          <w:rFonts w:ascii="Arial" w:cs="Arial" w:eastAsia="Arial" w:hAnsi="Arial"/>
          <w:sz w:val="18"/>
          <w:szCs w:val="18"/>
          <w:b w:val="1"/>
          <w:bCs w:val="1"/>
          <w:i w:val="1"/>
          <w:iCs w:val="1"/>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97"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We are early in our development efforts, and we have only recently initiated our first clinical trials for our most advanced product candidate, RMC-4630. Our other programs are in the preclinical stage. We have invested substantially all of our efforts and financial resources in the identification of targets and preclinical development of small molecules to treat cancer.</w:t>
      </w:r>
    </w:p>
    <w:p>
      <w:pPr>
        <w:spacing w:after="0" w:line="10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01" w:lineRule="exact"/>
        <w:rPr>
          <w:sz w:val="20"/>
          <w:szCs w:val="20"/>
          <w:color w:val="auto"/>
        </w:rPr>
      </w:pPr>
    </w:p>
    <w:p>
      <w:pPr>
        <w:ind w:left="200" w:right="80"/>
        <w:spacing w:after="0" w:line="269" w:lineRule="auto"/>
        <w:rPr>
          <w:sz w:val="20"/>
          <w:szCs w:val="20"/>
          <w:color w:val="auto"/>
        </w:rPr>
      </w:pPr>
      <w:r>
        <w:rPr>
          <w:rFonts w:ascii="Arial" w:cs="Arial" w:eastAsia="Arial" w:hAnsi="Arial"/>
          <w:sz w:val="16"/>
          <w:szCs w:val="16"/>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territories for which we gain regulatory approval and have commercial rights, as well as the availability of competitive products, whether there is sufficient third-party reimbursement and adoption by physicians.</w:t>
      </w:r>
    </w:p>
    <w:p>
      <w:pPr>
        <w:spacing w:after="0" w:line="101" w:lineRule="exact"/>
        <w:rPr>
          <w:sz w:val="20"/>
          <w:szCs w:val="20"/>
          <w:color w:val="auto"/>
        </w:rPr>
      </w:pPr>
    </w:p>
    <w:p>
      <w:pPr>
        <w:ind w:left="200" w:right="100"/>
        <w:spacing w:after="0" w:line="273"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and in select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success of our current and future product candidates will depend on several factors, including the following:</w:t>
      </w:r>
    </w:p>
    <w:p>
      <w:pPr>
        <w:spacing w:after="0" w:line="117" w:lineRule="exact"/>
        <w:rPr>
          <w:sz w:val="20"/>
          <w:szCs w:val="20"/>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completion of clinical trials and preclinical studies;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or INDs, for our planned clinical trials or future clinical trials;</w:t>
      </w:r>
    </w:p>
    <w:p>
      <w:pPr>
        <w:spacing w:after="0" w:line="117" w:lineRule="exact"/>
        <w:rPr>
          <w:rFonts w:ascii="Arial" w:cs="Arial" w:eastAsia="Arial" w:hAnsi="Arial"/>
          <w:sz w:val="18"/>
          <w:szCs w:val="18"/>
          <w:color w:val="auto"/>
        </w:rPr>
      </w:pPr>
    </w:p>
    <w:p>
      <w:pPr>
        <w:ind w:left="420" w:right="620" w:hanging="216"/>
        <w:spacing w:after="0" w:line="23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particularly where competitors may also be recruiting patients with 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spacing w:after="0" w:line="114" w:lineRule="exact"/>
        <w:rPr>
          <w:rFonts w:ascii="Arial" w:cs="Arial" w:eastAsia="Arial" w:hAnsi="Arial"/>
          <w:sz w:val="18"/>
          <w:szCs w:val="18"/>
          <w:color w:val="auto"/>
        </w:rPr>
      </w:pPr>
    </w:p>
    <w:p>
      <w:pPr>
        <w:ind w:left="420" w:right="720" w:hanging="216"/>
        <w:spacing w:after="0" w:line="23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data from our clinical program that supports an acceptable risk-benefit profile of our product candidates in the intended populations;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our portfolio of intellectual property rights, including patents, trade secrets and know-how;</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launching commercial sales of our product candidates, if approved;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the product candidate’s benefits and uses, if approved, by patients, the medical community and third-party payors;</w:t>
      </w:r>
    </w:p>
    <w:p>
      <w:pPr>
        <w:spacing w:after="0" w:line="117" w:lineRule="exact"/>
        <w:rPr>
          <w:rFonts w:ascii="Arial" w:cs="Arial" w:eastAsia="Arial" w:hAnsi="Arial"/>
          <w:sz w:val="18"/>
          <w:szCs w:val="18"/>
          <w:color w:val="auto"/>
        </w:rPr>
      </w:pPr>
    </w:p>
    <w:p>
      <w:pPr>
        <w:ind w:left="420" w:right="400" w:hanging="216"/>
        <w:spacing w:after="0" w:line="23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following approval;</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RMC-4630, or any other product candidate we develop, we may not be able to continue our operations.</w:t>
      </w:r>
    </w:p>
    <w:p>
      <w:pPr>
        <w:spacing w:after="0" w:line="80" w:lineRule="exact"/>
        <w:rPr>
          <w:sz w:val="20"/>
          <w:szCs w:val="20"/>
          <w:color w:val="auto"/>
        </w:rPr>
      </w:pPr>
    </w:p>
    <w:p>
      <w:pPr>
        <w:jc w:val="both"/>
        <w:ind w:left="200"/>
        <w:spacing w:after="0" w:line="248"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p>
    <w:p>
      <w:pPr>
        <w:spacing w:after="0" w:line="94"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In order to obtain FDA approval to market a new small molecule product we must demonstrate proof of safety and efficacy in humans. To meet these requirements, we will have to conduct adequate and well-controlled clinical trials. Before we can commence clinical trials for a product candidate, we must complete extensive preclinical studies that support our planned INDs in the United States. We only have one product candidate in clinical development and the rest of our programs are in preclinical research or development, including our RAS portfolio and RMC-5552 product candidate. We cannot be certain of the timely completion or outcome of our preclinical studies and cannot predict if the FDA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additional clinical trials to begin.</w:t>
      </w:r>
    </w:p>
    <w:p>
      <w:pPr>
        <w:spacing w:after="0" w:line="10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Moreover, we may be affected by delays associated with the studies of certain programs that are the responsibility of Sanofi or our potential future partners over which we have no control. The commencement and rate of completion of preclinical studies and clinical trials for a product candidate may be delayed by many factors, including, for example:</w:t>
      </w:r>
    </w:p>
    <w:p>
      <w:pPr>
        <w:spacing w:after="0" w:line="98" w:lineRule="exact"/>
        <w:rPr>
          <w:sz w:val="20"/>
          <w:szCs w:val="20"/>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35"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and</w:t>
      </w:r>
    </w:p>
    <w:p>
      <w:pPr>
        <w:spacing w:after="0" w:line="114" w:lineRule="exact"/>
        <w:rPr>
          <w:rFonts w:ascii="Arial" w:cs="Arial" w:eastAsia="Arial" w:hAnsi="Arial"/>
          <w:sz w:val="18"/>
          <w:szCs w:val="18"/>
          <w:color w:val="auto"/>
        </w:rPr>
      </w:pPr>
    </w:p>
    <w:p>
      <w:pPr>
        <w:ind w:left="420" w:right="80" w:hanging="216"/>
        <w:spacing w:after="0" w:line="239"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sufficient quantities of our product candidates for use in preclinical studies and clinical trials from third-party suppliers on a timely basis.</w:t>
      </w:r>
    </w:p>
    <w:p>
      <w:pPr>
        <w:spacing w:after="0" w:line="10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81" w:lineRule="exact"/>
        <w:rPr>
          <w:sz w:val="20"/>
          <w:szCs w:val="20"/>
          <w:color w:val="auto"/>
        </w:rPr>
      </w:pPr>
    </w:p>
    <w:p>
      <w:pPr>
        <w:ind w:left="200" w:right="100"/>
        <w:spacing w:after="0" w:line="244" w:lineRule="auto"/>
        <w:rPr>
          <w:sz w:val="20"/>
          <w:szCs w:val="20"/>
          <w:color w:val="auto"/>
        </w:rPr>
      </w:pPr>
      <w:r>
        <w:rPr>
          <w:rFonts w:ascii="Arial" w:cs="Arial" w:eastAsia="Arial" w:hAnsi="Arial"/>
          <w:sz w:val="18"/>
          <w:szCs w:val="18"/>
          <w:b w:val="1"/>
          <w:bCs w:val="1"/>
          <w:i w:val="1"/>
          <w:iCs w:val="1"/>
          <w:color w:val="auto"/>
        </w:rPr>
        <w:t>Some of our programs focus on the discovery and development of “Beyond Rule of 5” small molecules. Such molecules can be associated with longer development timelines and greater costs compared to traditional small molecule drugs. Our “Beyond Rule of 5” product candidates may take longer to develop and/or manufacture relative to traditional small molecules, and we may not be able to formulate “Beyond Rule of 5” candidates for certain routes of administration.</w:t>
      </w:r>
    </w:p>
    <w:p>
      <w:pPr>
        <w:spacing w:after="0" w:line="97"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We enlist various technologies and capabilities that give us chemical access to challenging sites on target proteins that generally are not accessible using conventional small molecule drug discovery approaches. For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each target, we consider the specific structural, physico-chemical, functional and dynamic properties of the target and deploy the approach or approaches that appear most likely to yield viable development candidates. The “Rule of 5” is a set of criteria used in pharmaceutical drug development to determine whether chemical compounds have certain physico-chemical properties that make them likely to be orally active drugs in humans. In some instances, the compounds we discover and develop are traditional small molecules (i.e. less than 500 daltons) with properties that generally satisfy conventional pharmaceutical “Rule of 5” criteria, while in other cases, they are larger (i.e. 500-1000 daltons) “Beyond Rule of 5”, or BRo5, compounds that by definition do not satisfy these criteria. For example, our mTORC1 program and our RAS(ON) program each include pursuit of BRo5 compounds.</w:t>
      </w:r>
    </w:p>
    <w:p>
      <w:pPr>
        <w:spacing w:after="0" w:line="101" w:lineRule="exact"/>
        <w:rPr>
          <w:sz w:val="20"/>
          <w:szCs w:val="20"/>
          <w:color w:val="auto"/>
        </w:rPr>
      </w:pPr>
    </w:p>
    <w:p>
      <w:pPr>
        <w:ind w:left="200" w:right="240"/>
        <w:spacing w:after="0" w:line="273" w:lineRule="auto"/>
        <w:rPr>
          <w:sz w:val="20"/>
          <w:szCs w:val="20"/>
          <w:color w:val="auto"/>
        </w:rPr>
      </w:pPr>
      <w:r>
        <w:rPr>
          <w:rFonts w:ascii="Arial" w:cs="Arial" w:eastAsia="Arial" w:hAnsi="Arial"/>
          <w:sz w:val="16"/>
          <w:szCs w:val="16"/>
          <w:color w:val="auto"/>
        </w:rPr>
        <w:t>BRo5 compounds have been successfully pursued by many pharmaceutical companies. Examples of BRo5 compounds include natural products and semi-synthetic derivatives, peptidomimetics, macrocycles and degraders. However, larger molecular weight small molecules often cannot be formulated into orally absorbed drugs and also often face solubility, potency, bioavailability and stability challenges, among others. In addition, many of the commonly used predictive and other drug development tools are designed specifically for small molecule drugs rather than larger molecules, contributing to the difficulty and uncertainty of development of BRo5 compounds.</w:t>
      </w:r>
    </w:p>
    <w:p>
      <w:pPr>
        <w:spacing w:after="0" w:line="7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Due to their size and complexity, drug development of our BRo5 compounds may be slower and/or more expensive than drug development of traditional “Rule of 5” compounds, resulting in program delays, increased costs or failure to obtain regulatory approval in a commercially reasonable timeframe, if at all. Our competitors developing traditional small molecules in areas where we are developing BRo5 compounds could obtain regulatory approval and reach the market before we do. Even if we succeed in generating an approved drug from a BRo5 compound, it may be less convenient to administer, have higher grade and/or more frequent side effects or be more costly to manufacture and formulate than competing products on the market. The discovery and development of BRo5 small molecules may pose risks to us such as:</w:t>
      </w:r>
    </w:p>
    <w:p>
      <w:pPr>
        <w:spacing w:after="0" w:line="115" w:lineRule="exact"/>
        <w:rPr>
          <w:sz w:val="20"/>
          <w:szCs w:val="20"/>
          <w:color w:val="auto"/>
        </w:rPr>
      </w:pPr>
    </w:p>
    <w:p>
      <w:pPr>
        <w:ind w:left="420" w:right="160" w:hanging="216"/>
        <w:spacing w:after="0" w:line="239"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BRo5 small molecules may present difficult synthetic chemistry and manufacturing challenges, including with any scale-up of our product candidates in sufficient quality and quantity;</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BRo5 small molecules may be challenging to purify, including with any scale-up of our product candidates in sufficient quality and quantity;</w:t>
      </w:r>
    </w:p>
    <w:p>
      <w:pPr>
        <w:spacing w:after="0" w:line="140" w:lineRule="exact"/>
        <w:rPr>
          <w:rFonts w:ascii="Arial" w:cs="Arial" w:eastAsia="Arial" w:hAnsi="Arial"/>
          <w:sz w:val="16"/>
          <w:szCs w:val="16"/>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BRo5 small molecules may present solubility challenges in the development of any such small molecules;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BRo5 small molecules may present oral absorption challenges due to low passive permeability;</w:t>
      </w:r>
    </w:p>
    <w:p>
      <w:pPr>
        <w:spacing w:after="0" w:line="117"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BRo5 small molecules may present cell permeability challenges, especially with regards to lipophilicity, hydrogen bond donor and rotatable bond count, and high topological polar surface area;</w:t>
      </w:r>
    </w:p>
    <w:p>
      <w:pPr>
        <w:spacing w:after="0" w:line="114" w:lineRule="exact"/>
        <w:rPr>
          <w:rFonts w:ascii="Arial" w:cs="Arial" w:eastAsia="Arial" w:hAnsi="Arial"/>
          <w:sz w:val="18"/>
          <w:szCs w:val="18"/>
          <w:color w:val="auto"/>
        </w:rPr>
      </w:pPr>
    </w:p>
    <w:p>
      <w:pPr>
        <w:ind w:left="420" w:right="360" w:hanging="216"/>
        <w:spacing w:after="0" w:line="239"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BRo5 small molecules we seek to develop may not achieve acceptable oral bioavailability for development and may result in poor pharmaceutical properties for formulation development;</w:t>
      </w:r>
    </w:p>
    <w:p>
      <w:pPr>
        <w:spacing w:after="0" w:line="114" w:lineRule="exact"/>
        <w:rPr>
          <w:rFonts w:ascii="Arial" w:cs="Arial" w:eastAsia="Arial" w:hAnsi="Arial"/>
          <w:sz w:val="18"/>
          <w:szCs w:val="18"/>
          <w:color w:val="auto"/>
        </w:rPr>
      </w:pPr>
    </w:p>
    <w:p>
      <w:pPr>
        <w:ind w:left="420" w:right="20" w:hanging="216"/>
        <w:spacing w:after="0" w:line="236"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BRo5 small molecules we seek to develop may have a propensity to be substrates for efflux proteins such as the adenosine triphosphate (ATP) binding cassette (ABC) transporter protein family, including multidrug resistance protein 1. Cancer cells may overexpress these transporter proteins causing an increase in expulsion of our product candidate from the cell. As the site of action of our product candidates, for example the RAS protein, is inside the cell, expulsion by these transporter proteins may decrease the effective concentration in the cell sufficiently to reduce target inhibition and thereby render a RAS-dependent tumor less susceptible to the inhibitory activity of the product candidate;</w:t>
      </w:r>
    </w:p>
    <w:p>
      <w:pPr>
        <w:spacing w:after="0" w:line="115" w:lineRule="exact"/>
        <w:rPr>
          <w:rFonts w:ascii="Arial" w:cs="Arial" w:eastAsia="Arial" w:hAnsi="Arial"/>
          <w:sz w:val="18"/>
          <w:szCs w:val="18"/>
          <w:color w:val="auto"/>
        </w:rPr>
      </w:pPr>
    </w:p>
    <w:p>
      <w:pPr>
        <w:jc w:val="both"/>
        <w:ind w:left="420" w:right="580" w:hanging="216"/>
        <w:spacing w:after="0" w:line="299"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BRo5 small molecules may present central nervous system, or CNS, penetration challenges due to low passive permeability and/or interaction with efflux transporters at the blood brain barrier and this could limit sensitivity of CNS tumors to our product candidates;</w:t>
      </w:r>
    </w:p>
    <w:p>
      <w:pPr>
        <w:spacing w:after="0" w:line="9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1120" w:hanging="216"/>
        <w:spacing w:after="0" w:line="239"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BRo5 small molecules may present formulation vehicle challenges for administration, such as intravenous and subcutaneous administration, due to aspects such as solubility and hydrophobicity;</w:t>
      </w:r>
    </w:p>
    <w:p>
      <w:pPr>
        <w:spacing w:after="0" w:line="114"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BRo5 small molecules may present stability and shelf-life limitations due to the incorporation of labile functionality in our scaffolds, including for example in the development of RMC-5552 which currently requires a cold chain storage of zero degrees Celsius; and</w:t>
      </w:r>
    </w:p>
    <w:p>
      <w:pPr>
        <w:spacing w:after="0" w:line="114" w:lineRule="exact"/>
        <w:rPr>
          <w:rFonts w:ascii="Arial" w:cs="Arial" w:eastAsia="Arial" w:hAnsi="Arial"/>
          <w:sz w:val="18"/>
          <w:szCs w:val="18"/>
          <w:color w:val="auto"/>
        </w:rPr>
      </w:pPr>
    </w:p>
    <w:p>
      <w:pPr>
        <w:ind w:left="420" w:right="400" w:hanging="216"/>
        <w:spacing w:after="0" w:line="238"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BRo5 small molecules may present off-target toxicities due to physico-chemical properties such as lipophilicity, which is the ability to dissolve fats, oils and lipids, the presence of off-target pharmacophores in the molecule that can interact with other cellular proteins, or other characteristics that have not been fully characterized within a novel chemical scaffold or platform.</w:t>
      </w:r>
    </w:p>
    <w:p>
      <w:pPr>
        <w:spacing w:after="0" w:line="100"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color w:val="auto"/>
        </w:rPr>
        <w:t>These and other risks related to our research and development of BRo5 small molecules may result in delays in development, an increase in development costs and/or the failure to develop any BRo5 small molecule to approval. As a result, our competitors may develop products more rapidly and cost effectively than we do. In particular, competitors may develop and commercialize a product that competes with a product candidate we may develop from our RAS(ON) program as some of our competitors in this area are pursuing conventional small molecules directed to other forms of RAS, such as RAS(OFF), and are further along in development than we currently are. Any such setbacks in our research and development of a BRo5 small molecule could have a material adverse effect on our business and operating results.</w:t>
      </w:r>
    </w:p>
    <w:p>
      <w:pPr>
        <w:spacing w:after="0" w:line="57"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time-consuming and inherently unpredictable, and if we are ultimately unable to obtain regulatory approval for our product candidates, our business will be substantially harmed.</w:t>
      </w:r>
    </w:p>
    <w:p>
      <w:pPr>
        <w:spacing w:after="0" w:line="94"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current or future product candidates will ever obtain regulatory approval.</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current and future product candidates could fail to receive regulatory approval for many reasons, including the following:</w:t>
      </w:r>
    </w:p>
    <w:p>
      <w:pPr>
        <w:spacing w:after="0" w:line="117" w:lineRule="exact"/>
        <w:rPr>
          <w:sz w:val="20"/>
          <w:szCs w:val="20"/>
          <w:color w:val="auto"/>
        </w:rPr>
      </w:pPr>
    </w:p>
    <w:p>
      <w:pPr>
        <w:ind w:left="420" w:hanging="216"/>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420" w:right="520" w:hanging="216"/>
        <w:spacing w:after="0" w:line="239"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product candidate is safe or effective for its proposed indication;</w:t>
      </w:r>
    </w:p>
    <w:p>
      <w:pPr>
        <w:spacing w:after="0" w:line="114" w:lineRule="exact"/>
        <w:rPr>
          <w:rFonts w:ascii="Arial" w:cs="Arial" w:eastAsia="Arial" w:hAnsi="Arial"/>
          <w:sz w:val="18"/>
          <w:szCs w:val="18"/>
          <w:color w:val="auto"/>
        </w:rPr>
      </w:pPr>
    </w:p>
    <w:p>
      <w:pPr>
        <w:ind w:left="420" w:right="80" w:hanging="216"/>
        <w:spacing w:after="0" w:line="239"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420" w:right="80" w:hanging="216"/>
        <w:spacing w:after="0" w:line="239"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preclinical studies;</w:t>
      </w:r>
    </w:p>
    <w:p>
      <w:pPr>
        <w:spacing w:after="0" w:line="114" w:lineRule="exact"/>
        <w:rPr>
          <w:rFonts w:ascii="Arial" w:cs="Arial" w:eastAsia="Arial" w:hAnsi="Arial"/>
          <w:sz w:val="18"/>
          <w:szCs w:val="18"/>
          <w:color w:val="auto"/>
        </w:rPr>
      </w:pPr>
    </w:p>
    <w:p>
      <w:pPr>
        <w:ind w:left="420" w:right="340" w:hanging="216"/>
        <w:spacing w:after="0" w:line="239"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20" w:hanging="216"/>
        <w:spacing w:after="0" w:line="239"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114"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01"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the EMA and other comparable foreign authorities have substantial discretion in the approval process, and determining when or whether regulatory approval will be obtained for any product candidate that we develop. Even if we believe the data collected from future clinical trials of our product candidates are promising, such data may not be sufficient to support approval by the FDA, the EMA or any other regulatory authority.</w:t>
      </w:r>
    </w:p>
    <w:p>
      <w:pPr>
        <w:spacing w:after="0" w:line="102"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0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Further, we have not previously submitted a NDA to the FDA, or a Marketing Authorization Application, or MAA, to the EMA. We cannot be certain that any of our programs will be successful in clinical trials or receive regulatory approval. Further, product candidates we develop may not receive regulatory approval even if they are successful in clinical trials. If we do not receive regulatory approvals for our product candidates, we may not be able to continue our operations.</w:t>
      </w:r>
    </w:p>
    <w:p>
      <w:pPr>
        <w:spacing w:after="0" w:line="81" w:lineRule="exact"/>
        <w:rPr>
          <w:sz w:val="20"/>
          <w:szCs w:val="20"/>
          <w:color w:val="auto"/>
        </w:rPr>
      </w:pPr>
    </w:p>
    <w:p>
      <w:pPr>
        <w:ind w:left="200" w:right="300"/>
        <w:spacing w:after="0" w:line="248" w:lineRule="auto"/>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product candidates.</w:t>
      </w:r>
    </w:p>
    <w:p>
      <w:pPr>
        <w:spacing w:after="0" w:line="9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To obtain the requisite regulatory approvals to commercialize any of our product candidates, we must demonstrate through extensive preclinical studies and clinical trials that our products are safe or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101"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114" w:lineRule="exact"/>
        <w:rPr>
          <w:sz w:val="20"/>
          <w:szCs w:val="20"/>
          <w:color w:val="auto"/>
        </w:rPr>
      </w:pPr>
    </w:p>
    <w:p>
      <w:pPr>
        <w:ind w:left="420" w:right="200" w:hanging="216"/>
        <w:spacing w:after="0" w:line="239"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14"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17" w:lineRule="exact"/>
        <w:rPr>
          <w:rFonts w:ascii="Arial" w:cs="Arial" w:eastAsia="Arial" w:hAnsi="Arial"/>
          <w:sz w:val="18"/>
          <w:szCs w:val="18"/>
          <w:color w:val="auto"/>
        </w:rPr>
      </w:pPr>
    </w:p>
    <w:p>
      <w:pPr>
        <w:ind w:left="420" w:right="140" w:hanging="216"/>
        <w:spacing w:after="0" w:line="239"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may be difficult to enroll a sufficient number of patients with mutations in the signaling pathways our therapies are designed to target, or enrollment in these clinical trials may be slower than we anticipate or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participants may drop out of these clinical trials or fail to return for post-treatment follow-up at a higher rate than we anticipate;</w:t>
      </w:r>
    </w:p>
    <w:p>
      <w:pPr>
        <w:spacing w:after="0" w:line="117" w:lineRule="exact"/>
        <w:rPr>
          <w:sz w:val="20"/>
          <w:szCs w:val="20"/>
          <w:color w:val="auto"/>
        </w:rPr>
      </w:pPr>
    </w:p>
    <w:p>
      <w:pPr>
        <w:ind w:left="420" w:right="60" w:hanging="216"/>
        <w:spacing w:after="0" w:line="238"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13" w:lineRule="exact"/>
        <w:rPr>
          <w:rFonts w:ascii="Arial" w:cs="Arial" w:eastAsia="Arial" w:hAnsi="Arial"/>
          <w:sz w:val="18"/>
          <w:szCs w:val="18"/>
          <w:color w:val="auto"/>
        </w:rPr>
      </w:pPr>
    </w:p>
    <w:p>
      <w:pPr>
        <w:ind w:left="420" w:right="800" w:hanging="216"/>
        <w:spacing w:after="0" w:line="239"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materials for product candidates we develop or other materials necessary to conduct clinical trials may be insufficient or inadequate;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collaborators may delay the development process by waiting to take action or focusing on other priorities.</w:t>
      </w:r>
    </w:p>
    <w:p>
      <w:pPr>
        <w:spacing w:after="0" w:line="10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could encounter delays if a clinical trial is suspended or terminated by us, by the IRBs or ethics committees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w:t>
      </w:r>
    </w:p>
    <w:p>
      <w:pPr>
        <w:spacing w:after="0" w:line="100" w:lineRule="exact"/>
        <w:rPr>
          <w:sz w:val="20"/>
          <w:szCs w:val="20"/>
          <w:color w:val="auto"/>
        </w:rPr>
      </w:pPr>
    </w:p>
    <w:p>
      <w:pPr>
        <w:ind w:left="200" w:right="240"/>
        <w:spacing w:after="0" w:line="27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77"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8"/>
          <w:szCs w:val="18"/>
          <w:color w:val="auto"/>
        </w:rPr>
        <w:t>In addition, based on our own preclinical data and supported by observations by others, we are evaluating intermittent dosing schedules in our clinical program to allow us to maximize dose intensity and the depth of response. When dosed in clinical trials, this intermittent dosing approach may reduce patient compliance.</w:t>
      </w:r>
    </w:p>
    <w:p>
      <w:pPr>
        <w:spacing w:after="0" w:line="100"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or result in the development of our product candidates being stopped early.</w:t>
      </w:r>
    </w:p>
    <w:p>
      <w:pPr>
        <w:spacing w:after="0" w:line="80"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b w:val="1"/>
          <w:bCs w:val="1"/>
          <w:i w:val="1"/>
          <w:iCs w:val="1"/>
          <w:color w:val="auto"/>
        </w:rPr>
        <w:t>Historically, direct inhibition of any RAS protein itself has been challenging due to a lack of tractable, or “druggable,” binding pockets and we are not aware of any programs in clinical development that have successfully targeted any RAS(ON) protein. Given this approach is unproven, it may not be successful.</w:t>
      </w:r>
    </w:p>
    <w:p>
      <w:pPr>
        <w:spacing w:after="0" w:line="94" w:lineRule="exact"/>
        <w:rPr>
          <w:sz w:val="20"/>
          <w:szCs w:val="20"/>
          <w:color w:val="auto"/>
        </w:rPr>
      </w:pPr>
    </w:p>
    <w:p>
      <w:pPr>
        <w:ind w:left="200" w:right="320"/>
        <w:spacing w:after="0" w:line="236" w:lineRule="auto"/>
        <w:rPr>
          <w:sz w:val="20"/>
          <w:szCs w:val="20"/>
          <w:color w:val="auto"/>
        </w:rPr>
      </w:pPr>
      <w:r>
        <w:rPr>
          <w:rFonts w:ascii="Arial" w:cs="Arial" w:eastAsia="Arial" w:hAnsi="Arial"/>
          <w:sz w:val="18"/>
          <w:szCs w:val="18"/>
          <w:color w:val="auto"/>
        </w:rPr>
        <w:t>Historically, direct inhibition of any RAS protein has been challenging due to a lack of tractable, or “druggable,” binding pockets. Our tri-complex technology has enabled us to develop what we believe to be the first potent, selective cell-active inhibitors of multiple mutant RAS(ON) proteins. We are not aware of any programs in clinical development that have successfully targeted any RAS(ON) protein. We cannot be certain that our approach will lead to the development of approvable or marketable products, alone or in combination with other therapies.</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results of preclinical studies may not be predictive of the results of clinical trials, and the results of any early-stage clinical trials we commence may not be predictive of the results of the later-stage clinical trials. Product candidates in later stages of clinical trials may fail to show the desired safety and efficacy despite having progressed through preclinical studies and initial clinical trials. There can be no assurance that any of our current or future clinical trials will ultimately be successful or support further clinical development of any of our product candidates. There is a high failure rate for drugs proceeding through clinical trials. A number of companies in the pharmaceutical and biotechnology industries have suffered significant setbacks in clinical development even after achieving promising results in earlier studies.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For example, we have reported interim Phase 1 clinical data for RMC-4630 as a single agent. As of the cutoff date, 63 patients had received treatment: 49 patients on a daily dosing schedule with a median exposure to study drug of only 1.8 months, and 14 patients on an intermittent dosing schedule, with median exposure to study drug of only 1.6 months. We have also reported interim Phase 1b/2 clinical data for RMC-4630 in combination with the MEK inhibitor cobimetinib. As of the cutoff date, these data included eight patients with median exposure to study drug of only 1.4 months. Our clinical trial program is ongoing, and the final results may be materially different from what is reported in this prospectus.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07" w:lineRule="exact"/>
        <w:rPr>
          <w:sz w:val="20"/>
          <w:szCs w:val="20"/>
          <w:color w:val="auto"/>
        </w:rPr>
      </w:pPr>
    </w:p>
    <w:p>
      <w:pPr>
        <w:ind w:left="200" w:right="20"/>
        <w:spacing w:after="0" w:line="269"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and prospects.</w:t>
      </w: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120"/>
        <w:spacing w:after="0" w:line="262"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be adversely affected.</w:t>
      </w:r>
    </w:p>
    <w:p>
      <w:pPr>
        <w:spacing w:after="0" w:line="81" w:lineRule="exact"/>
        <w:rPr>
          <w:sz w:val="20"/>
          <w:szCs w:val="20"/>
          <w:color w:val="auto"/>
        </w:rPr>
      </w:pPr>
    </w:p>
    <w:p>
      <w:pPr>
        <w:ind w:left="200" w:right="340"/>
        <w:spacing w:after="0" w:line="238"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114" w:lineRule="exact"/>
        <w:rPr>
          <w:sz w:val="20"/>
          <w:szCs w:val="20"/>
          <w:color w:val="auto"/>
        </w:rPr>
      </w:pPr>
    </w:p>
    <w:p>
      <w:pPr>
        <w:ind w:left="420" w:hanging="2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enroll a sufficient number of patients with mutations in the signaling pathways our therapies are designed to target;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420" w:right="440" w:hanging="216"/>
        <w:spacing w:after="0" w:line="239"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14" w:lineRule="exact"/>
        <w:rPr>
          <w:rFonts w:ascii="Arial" w:cs="Arial" w:eastAsia="Arial" w:hAnsi="Arial"/>
          <w:sz w:val="18"/>
          <w:szCs w:val="18"/>
          <w:color w:val="auto"/>
        </w:rPr>
      </w:pPr>
    </w:p>
    <w:p>
      <w:pPr>
        <w:ind w:left="420" w:right="300" w:hanging="216"/>
        <w:spacing w:after="0" w:line="239"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on the trial through the completion of evaluation.</w:t>
      </w:r>
    </w:p>
    <w:p>
      <w:pPr>
        <w:spacing w:after="0" w:line="10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(and that seek to evaluate patients with cancer cells having the same mutations, particularly with patients having KRAS</w:t>
      </w:r>
      <w:r>
        <w:rPr>
          <w:rFonts w:ascii="Arial" w:cs="Arial" w:eastAsia="Arial" w:hAnsi="Arial"/>
          <w:sz w:val="11"/>
          <w:szCs w:val="11"/>
          <w:color w:val="auto"/>
        </w:rPr>
        <w:t>G12C</w:t>
      </w:r>
      <w:r>
        <w:rPr>
          <w:rFonts w:ascii="Arial" w:cs="Arial" w:eastAsia="Arial" w:hAnsi="Arial"/>
          <w:sz w:val="18"/>
          <w:szCs w:val="18"/>
          <w:color w:val="auto"/>
        </w:rPr>
        <w:t xml:space="preserve"> mutations) as our current and potential future product candidates.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107"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the product candidates we develop.</w:t>
      </w:r>
    </w:p>
    <w:p>
      <w:pPr>
        <w:spacing w:after="0" w:line="81" w:lineRule="exact"/>
        <w:rPr>
          <w:sz w:val="20"/>
          <w:szCs w:val="20"/>
          <w:color w:val="auto"/>
        </w:rPr>
      </w:pPr>
    </w:p>
    <w:p>
      <w:pPr>
        <w:ind w:left="200" w:right="100"/>
        <w:spacing w:after="0" w:line="248" w:lineRule="auto"/>
        <w:rPr>
          <w:sz w:val="20"/>
          <w:szCs w:val="20"/>
          <w:color w:val="auto"/>
        </w:rPr>
      </w:pPr>
      <w:r>
        <w:rPr>
          <w:rFonts w:ascii="Arial" w:cs="Arial" w:eastAsia="Arial" w:hAnsi="Arial"/>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94"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Undesirable or clinically unmanageable side effects could occur and cause us or regulatory authorities to interrupt, delay or halt clinical trials and could result in a more restrictive label or the delay or denial of</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0"/>
        <w:spacing w:after="0" w:line="239" w:lineRule="auto"/>
        <w:rPr>
          <w:sz w:val="20"/>
          <w:szCs w:val="20"/>
          <w:color w:val="auto"/>
        </w:rPr>
      </w:pPr>
      <w:r>
        <w:rPr>
          <w:rFonts w:ascii="Arial" w:cs="Arial" w:eastAsia="Arial" w:hAnsi="Arial"/>
          <w:sz w:val="18"/>
          <w:szCs w:val="18"/>
          <w:color w:val="auto"/>
        </w:rPr>
        <w:t>marketing approval by the FDA or comparable foreign regulatory authorities. Results of our trials could reveal a high and unacceptable severity and prevalence of side effects or unexpected characteristics.</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RMC-4630-01 study is evaluating the safety, pharmacokenetics and pharmacodynamic effects of RMC-4630 as a single agent under two different dosing schedules: daily and intermittent. For those receiving RMC-4630 on the intermittent dosing schedule, there was one treatment-related serious adverse event, or SAE, (grade 3 abdominal distention) as of the cutoff date. No treatment-related grade 4 or grade 5 adverse events, or AEs, had been reported as of the cutoff date. The most common treatment related AEs for the intermittent dosing group were anemia (35.7%), fatigue (35.7%), thrombocytopenia (35.7%) and edema (28.6%). For those receiving RMC-4630 on the daily schedule, three SAEs were deemed possibly or probably related to the treatment (dehydration, anasarca (generalized edema) and thrombocytopenia), and an additional three SAEs (extensive metastases of tumor in the lungs with grade 4 respiratory failure, fever and radiologic evidence of infectious pneumonia with grade 4 respiratory failure and a single reading of grade 3 prologation of QTc) were reported in which the investigator was unable to rule out an association with the treatment. The most common treatment related AEs for the daily dosing group were thrombocytopenia (28.6%), diarrhea (24.5%) and anemia (22.4%).</w:t>
      </w:r>
    </w:p>
    <w:p>
      <w:pPr>
        <w:spacing w:after="0" w:line="10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RMC-4630-02 study evaluates the safety, tolerability and pharmacokinetics of RMC-4630 and cobimetinib using intermittent dosing of RMC-4630 with daily dosing of cobimetinib. An alternative schedule using intermittent dosing of both RMC-4630 and cobimetinib is planned, but has not begun dosing. Adverse events were consistent with the expected mechanistic effects of both SHP2 inhibition and MEK inhibition. No SAEs or grade 4 or 5 AEs were reported in the RMC-4360-02 study as of the cutoff date. The most common AEs related to RMC-4630 were diarrhea (25.0%) and edema (25.0%). The most common AE related to cobimetinib was edema (25.0%).</w:t>
      </w:r>
    </w:p>
    <w:p>
      <w:pPr>
        <w:spacing w:after="0" w:line="103" w:lineRule="exact"/>
        <w:rPr>
          <w:sz w:val="20"/>
          <w:szCs w:val="20"/>
          <w:color w:val="auto"/>
        </w:rPr>
      </w:pPr>
    </w:p>
    <w:p>
      <w:pPr>
        <w:ind w:left="200"/>
        <w:spacing w:after="0" w:line="273" w:lineRule="auto"/>
        <w:rPr>
          <w:sz w:val="20"/>
          <w:szCs w:val="20"/>
          <w:color w:val="auto"/>
        </w:rPr>
      </w:pPr>
      <w:r>
        <w:rPr>
          <w:rFonts w:ascii="Arial" w:cs="Arial" w:eastAsia="Arial" w:hAnsi="Arial"/>
          <w:sz w:val="16"/>
          <w:szCs w:val="16"/>
          <w:color w:val="auto"/>
        </w:rPr>
        <w:t>Although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So far, we have not previously demonstrated that RMC-4630 or any other product candidate is safe in humans, and we cannot predict if ongoing or future clinical trials will do so.</w:t>
      </w:r>
    </w:p>
    <w:p>
      <w:pPr>
        <w:spacing w:after="0" w:line="75"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Furthermore, certain of our product candidates, such as RMC-4630, are currently being, and may in the future be, co-administered with approved or experimental therapies, such as Roche’s cobimetinib or Amgen’s AMG 510. These combinations may have additional side effects. The uncertainty resulting from the use of our product candidates in combination with other therapies may make it difficult to accurately predict side effects in future clinical trials.</w:t>
      </w:r>
    </w:p>
    <w:p>
      <w:pPr>
        <w:spacing w:after="0" w:line="101"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14" w:lineRule="exact"/>
        <w:rPr>
          <w:sz w:val="20"/>
          <w:szCs w:val="20"/>
          <w:color w:val="auto"/>
        </w:rPr>
      </w:pPr>
    </w:p>
    <w:p>
      <w:pPr>
        <w:ind w:left="420" w:hanging="216"/>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7" w:lineRule="exact"/>
        <w:rPr>
          <w:rFonts w:ascii="Arial" w:cs="Arial" w:eastAsia="Arial" w:hAnsi="Arial"/>
          <w:sz w:val="18"/>
          <w:szCs w:val="18"/>
          <w:color w:val="auto"/>
        </w:rPr>
      </w:pPr>
    </w:p>
    <w:p>
      <w:pPr>
        <w:ind w:left="420" w:right="340" w:hanging="216"/>
        <w:spacing w:after="0" w:line="239"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420" w:right="200" w:hanging="216"/>
        <w:spacing w:after="0" w:line="239"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Any of the foregoing events could prevent us from achieving or maintaining market acceptance of the particular product candidate, if approved, and result in the loss of significant revenues to us, which would adversely affect our business, financial condition, results of operations and prospects. In addition, if one or more of our product candidates prove to be unsafe, our entire technology platform and pipeline could be affected, which would have a material adverse effect on our business, financial condition, results of operations and prospects.</w:t>
      </w:r>
    </w:p>
    <w:p>
      <w:pPr>
        <w:spacing w:after="0" w:line="55" w:lineRule="exact"/>
        <w:rPr>
          <w:sz w:val="20"/>
          <w:szCs w:val="20"/>
          <w:color w:val="auto"/>
        </w:rPr>
      </w:pPr>
    </w:p>
    <w:p>
      <w:pPr>
        <w:ind w:left="200" w:right="240"/>
        <w:spacing w:after="0" w:line="248"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of our existing or future collaboration partners from obtaining approvals for the commercialization of RMC-4630 and any other product candidate we develop.</w:t>
      </w:r>
    </w:p>
    <w:p>
      <w:pPr>
        <w:spacing w:after="0" w:line="9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Any current or future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our current or future product candidates will ever obtain regulatory approval. We have no experience in filing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07"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07"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If we experience delays in obtaining approval or if we fail to obtain approval of any current or future product candidates we may develop, the commercial prospects for those product candidates may be harmed, and our ability to generate revenues will be materially impaired.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140"/>
        <w:spacing w:after="0" w:line="262" w:lineRule="auto"/>
        <w:rPr>
          <w:sz w:val="20"/>
          <w:szCs w:val="20"/>
          <w:color w:val="auto"/>
        </w:rPr>
      </w:pPr>
      <w:r>
        <w:rPr>
          <w:rFonts w:ascii="Arial" w:cs="Arial" w:eastAsia="Arial" w:hAnsi="Arial"/>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p>
    <w:p>
      <w:pPr>
        <w:spacing w:after="0" w:line="81"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82" w:lineRule="exact"/>
        <w:rPr>
          <w:sz w:val="20"/>
          <w:szCs w:val="20"/>
          <w:color w:val="auto"/>
        </w:rPr>
      </w:pPr>
    </w:p>
    <w:p>
      <w:pPr>
        <w:ind w:left="200" w:right="100"/>
        <w:spacing w:after="0" w:line="262" w:lineRule="auto"/>
        <w:rPr>
          <w:sz w:val="20"/>
          <w:szCs w:val="20"/>
          <w:color w:val="auto"/>
        </w:rPr>
      </w:pPr>
      <w:r>
        <w:rPr>
          <w:rFonts w:ascii="Arial" w:cs="Arial" w:eastAsia="Arial" w:hAnsi="Arial"/>
          <w:sz w:val="18"/>
          <w:szCs w:val="18"/>
          <w:b w:val="1"/>
          <w:bCs w:val="1"/>
          <w:i w:val="1"/>
          <w:iCs w:val="1"/>
          <w:color w:val="auto"/>
        </w:rPr>
        <w:t>Adverse events in the field of oncology could damage public perception of our current or future product candidates and negatively affect our business.</w:t>
      </w:r>
    </w:p>
    <w:p>
      <w:pPr>
        <w:spacing w:after="0" w:line="81" w:lineRule="exact"/>
        <w:rPr>
          <w:sz w:val="20"/>
          <w:szCs w:val="20"/>
          <w:color w:val="auto"/>
        </w:rPr>
      </w:pPr>
    </w:p>
    <w:p>
      <w:pPr>
        <w:ind w:left="200" w:right="120"/>
        <w:spacing w:after="0" w:line="270" w:lineRule="auto"/>
        <w:rPr>
          <w:sz w:val="20"/>
          <w:szCs w:val="20"/>
          <w:color w:val="auto"/>
        </w:rPr>
      </w:pPr>
      <w:r>
        <w:rPr>
          <w:rFonts w:ascii="Arial" w:cs="Arial" w:eastAsia="Arial" w:hAnsi="Arial"/>
          <w:sz w:val="16"/>
          <w:szCs w:val="16"/>
          <w:color w:val="auto"/>
        </w:rPr>
        <w:t>The commercial success of our products will depend in part on public acceptance of the use of targeted cancer therapies. While a number of targeted cancer therapies have received regulatory approval and are being commercialized, our approach to targeting cancer cells carrying tumor causing mutations, including oncogenic RAS(ON) pathway mutations, is novel and unproven. Adverse events in clinical trials of our product candidates, or post-marketing activities, or in clinical trials of others developing similar products and the resulting publicity, as well as any other adverse events in the field of oncology that may occur in the future, could result in a decrease in demand for any product that we may develop. If public perception is influenced by claims that the use of cancer therapies is unsafe, whether related to our therapies or those of our competitors, our products may not be accepted by the general public or the medical community.</w:t>
      </w:r>
    </w:p>
    <w:p>
      <w:pPr>
        <w:spacing w:after="0" w:line="77"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Future adverse events in 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product candidates we develop.</w:t>
      </w:r>
    </w:p>
    <w:p>
      <w:pPr>
        <w:spacing w:after="0" w:line="80" w:lineRule="exact"/>
        <w:rPr>
          <w:sz w:val="20"/>
          <w:szCs w:val="20"/>
          <w:color w:val="auto"/>
        </w:rPr>
      </w:pPr>
    </w:p>
    <w:p>
      <w:pPr>
        <w:jc w:val="both"/>
        <w:ind w:left="200" w:right="220"/>
        <w:spacing w:after="0" w:line="248" w:lineRule="auto"/>
        <w:rPr>
          <w:sz w:val="20"/>
          <w:szCs w:val="20"/>
          <w:color w:val="auto"/>
        </w:rPr>
      </w:pPr>
      <w:r>
        <w:rPr>
          <w:rFonts w:ascii="Arial" w:cs="Arial" w:eastAsia="Arial" w:hAnsi="Arial"/>
          <w:sz w:val="18"/>
          <w:szCs w:val="18"/>
          <w:b w:val="1"/>
          <w:bCs w:val="1"/>
          <w:i w:val="1"/>
          <w:iCs w:val="1"/>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94"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8"/>
          <w:szCs w:val="18"/>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80"/>
        <w:spacing w:after="0" w:line="235" w:lineRule="auto"/>
        <w:rPr>
          <w:sz w:val="20"/>
          <w:szCs w:val="20"/>
          <w:color w:val="auto"/>
        </w:rPr>
      </w:pPr>
      <w:r>
        <w:rPr>
          <w:rFonts w:ascii="Arial" w:cs="Arial" w:eastAsia="Arial" w:hAnsi="Arial"/>
          <w:sz w:val="18"/>
          <w:szCs w:val="18"/>
          <w:color w:val="auto"/>
        </w:rPr>
        <w:t>safety and efficacy of the product candidate. The FDA may also require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121" w:lineRule="exact"/>
        <w:rPr>
          <w:sz w:val="20"/>
          <w:szCs w:val="20"/>
          <w:color w:val="auto"/>
        </w:rPr>
      </w:pPr>
    </w:p>
    <w:p>
      <w:pPr>
        <w:ind w:left="420" w:hanging="216"/>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17" w:lineRule="exact"/>
        <w:rPr>
          <w:rFonts w:ascii="Arial" w:cs="Arial" w:eastAsia="Arial" w:hAnsi="Arial"/>
          <w:sz w:val="18"/>
          <w:szCs w:val="18"/>
          <w:color w:val="auto"/>
        </w:rPr>
      </w:pPr>
    </w:p>
    <w:p>
      <w:pPr>
        <w:ind w:left="420" w:right="560" w:hanging="216"/>
        <w:spacing w:after="0" w:line="239"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we filed or suspension or revocation of license approvals;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3" w:lineRule="exact"/>
        <w:rPr>
          <w:sz w:val="20"/>
          <w:szCs w:val="20"/>
          <w:color w:val="auto"/>
        </w:rPr>
      </w:pPr>
    </w:p>
    <w:p>
      <w:pPr>
        <w:ind w:left="200"/>
        <w:spacing w:after="0" w:line="262"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81" w:lineRule="exact"/>
        <w:rPr>
          <w:sz w:val="20"/>
          <w:szCs w:val="20"/>
          <w:color w:val="auto"/>
        </w:rPr>
      </w:pPr>
    </w:p>
    <w:p>
      <w:pPr>
        <w:ind w:left="200" w:right="120"/>
        <w:spacing w:after="0" w:line="271" w:lineRule="auto"/>
        <w:rPr>
          <w:sz w:val="20"/>
          <w:szCs w:val="20"/>
          <w:color w:val="auto"/>
        </w:rPr>
      </w:pPr>
      <w:r>
        <w:rPr>
          <w:rFonts w:ascii="Arial" w:cs="Arial" w:eastAsia="Arial" w:hAnsi="Arial"/>
          <w:sz w:val="16"/>
          <w:szCs w:val="16"/>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w:t>
      </w:r>
    </w:p>
    <w:p>
      <w:pPr>
        <w:spacing w:after="0" w:line="91" w:lineRule="exact"/>
        <w:rPr>
          <w:sz w:val="20"/>
          <w:szCs w:val="20"/>
          <w:color w:val="auto"/>
        </w:rPr>
      </w:pPr>
    </w:p>
    <w:p>
      <w:pPr>
        <w:ind w:left="420" w:hanging="216"/>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5620" w:right="1960" w:hanging="5416"/>
        <w:spacing w:after="0" w:line="411"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420" w:right="120" w:hanging="216"/>
        <w:spacing w:after="0" w:line="239"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84" w:lineRule="exact"/>
        <w:rPr>
          <w:sz w:val="20"/>
          <w:szCs w:val="20"/>
          <w:color w:val="auto"/>
        </w:rPr>
      </w:pPr>
    </w:p>
    <w:p>
      <w:pPr>
        <w:ind w:left="200" w:right="320"/>
        <w:spacing w:after="0" w:line="262" w:lineRule="auto"/>
        <w:rPr>
          <w:sz w:val="20"/>
          <w:szCs w:val="20"/>
          <w:color w:val="auto"/>
        </w:rPr>
      </w:pPr>
      <w:r>
        <w:rPr>
          <w:rFonts w:ascii="Arial" w:cs="Arial" w:eastAsia="Arial" w:hAnsi="Arial"/>
          <w:sz w:val="18"/>
          <w:szCs w:val="18"/>
          <w:b w:val="1"/>
          <w:bCs w:val="1"/>
          <w:i w:val="1"/>
          <w:i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8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expect to initially seek approval of RMC-4630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00"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color w:val="auto"/>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55" w:lineRule="exact"/>
        <w:rPr>
          <w:sz w:val="20"/>
          <w:szCs w:val="20"/>
          <w:color w:val="auto"/>
        </w:rPr>
      </w:pPr>
    </w:p>
    <w:p>
      <w:pPr>
        <w:ind w:left="200"/>
        <w:spacing w:after="0" w:line="262" w:lineRule="auto"/>
        <w:rPr>
          <w:sz w:val="20"/>
          <w:szCs w:val="20"/>
          <w:color w:val="auto"/>
        </w:rPr>
      </w:pPr>
      <w:r>
        <w:rPr>
          <w:rFonts w:ascii="Arial" w:cs="Arial" w:eastAsia="Arial" w:hAnsi="Arial"/>
          <w:sz w:val="18"/>
          <w:szCs w:val="18"/>
          <w:b w:val="1"/>
          <w:bCs w:val="1"/>
          <w:i w:val="1"/>
          <w:iCs w:val="1"/>
          <w:color w:val="auto"/>
        </w:rPr>
        <w:t>We are developing RMC-4630 in combination with Roche’s cobimetinib, and may in the future, develop RMC-4630 and other product candidates in combination with other therapies, such as Amgen’s AMG 510, which exposes us to additional risks.</w:t>
      </w:r>
    </w:p>
    <w:p>
      <w:pPr>
        <w:spacing w:after="0" w:line="8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are developing RMC-4630 in combination with Roche’s cobimetinib, and may in the future, develop RMC-4630 and other product candidates in combination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100"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We may also evaluate RMC-4630 or any other current or future product candidates in combination with one or more other cancer therapies, such as Amgen’s AMG 510, that have not yet been approved for marketing by the FDA or similar regulatory authorities outside of the United States. We will not be able to market and sell RMC-4630 or any product candidate we develop in combination with any such unapproved cancer therapies that do not ultimately obtain marketing approval.</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product candidate we develop, we may be unable to obtain approval of or market or any product candidate we develop.</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Sanofi primarily controls the research and development activities of our SHP2 inhibitors, including RMC-4630, pursuant to the terms of the Sanofi Agreement, and may disagree with us regarding which other therapies should be evaluated in combination with RMC-4630. As a result of this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82" w:lineRule="exact"/>
        <w:rPr>
          <w:sz w:val="20"/>
          <w:szCs w:val="20"/>
          <w:color w:val="auto"/>
        </w:rPr>
      </w:pPr>
    </w:p>
    <w:p>
      <w:pPr>
        <w:ind w:left="200" w:right="860"/>
        <w:spacing w:after="0" w:line="262"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81"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0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There are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and Jacobio Pharmaceuticals Co. Ltd. There are several RAS pathway mutations programs, including those directed at KRAS</w:t>
      </w:r>
      <w:r>
        <w:rPr>
          <w:rFonts w:ascii="Arial" w:cs="Arial" w:eastAsia="Arial" w:hAnsi="Arial"/>
          <w:sz w:val="11"/>
          <w:szCs w:val="11"/>
          <w:color w:val="auto"/>
        </w:rPr>
        <w:t>G12C</w:t>
      </w:r>
      <w:r>
        <w:rPr>
          <w:rFonts w:ascii="Arial" w:cs="Arial" w:eastAsia="Arial" w:hAnsi="Arial"/>
          <w:sz w:val="18"/>
          <w:szCs w:val="18"/>
          <w:color w:val="auto"/>
        </w:rPr>
        <w:t>(OFF) and KRAS</w:t>
      </w:r>
      <w:r>
        <w:rPr>
          <w:rFonts w:ascii="Arial" w:cs="Arial" w:eastAsia="Arial" w:hAnsi="Arial"/>
          <w:sz w:val="11"/>
          <w:szCs w:val="11"/>
          <w:color w:val="auto"/>
        </w:rPr>
        <w:t>G12D</w:t>
      </w:r>
      <w:r>
        <w:rPr>
          <w:rFonts w:ascii="Arial" w:cs="Arial" w:eastAsia="Arial" w:hAnsi="Arial"/>
          <w:sz w:val="18"/>
          <w:szCs w:val="18"/>
          <w:color w:val="auto"/>
        </w:rPr>
        <w:t>(OFF) mutations, including clinical programs directed at KRAS</w:t>
      </w:r>
      <w:r>
        <w:rPr>
          <w:rFonts w:ascii="Arial" w:cs="Arial" w:eastAsia="Arial" w:hAnsi="Arial"/>
          <w:sz w:val="11"/>
          <w:szCs w:val="11"/>
          <w:color w:val="auto"/>
        </w:rPr>
        <w:t>G12C</w:t>
      </w:r>
      <w:r>
        <w:rPr>
          <w:rFonts w:ascii="Arial" w:cs="Arial" w:eastAsia="Arial" w:hAnsi="Arial"/>
          <w:sz w:val="18"/>
          <w:szCs w:val="18"/>
          <w:color w:val="auto"/>
        </w:rPr>
        <w:t>(OFF) being conducted by Amgen Inc., Mirati Therapeutics, Inc., Johnson &amp; Johnson, AstraZeneca plc and Eli Lilly &amp; Co. Other clinical programs directed at mutant RAS are being conducted by Merck &amp; Co./Moderna Therapeutics, Boehringer Ingelheim and Gilead Sciences, Inc.</w:t>
      </w:r>
    </w:p>
    <w:p>
      <w:pPr>
        <w:spacing w:after="0" w:line="101"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EMA or other marketing approval for their products more rapidly than we may obtain approval for ours, which could result in our competitors establishing a strong</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40"/>
        <w:spacing w:after="0" w:line="299" w:lineRule="auto"/>
        <w:rPr>
          <w:sz w:val="20"/>
          <w:szCs w:val="20"/>
          <w:color w:val="auto"/>
        </w:rPr>
      </w:pPr>
      <w:r>
        <w:rPr>
          <w:rFonts w:ascii="Arial" w:cs="Arial" w:eastAsia="Arial" w:hAnsi="Arial"/>
          <w:sz w:val="16"/>
          <w:szCs w:val="16"/>
          <w:color w:val="auto"/>
        </w:rPr>
        <w:t>market position before we are able to enter the market. Even if the product candidate we develop achieve marketing approval, they may be priced at a significant premium over competitive products if any have been approved by then, resulting in reduced competitiveness.</w:t>
      </w:r>
    </w:p>
    <w:p>
      <w:pPr>
        <w:spacing w:after="0" w:line="5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81" w:lineRule="exact"/>
        <w:rPr>
          <w:sz w:val="20"/>
          <w:szCs w:val="20"/>
          <w:color w:val="auto"/>
        </w:rPr>
      </w:pPr>
    </w:p>
    <w:p>
      <w:pPr>
        <w:ind w:left="200" w:right="980"/>
        <w:spacing w:after="0" w:line="262"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or third-party coverage and reimbursement policies, which would harm our business.</w:t>
      </w:r>
    </w:p>
    <w:p>
      <w:pPr>
        <w:spacing w:after="0" w:line="81" w:lineRule="exact"/>
        <w:rPr>
          <w:sz w:val="20"/>
          <w:szCs w:val="20"/>
          <w:color w:val="auto"/>
        </w:rPr>
      </w:pPr>
    </w:p>
    <w:p>
      <w:pPr>
        <w:ind w:left="200" w:right="60"/>
        <w:spacing w:after="0" w:line="270" w:lineRule="auto"/>
        <w:rPr>
          <w:sz w:val="20"/>
          <w:szCs w:val="20"/>
          <w:color w:val="auto"/>
        </w:rPr>
      </w:pPr>
      <w:r>
        <w:rPr>
          <w:rFonts w:ascii="Arial" w:cs="Arial" w:eastAsia="Arial" w:hAnsi="Arial"/>
          <w:sz w:val="16"/>
          <w:szCs w:val="16"/>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w:t>
      </w:r>
    </w:p>
    <w:p>
      <w:pPr>
        <w:spacing w:after="0" w:line="77" w:lineRule="exact"/>
        <w:rPr>
          <w:sz w:val="20"/>
          <w:szCs w:val="20"/>
          <w:color w:val="auto"/>
        </w:rPr>
      </w:pPr>
    </w:p>
    <w:p>
      <w:pPr>
        <w:ind w:left="200"/>
        <w:spacing w:after="0" w:line="273" w:lineRule="auto"/>
        <w:rPr>
          <w:sz w:val="20"/>
          <w:szCs w:val="20"/>
          <w:color w:val="auto"/>
        </w:rPr>
      </w:pPr>
      <w:r>
        <w:rPr>
          <w:rFonts w:ascii="Arial" w:cs="Arial" w:eastAsia="Arial" w:hAnsi="Arial"/>
          <w:sz w:val="16"/>
          <w:szCs w:val="16"/>
          <w:color w:val="auto"/>
        </w:rPr>
        <w:t>Our ability to commercialize any product candidates, whether as a single agent or combination therapy, successfully also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will decide with respect to coverage and reimbursement for our programs.</w:t>
      </w:r>
    </w:p>
    <w:p>
      <w:pPr>
        <w:spacing w:after="0" w:line="75"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drugs. We cannot be sure that coverage will be available for any product candidate that we commercialize and, if coverage is available, the level of reimbursement. These third-party payors are also examining the cost-effectiveness of drugs in addition to their safety and efficacy.</w:t>
      </w:r>
    </w:p>
    <w:p>
      <w:pPr>
        <w:spacing w:after="0" w:line="102"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00"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can differ significantly from</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payor to payor.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87" w:lineRule="exact"/>
        <w:rPr>
          <w:sz w:val="20"/>
          <w:szCs w:val="20"/>
          <w:color w:val="auto"/>
        </w:rPr>
      </w:pPr>
    </w:p>
    <w:p>
      <w:pPr>
        <w:ind w:left="200" w:right="320"/>
        <w:spacing w:after="0" w:line="262"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mutant RAS(ON) target.</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have limited technical, managerial and financial resources to determine which of our lead generation stage RAS(ON) inhibitors should be advanced into further preclinical development, initial clinical trials, later-stage clinical development and potential commercialization. Initially, we are prioritizing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—and expect to nominate our first development candidate in 2020. In selecting a development candidate, we may make incorrect determinations. Our decisions to allocate our research and development, management and financial resources toward particular development candidates or therapeutic areas may not lead to the development of viable commercial products and may divert resources from better opportunities. Similarly, our decisions to delay or terminate development programs may also be incorrect and could cause us to miss valuable opportunities.</w:t>
      </w:r>
    </w:p>
    <w:p>
      <w:pPr>
        <w:spacing w:after="0" w:line="81" w:lineRule="exact"/>
        <w:rPr>
          <w:sz w:val="20"/>
          <w:szCs w:val="20"/>
          <w:color w:val="auto"/>
        </w:rPr>
      </w:pPr>
    </w:p>
    <w:p>
      <w:pPr>
        <w:ind w:left="200" w:right="200"/>
        <w:spacing w:after="0" w:line="325" w:lineRule="auto"/>
        <w:rPr>
          <w:sz w:val="20"/>
          <w:szCs w:val="20"/>
          <w:color w:val="auto"/>
        </w:rPr>
      </w:pPr>
      <w:r>
        <w:rPr>
          <w:rFonts w:ascii="Arial" w:cs="Arial" w:eastAsia="Arial" w:hAnsi="Arial"/>
          <w:sz w:val="16"/>
          <w:szCs w:val="16"/>
          <w:b w:val="1"/>
          <w:bCs w:val="1"/>
          <w:i w:val="1"/>
          <w:iCs w:val="1"/>
          <w:color w:val="auto"/>
        </w:rPr>
        <w:t>We may not be successful in our efforts to identify or discover other product candidates and may fail to capitalize on programs or product candidates that may present a greater commercial opportunity or for which there is a greater likelihood of success.</w:t>
      </w:r>
    </w:p>
    <w:p>
      <w:pPr>
        <w:spacing w:after="0" w:line="35" w:lineRule="exact"/>
        <w:rPr>
          <w:sz w:val="20"/>
          <w:szCs w:val="20"/>
          <w:color w:val="auto"/>
        </w:rPr>
      </w:pPr>
    </w:p>
    <w:p>
      <w:pPr>
        <w:ind w:left="200" w:right="280"/>
        <w:spacing w:after="0" w:line="275" w:lineRule="auto"/>
        <w:rPr>
          <w:sz w:val="20"/>
          <w:szCs w:val="20"/>
          <w:color w:val="auto"/>
        </w:rPr>
      </w:pPr>
      <w:r>
        <w:rPr>
          <w:rFonts w:ascii="Arial" w:cs="Arial" w:eastAsia="Arial" w:hAnsi="Arial"/>
          <w:sz w:val="16"/>
          <w:szCs w:val="16"/>
          <w:color w:val="auto"/>
        </w:rPr>
        <w:t>The success of our business depends upon our ability to identify, develop and commercialize product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product candidates require substantial technical, financial and human resources, and we may fail to identify potential product candidates for numerous reasons.</w:t>
      </w:r>
    </w:p>
    <w:p>
      <w:pPr>
        <w:spacing w:after="0" w:line="75"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Additionally, because we have limited resources beyond those provided by Sanofi on SHP2 and RMC-4630, we may forego or delay pursuit of opportunities with certain programs or product candidates or for indications that later prove to have greater commercial potential. For example, we currently intend to focus on the development of RMC-4630. However, the advancement of this product candidate may ultimately prove to be unsuccessful or less successful than another program in our pipeline that we might have chosen to pursue on a less aggressive basis. Our estimates regarding the potential market for our product candidates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collaboration, licensing or other arrangements in cases in which it would have been more advantageous for us to retain sole development and commercialization rights to such product candidate. For example, we licensed worldwide development and commercialization rights with respect to RMC-4630 to Sanofi and will receive only milestone</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60"/>
        <w:spacing w:after="0" w:line="238" w:lineRule="auto"/>
        <w:rPr>
          <w:sz w:val="20"/>
          <w:szCs w:val="20"/>
          <w:color w:val="auto"/>
        </w:rPr>
      </w:pPr>
      <w:r>
        <w:rPr>
          <w:rFonts w:ascii="Arial" w:cs="Arial" w:eastAsia="Arial" w:hAnsi="Arial"/>
          <w:sz w:val="18"/>
          <w:szCs w:val="18"/>
          <w:color w:val="auto"/>
        </w:rPr>
        <w:t>payments, an equal share of profits and losses in the United States and royalties on annual net sales of each product outside the United States. Alternatively, we may allocate internal resources to a product candidate in a therapeutic area in which it would have been more advantageous to enter into a partnering arrangement.</w:t>
      </w:r>
    </w:p>
    <w:p>
      <w:pPr>
        <w:spacing w:after="0" w:line="100"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80" w:lineRule="exact"/>
        <w:rPr>
          <w:sz w:val="20"/>
          <w:szCs w:val="20"/>
          <w:color w:val="auto"/>
        </w:rPr>
      </w:pPr>
    </w:p>
    <w:p>
      <w:pPr>
        <w:ind w:left="200" w:right="120"/>
        <w:spacing w:after="0" w:line="244"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to develop, novel complementary diagnostics and/or novel companion diagnostics for some of our current or future product candidates. If we or our future partners are unable to successfully develop such companion diagnostics or complementary diagnostics, or experience significant delays in doing so, we may not realize the full commercial potential of our future product candidates.</w:t>
      </w:r>
    </w:p>
    <w:p>
      <w:pPr>
        <w:spacing w:after="0" w:line="97"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As one of the key elements of our product development strategy, we seek to identify cancer patient populations that may derive meaningful benefit from our current or future product candidates. Because predictive biomarkers may be used to identify the right patients for our programs and our current or future product candidates, we believe that our success may depend, in part, on our ability to use existing diagnostic tests (such as Foundation Medicine’s FoundationOne</w:t>
      </w:r>
      <w:r>
        <w:rPr>
          <w:rFonts w:ascii="Arial" w:cs="Arial" w:eastAsia="Arial" w:hAnsi="Arial"/>
          <w:sz w:val="11"/>
          <w:szCs w:val="11"/>
          <w:color w:val="auto"/>
        </w:rPr>
        <w:t>®</w:t>
      </w:r>
      <w:r>
        <w:rPr>
          <w:rFonts w:ascii="Arial" w:cs="Arial" w:eastAsia="Arial" w:hAnsi="Arial"/>
          <w:sz w:val="18"/>
          <w:szCs w:val="18"/>
          <w:color w:val="auto"/>
        </w:rPr>
        <w:t xml:space="preserve"> CDX), or develop novel complementary diagnostics and/or novel companion diagnostics in collaboration with partners.</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the event that novel tests will need to be developed, we have little experience in the development of diagnostics. As such, we expect to rely on future partners in developing appropriate diagnostics to pair with our current or future product candidates. We have not yet begun discussions with any potential partners with respect to the development of complementary diagnostics and/or companion diagnostics and may be unsuccessful in entering into collaborations for the development of companion diagnostics for our programs and our current or future product candidates.</w:t>
      </w:r>
    </w:p>
    <w:p>
      <w:pPr>
        <w:spacing w:after="0" w:line="103"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Complementary diagnostics and/or companion diagnostics are subject to regulation by the FDA and similar regulatory authorities outside the United States as medical devices and require separate regulatory approval or clearance prior to commercialization. If we, our partners, or any third parties that we engage to assist us, are unable to successfully develop complementary diagnostics and/or companion diagnostics for our product candidates and any future product candidates, or experience delays in doing so:</w:t>
      </w:r>
    </w:p>
    <w:p>
      <w:pPr>
        <w:spacing w:after="0" w:line="114" w:lineRule="exact"/>
        <w:rPr>
          <w:sz w:val="20"/>
          <w:szCs w:val="20"/>
          <w:color w:val="auto"/>
        </w:rPr>
      </w:pPr>
    </w:p>
    <w:p>
      <w:pPr>
        <w:ind w:left="420" w:right="740" w:hanging="216"/>
        <w:spacing w:after="0" w:line="239"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of our product candidates and any other future product candidates may be adversely affected if we are unable to appropriately select patients for enrollment in our clinical trials; and</w:t>
      </w:r>
    </w:p>
    <w:p>
      <w:pPr>
        <w:spacing w:after="0" w:line="114" w:lineRule="exact"/>
        <w:rPr>
          <w:rFonts w:ascii="Arial" w:cs="Arial" w:eastAsia="Arial" w:hAnsi="Arial"/>
          <w:sz w:val="18"/>
          <w:szCs w:val="18"/>
          <w:color w:val="auto"/>
        </w:rPr>
      </w:pPr>
    </w:p>
    <w:p>
      <w:pPr>
        <w:jc w:val="both"/>
        <w:ind w:left="420" w:right="160" w:hanging="216"/>
        <w:spacing w:after="0" w:line="238"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our product candidates and any other future product candidates that receive marketing approval if, among other reasons, we are unable to appropriately identify, or it takes us longer to identify, patients who are likely to benefit from therapy with our products, if approved.</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84" w:lineRule="exact"/>
        <w:rPr>
          <w:sz w:val="20"/>
          <w:szCs w:val="20"/>
          <w:color w:val="auto"/>
        </w:rPr>
      </w:pPr>
    </w:p>
    <w:p>
      <w:pPr>
        <w:ind w:left="200" w:right="220"/>
        <w:spacing w:after="0" w:line="244"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97"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75"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07"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Drugs designated as fast track products or breakthrough therapies by the FDA are also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87" w:lineRule="exact"/>
        <w:rPr>
          <w:sz w:val="20"/>
          <w:szCs w:val="20"/>
          <w:color w:val="auto"/>
        </w:rPr>
      </w:pPr>
    </w:p>
    <w:p>
      <w:pPr>
        <w:ind w:left="200" w:right="540"/>
        <w:spacing w:after="0" w:line="262" w:lineRule="auto"/>
        <w:rPr>
          <w:sz w:val="20"/>
          <w:szCs w:val="20"/>
          <w:color w:val="auto"/>
        </w:rPr>
      </w:pPr>
      <w:r>
        <w:rPr>
          <w:rFonts w:ascii="Arial" w:cs="Arial" w:eastAsia="Arial" w:hAnsi="Arial"/>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8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 part of our business strategy, we may seek Orphan Drug Designation for any product candidates we develop,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0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03"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87" w:lineRule="exact"/>
        <w:rPr>
          <w:sz w:val="20"/>
          <w:szCs w:val="20"/>
          <w:color w:val="auto"/>
        </w:rPr>
      </w:pPr>
    </w:p>
    <w:p>
      <w:pPr>
        <w:ind w:left="200" w:right="1500"/>
        <w:spacing w:after="0" w:line="262"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face an inherent risk of product liability as a result of the clinical testing of product candidates and will face an even greater risk if we commercialize any products. For example, we may be sued if any product candidate we develop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114"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decreased demand for any approved product;</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04" w:lineRule="exact"/>
        <w:rPr>
          <w:sz w:val="20"/>
          <w:szCs w:val="20"/>
          <w:color w:val="auto"/>
        </w:rPr>
      </w:pPr>
    </w:p>
    <w:p>
      <w:pPr>
        <w:ind w:left="200" w:right="560"/>
        <w:spacing w:after="0" w:line="239"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collaboration partners.</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Insurance coverage is increasingly expensive. We may not be able to maintain insurance at a reasonable cost or in an amount adequate to satisfy any liability that may arise, if at all. Our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Sanofi or any future collaborator entitle us to indemnification against losses, such indemnification may not be available or adequate should any claim arise.</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Affordable Care Act, or the ACA, was passed, which substantially changes the way healthcare is financed by both governmental and private insurers, and significantly impacts the U.S. pharmaceutical industry.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00" w:lineRule="exact"/>
        <w:rPr>
          <w:sz w:val="20"/>
          <w:szCs w:val="20"/>
          <w:color w:val="auto"/>
        </w:rPr>
      </w:pPr>
    </w:p>
    <w:p>
      <w:pPr>
        <w:ind w:left="200" w:right="20"/>
        <w:spacing w:after="0" w:line="273"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as well as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two bills affecting the implementation of certain taxes under the ACA have been signed into law. 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reduce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of 2017. While the Texas U.S. District Court Judge, as well as the Trump administration and Centers for Medicare and Medicaid Services, or CMS, have stated that the ruling will have no immediate effect pending appeal of the decision, it is unclear how this decision, subsequent appeals, and other efforts to repeal and replace the ACA will impact the ACA and our business. The effect that the ACA and its possible repeal and replacement may have on our business remains unclear.</w:t>
      </w:r>
    </w:p>
    <w:p>
      <w:pPr>
        <w:spacing w:after="0" w:line="10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03" w:lineRule="exact"/>
        <w:rPr>
          <w:sz w:val="20"/>
          <w:szCs w:val="20"/>
          <w:color w:val="auto"/>
        </w:rPr>
      </w:pPr>
    </w:p>
    <w:p>
      <w:pPr>
        <w:ind w:left="200" w:right="260"/>
        <w:spacing w:after="0" w:line="237"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diagnostics or companion diagnostics or additional pricing pressures.</w:t>
      </w:r>
    </w:p>
    <w:p>
      <w:pPr>
        <w:spacing w:after="0" w:line="101" w:lineRule="exact"/>
        <w:rPr>
          <w:sz w:val="20"/>
          <w:szCs w:val="20"/>
          <w:color w:val="auto"/>
        </w:rPr>
      </w:pPr>
    </w:p>
    <w:p>
      <w:pPr>
        <w:ind w:left="200" w:right="200"/>
        <w:spacing w:after="0" w:line="275"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55" w:lineRule="exact"/>
        <w:rPr>
          <w:sz w:val="20"/>
          <w:szCs w:val="20"/>
          <w:color w:val="auto"/>
        </w:rPr>
      </w:pPr>
    </w:p>
    <w:p>
      <w:pPr>
        <w:ind w:left="200" w:right="240"/>
        <w:spacing w:after="0" w:line="262"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reliance on third parties</w:t>
      </w:r>
    </w:p>
    <w:p>
      <w:pPr>
        <w:spacing w:after="0" w:line="114" w:lineRule="exact"/>
        <w:rPr>
          <w:sz w:val="20"/>
          <w:szCs w:val="20"/>
          <w:color w:val="auto"/>
        </w:rPr>
      </w:pPr>
    </w:p>
    <w:p>
      <w:pPr>
        <w:ind w:left="200" w:right="300"/>
        <w:spacing w:after="0" w:line="294" w:lineRule="auto"/>
        <w:rPr>
          <w:sz w:val="20"/>
          <w:szCs w:val="20"/>
          <w:color w:val="auto"/>
        </w:rPr>
      </w:pPr>
      <w:r>
        <w:rPr>
          <w:rFonts w:ascii="Arial" w:cs="Arial" w:eastAsia="Arial" w:hAnsi="Arial"/>
          <w:sz w:val="16"/>
          <w:szCs w:val="16"/>
          <w:b w:val="1"/>
          <w:bCs w:val="1"/>
          <w:i w:val="1"/>
          <w:iCs w:val="1"/>
          <w:color w:val="auto"/>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p>
    <w:p>
      <w:pPr>
        <w:spacing w:after="0" w:line="60" w:lineRule="exact"/>
        <w:rPr>
          <w:sz w:val="20"/>
          <w:szCs w:val="20"/>
          <w:color w:val="auto"/>
        </w:rPr>
      </w:pPr>
    </w:p>
    <w:p>
      <w:pPr>
        <w:ind w:left="200" w:right="20"/>
        <w:spacing w:after="0" w:line="267" w:lineRule="auto"/>
        <w:rPr>
          <w:sz w:val="20"/>
          <w:szCs w:val="20"/>
          <w:color w:val="auto"/>
        </w:rPr>
      </w:pPr>
      <w:r>
        <w:rPr>
          <w:rFonts w:ascii="Arial" w:cs="Arial" w:eastAsia="Arial" w:hAnsi="Arial"/>
          <w:sz w:val="16"/>
          <w:szCs w:val="16"/>
          <w:color w:val="auto"/>
        </w:rPr>
        <w:t>In June 2018, we entered into a collaborative research, development and commercialization agreement with Sanofi, or the Sanofi Agreement, focused on researching, developing and commercializing SHP2 inhibitors as cancer therapies and potentially other indications. Sanofi primarily controls the research and development activities pursuant to the terms of the Sanofi Agreement, and our lack of control over such activities, including with respect to RMC-4630, could result in delays or other difficulties in the development and commercialization of product candidates, which may prevent completion of intended NDA filings in a timely fashion, if at all. Because of the allocation of responsibilities under the Sanofi Agreement, we are wholly dependent on Sanofi for the success of the RMC-4630 program. Any dispute with Sanofi may result in the delay or termination of the research, development or commercialization of RMC-4630 or other SHP2 inhibitor product candidates, and may result in costly litigation that diverts management attention and resources away from our day-to-day activities, which may adversely affect our business, financial condition, results of operation and prospects. For example, we plan to evaluate RMC-4630 in combination with other therapies (which may include product candidates from our pipeline), and Sanofi may disagree with us regarding which other therapies should be evaluated in combination with RMC-4630. As a result of this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28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addition, Sanofi can terminate the Sanofi Agreement (including for convenience), and in the event Sanofi terminates the Sanofi Agreement, we would be prevented from receiving any research and development funding, milestone payments, profit share payments, royalty payments and other benefits under that agreement. Termination of the Sanofi Agreement could require us to seek additional funding in order to avoid delaying, reducing the scope of, or suspending, one or more of our research and development programs or clinical trials. In addition, any decision by Sanofi to terminate the Sanofi Agreement may negatively impact public perception of RMC-4630, or all of the SHP2 program covered by the Sanofi Agreement, which could adversely affect the market price of our common stock. We cannot provide any assurance with respect to the success of the Sanofi collaboration. Any of the foregoing events could have a materially adverse effect on our business, financial condition, results of operation and prospects. For more information regarding the Sanofi Agreement, see “Business—Collaboration agreement with Sanofi.”</w:t>
      </w:r>
    </w:p>
    <w:p>
      <w:pPr>
        <w:spacing w:after="0" w:line="87"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b w:val="1"/>
          <w:bCs w:val="1"/>
          <w:i w:val="1"/>
          <w:iCs w:val="1"/>
          <w:color w:val="auto"/>
        </w:rPr>
        <w:t>In addition to our collaboration with Sanofi, we may depend on collaborations with other third parties for the development and commercialization of our product candidates in the future. If our collaborations are not successful, we may not be able to capitalize on the market potential of these product candidates.</w:t>
      </w:r>
    </w:p>
    <w:p>
      <w:pPr>
        <w:spacing w:after="0" w:line="94"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Collaborations involving our current and future product candidates, including our current collaborations with Sanofi, Roche and Amgen may pose the following risks to us:</w:t>
      </w:r>
    </w:p>
    <w:p>
      <w:pPr>
        <w:spacing w:after="0" w:line="114" w:lineRule="exact"/>
        <w:rPr>
          <w:sz w:val="20"/>
          <w:szCs w:val="20"/>
          <w:color w:val="auto"/>
        </w:rPr>
      </w:pPr>
    </w:p>
    <w:p>
      <w:pPr>
        <w:ind w:left="420" w:hanging="2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420" w:right="720" w:hanging="216"/>
        <w:spacing w:after="0" w:line="23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114" w:lineRule="exact"/>
        <w:rPr>
          <w:rFonts w:ascii="Arial" w:cs="Arial" w:eastAsia="Arial" w:hAnsi="Arial"/>
          <w:sz w:val="18"/>
          <w:szCs w:val="18"/>
          <w:color w:val="auto"/>
        </w:rPr>
      </w:pPr>
    </w:p>
    <w:p>
      <w:pPr>
        <w:ind w:left="420" w:right="300" w:hanging="216"/>
        <w:spacing w:after="0" w:line="23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14" w:lineRule="exact"/>
        <w:rPr>
          <w:rFonts w:ascii="Arial" w:cs="Arial" w:eastAsia="Arial" w:hAnsi="Arial"/>
          <w:sz w:val="18"/>
          <w:szCs w:val="18"/>
          <w:color w:val="auto"/>
        </w:rPr>
      </w:pPr>
    </w:p>
    <w:p>
      <w:pPr>
        <w:ind w:left="420" w:right="460" w:hanging="216"/>
        <w:spacing w:after="0" w:line="23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4" w:lineRule="exact"/>
        <w:rPr>
          <w:rFonts w:ascii="Arial" w:cs="Arial" w:eastAsia="Arial" w:hAnsi="Arial"/>
          <w:sz w:val="18"/>
          <w:szCs w:val="18"/>
          <w:color w:val="auto"/>
        </w:rPr>
      </w:pPr>
    </w:p>
    <w:p>
      <w:pPr>
        <w:ind w:left="420" w:hanging="216"/>
        <w:spacing w:after="0" w:line="238"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113"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17" w:lineRule="exact"/>
        <w:rPr>
          <w:rFonts w:ascii="Arial" w:cs="Arial" w:eastAsia="Arial" w:hAnsi="Arial"/>
          <w:sz w:val="18"/>
          <w:szCs w:val="18"/>
          <w:color w:val="auto"/>
        </w:rPr>
      </w:pPr>
    </w:p>
    <w:p>
      <w:pPr>
        <w:ind w:left="420" w:right="20" w:hanging="216"/>
        <w:spacing w:after="0" w:line="299" w:lineRule="auto"/>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 and</w:t>
      </w:r>
    </w:p>
    <w:p>
      <w:pPr>
        <w:spacing w:after="0" w:line="68" w:lineRule="exact"/>
        <w:rPr>
          <w:rFonts w:ascii="Arial" w:cs="Arial" w:eastAsia="Arial" w:hAnsi="Arial"/>
          <w:sz w:val="16"/>
          <w:szCs w:val="16"/>
          <w:color w:val="auto"/>
        </w:rPr>
      </w:pPr>
    </w:p>
    <w:p>
      <w:pPr>
        <w:ind w:left="420" w:hanging="216"/>
        <w:spacing w:after="0" w:line="23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01" w:lineRule="exact"/>
        <w:rPr>
          <w:sz w:val="20"/>
          <w:szCs w:val="20"/>
          <w:color w:val="auto"/>
        </w:rPr>
      </w:pPr>
    </w:p>
    <w:p>
      <w:pPr>
        <w:ind w:left="200" w:right="240"/>
        <w:spacing w:after="0" w:line="271" w:lineRule="auto"/>
        <w:rPr>
          <w:sz w:val="20"/>
          <w:szCs w:val="20"/>
          <w:color w:val="auto"/>
        </w:rPr>
      </w:pPr>
      <w:r>
        <w:rPr>
          <w:rFonts w:ascii="Arial" w:cs="Arial" w:eastAsia="Arial" w:hAnsi="Arial"/>
          <w:sz w:val="16"/>
          <w:szCs w:val="16"/>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57" w:lineRule="exact"/>
        <w:rPr>
          <w:sz w:val="20"/>
          <w:szCs w:val="20"/>
          <w:color w:val="auto"/>
        </w:rPr>
      </w:pPr>
    </w:p>
    <w:p>
      <w:pPr>
        <w:ind w:left="200" w:right="80"/>
        <w:spacing w:after="0" w:line="262"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8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67"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287"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the Sanofi Agreement, we have granted worldwide exclusive rights under our intellectual property to Sanofi for SHP2 inhibitors, and during the term of the agreement we will be restricted from granting similar rights to other parties. This exclusivity could limit our ability to enter into collaborations with future collaborators.</w:t>
      </w:r>
    </w:p>
    <w:p>
      <w:pPr>
        <w:spacing w:after="0" w:line="101"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101"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1" w:lineRule="exact"/>
        <w:rPr>
          <w:sz w:val="20"/>
          <w:szCs w:val="20"/>
          <w:color w:val="auto"/>
        </w:rPr>
      </w:pPr>
    </w:p>
    <w:p>
      <w:pPr>
        <w:ind w:left="200" w:right="60"/>
        <w:spacing w:after="0" w:line="262"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81" w:lineRule="exact"/>
        <w:rPr>
          <w:sz w:val="20"/>
          <w:szCs w:val="20"/>
          <w:color w:val="auto"/>
        </w:rPr>
      </w:pPr>
    </w:p>
    <w:p>
      <w:pPr>
        <w:jc w:val="both"/>
        <w:ind w:left="200"/>
        <w:spacing w:after="0" w:line="264" w:lineRule="auto"/>
        <w:rPr>
          <w:sz w:val="20"/>
          <w:szCs w:val="20"/>
          <w:color w:val="auto"/>
        </w:rPr>
      </w:pPr>
      <w:r>
        <w:rPr>
          <w:rFonts w:ascii="Arial" w:cs="Arial" w:eastAsia="Arial" w:hAnsi="Arial"/>
          <w:sz w:val="16"/>
          <w:szCs w:val="16"/>
          <w:color w:val="auto"/>
        </w:rPr>
        <w:t>If conflicts arise between our corporate or academic collaborators or strategic partners and us, the other party may act in a manner adverse to us and could limit our ability to implement our strategies. Sanofi or future collaborators or strategic partners may develop, either alone or with others, products in related fields that are competitive with the products or potential products that are the subject of these collaborations.</w:t>
      </w:r>
    </w:p>
    <w:p>
      <w:pPr>
        <w:spacing w:after="0" w:line="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Competing products, either developed by the collaborators or strategic partners or to which the collaborators or strategic partners have rights, may result in the withdrawal of partner support for our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240"/>
        <w:spacing w:after="0" w:line="244" w:lineRule="auto"/>
        <w:rPr>
          <w:sz w:val="20"/>
          <w:szCs w:val="20"/>
          <w:color w:val="auto"/>
        </w:rPr>
      </w:pPr>
      <w:r>
        <w:rPr>
          <w:rFonts w:ascii="Arial" w:cs="Arial" w:eastAsia="Arial" w:hAnsi="Arial"/>
          <w:sz w:val="18"/>
          <w:szCs w:val="18"/>
          <w:b w:val="1"/>
          <w:bCs w:val="1"/>
          <w:i w:val="1"/>
          <w:iCs w:val="1"/>
          <w:color w:val="auto"/>
        </w:rPr>
        <w:t>We rely on third parties to conduct our ongoing and planned clinical trials for RMC-4630 and any other product candidates we develop. If these third parties do not successfully carry out their contractual duties, comply with regulatory requirements or meet expected deadlines, we may not be able to obtain marketing approval for or commercialize RMC-4630 and any other product candidates we develop and our business could be substantially harmed.</w:t>
      </w:r>
    </w:p>
    <w:p>
      <w:pPr>
        <w:spacing w:after="0" w:line="9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do not have the ability to independently conduct clinical trials. We rely on medical institutions, clinical investigators, contract laboratories, and other third parties, including collaboration partners, to conduct or otherwise support clinical trials for RMC-4630 and other product candidates. We rely heavily on these parties for execution of clinical trials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untitled and warning letters or enforcement action that may include civil penalties up to and including criminal prosecution.</w:t>
      </w:r>
    </w:p>
    <w:p>
      <w:pPr>
        <w:spacing w:after="0" w:line="101"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We and third parties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GCP requirements through periodic inspections of clinical trial sponsors, principal investigators and trial sites. If we or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 In addition, our clinical trials must be conducted with product candidates produced under cGMP regulations. Our failure or the failure of third parties to comply with these regulations may require us to repeat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07"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Although we intend to design the clinical trials for our product candidates, or be involved in the design when other parties sponsor the trials, third parties conduct all of the clinical trials. For example, Amgen will conduct the planned Phase 1b trial evaluating the combination of RMC-4630 and AMG510.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6" w:lineRule="exact"/>
        <w:rPr>
          <w:sz w:val="20"/>
          <w:szCs w:val="20"/>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staffing difficulties;</w:t>
      </w:r>
    </w:p>
    <w:p>
      <w:pPr>
        <w:ind w:left="420" w:hanging="216"/>
        <w:spacing w:after="0" w:line="234"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ind w:left="420" w:hanging="216"/>
        <w:spacing w:after="0" w:line="234"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ind w:left="420" w:hanging="216"/>
        <w:spacing w:after="0" w:line="234"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04" w:lineRule="exact"/>
        <w:rPr>
          <w:sz w:val="20"/>
          <w:szCs w:val="20"/>
          <w:color w:val="auto"/>
        </w:rPr>
      </w:pPr>
    </w:p>
    <w:p>
      <w:pPr>
        <w:ind w:left="200" w:right="520"/>
        <w:spacing w:after="0" w:line="239"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clinical trials in a satisfactory manner, breach their obligations to us or fail to comply with regulatory requirements, the development, marketing approval and commercialization of our product candidates may be delayed, we may not be able to obtain marketing approval and commercialize our product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0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81" w:lineRule="exact"/>
        <w:rPr>
          <w:sz w:val="20"/>
          <w:szCs w:val="20"/>
          <w:color w:val="auto"/>
        </w:rPr>
      </w:pPr>
    </w:p>
    <w:p>
      <w:pPr>
        <w:ind w:left="200" w:right="240"/>
        <w:spacing w:after="0" w:line="244" w:lineRule="auto"/>
        <w:rPr>
          <w:sz w:val="20"/>
          <w:szCs w:val="20"/>
          <w:color w:val="auto"/>
        </w:rPr>
      </w:pPr>
      <w:r>
        <w:rPr>
          <w:rFonts w:ascii="Arial" w:cs="Arial" w:eastAsia="Arial" w:hAnsi="Arial"/>
          <w:sz w:val="18"/>
          <w:szCs w:val="18"/>
          <w:b w:val="1"/>
          <w:bCs w:val="1"/>
          <w:i w:val="1"/>
          <w:iCs w:val="1"/>
          <w:color w:val="auto"/>
        </w:rPr>
        <w:t>We rely on third parties to manufacture preclinical and clinical drug supplies, and we intend to rely on third parties to produce commercial supplies of any approved product which increases the risk that we will not have sufficient quantities of such product candidates or products or such quantities at an acceptable cost, which could delay, prevent or impair our development or commercialization efforts.</w:t>
      </w:r>
    </w:p>
    <w:p>
      <w:pPr>
        <w:spacing w:after="0" w:line="9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We do not own or operate manufacturing facilities for the production of preclinical,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preclinical, clinical or commercial scale. We rely on third parties for supply of our preclinical and clinical drug supplies (including key starting and intermediate materials), and our strategy is to outsource all manufacturing of our product candidates and products to third parties, including Sanofi.</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order to conduct clinical trials of product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00" w:lineRule="exact"/>
        <w:rPr>
          <w:sz w:val="20"/>
          <w:szCs w:val="20"/>
          <w:color w:val="auto"/>
        </w:rPr>
      </w:pPr>
    </w:p>
    <w:p>
      <w:pPr>
        <w:jc w:val="both"/>
        <w:ind w:left="200" w:right="20"/>
        <w:spacing w:after="0" w:line="281" w:lineRule="auto"/>
        <w:rPr>
          <w:sz w:val="20"/>
          <w:szCs w:val="20"/>
          <w:color w:val="auto"/>
        </w:rPr>
      </w:pPr>
      <w:r>
        <w:rPr>
          <w:rFonts w:ascii="Arial" w:cs="Arial" w:eastAsia="Arial" w:hAnsi="Arial"/>
          <w:sz w:val="16"/>
          <w:szCs w:val="16"/>
          <w:color w:val="auto"/>
        </w:rPr>
        <w:t>Our use of new third-party manufacturers increases the risk of delays in production or insufficient supplies of our product candidates (and the key starting and intermediate materials for such product candidates) as we transfer our manufacturing technology to these manufacturers and as they gain experience manufacturing our product candidates (and the key starting and intermediate materials for such product candidates).</w:t>
      </w:r>
    </w:p>
    <w:p>
      <w:pPr>
        <w:spacing w:after="0" w:line="70"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Even after a third-party manufacturer has gained significant experience in manufacturing our product candidates (or the key starting and intermediate materials for such product candidates) or even if we believe we have succeeded in optimizing the manufacturing process, there can be no assurance that such manufacturer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will produce sufficient quantities of our product candidates (or the key starting and intermediate materials for such product candidates) in a timely manner or continuously over time, or at all.</w:t>
      </w:r>
    </w:p>
    <w:p>
      <w:pPr>
        <w:spacing w:after="0" w:line="101" w:lineRule="exact"/>
        <w:rPr>
          <w:sz w:val="20"/>
          <w:szCs w:val="20"/>
          <w:color w:val="auto"/>
        </w:rPr>
      </w:pPr>
    </w:p>
    <w:p>
      <w:pPr>
        <w:jc w:val="both"/>
        <w:ind w:left="200" w:right="120"/>
        <w:spacing w:after="0" w:line="238" w:lineRule="auto"/>
        <w:rPr>
          <w:sz w:val="20"/>
          <w:szCs w:val="20"/>
          <w:color w:val="auto"/>
        </w:rPr>
      </w:pPr>
      <w:r>
        <w:rPr>
          <w:rFonts w:ascii="Arial" w:cs="Arial" w:eastAsia="Arial" w:hAnsi="Arial"/>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00" w:lineRule="exact"/>
        <w:rPr>
          <w:sz w:val="20"/>
          <w:szCs w:val="20"/>
          <w:color w:val="auto"/>
        </w:rPr>
      </w:pPr>
    </w:p>
    <w:p>
      <w:pPr>
        <w:jc w:val="both"/>
        <w:ind w:left="200" w:right="80"/>
        <w:spacing w:after="0" w:line="237"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spacing w:after="0" w:line="114" w:lineRule="exact"/>
        <w:rPr>
          <w:sz w:val="20"/>
          <w:szCs w:val="20"/>
          <w:color w:val="auto"/>
        </w:rPr>
      </w:pPr>
    </w:p>
    <w:p>
      <w:pPr>
        <w:ind w:left="420" w:hanging="2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0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03"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Our future product candidates and any products that we may develop may compete with other product candidates and products for access to manufacturing facilities. There are a limited number of manufacturers that operate under cGMP requirements particularly for the development of monoclonal antibodies, and that might be capable of manufacturing for us.</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103" w:lineRule="exact"/>
        <w:rPr>
          <w:sz w:val="20"/>
          <w:szCs w:val="20"/>
          <w:color w:val="auto"/>
        </w:rPr>
      </w:pPr>
    </w:p>
    <w:p>
      <w:pPr>
        <w:ind w:left="200" w:right="820"/>
        <w:spacing w:after="0" w:line="23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the key starting and intermediate materials for such product candidates) may adversely affect our future profit margins and our ability to develop product candidates and commercialize any products that receive marketing approval on a timely and competitive basis.</w:t>
      </w:r>
    </w:p>
    <w:p>
      <w:pPr>
        <w:spacing w:after="0" w:line="80" w:lineRule="exact"/>
        <w:rPr>
          <w:sz w:val="20"/>
          <w:szCs w:val="20"/>
          <w:color w:val="auto"/>
        </w:rPr>
      </w:pPr>
    </w:p>
    <w:p>
      <w:pPr>
        <w:ind w:left="200" w:right="440"/>
        <w:spacing w:after="0" w:line="244" w:lineRule="auto"/>
        <w:rPr>
          <w:sz w:val="20"/>
          <w:szCs w:val="20"/>
          <w:color w:val="auto"/>
        </w:rPr>
      </w:pPr>
      <w:r>
        <w:rPr>
          <w:rFonts w:ascii="Arial" w:cs="Arial" w:eastAsia="Arial" w:hAnsi="Arial"/>
          <w:sz w:val="18"/>
          <w:szCs w:val="18"/>
          <w:b w:val="1"/>
          <w:bCs w:val="1"/>
          <w:i w:val="1"/>
          <w:iCs w:val="1"/>
          <w:color w:val="auto"/>
        </w:rPr>
        <w:t>Our future relationships with customers and third-party payors in the United States and elsewhere may be subject, directly or indirectly, to applicable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97"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marketing</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approval. Our future arrangements with third-party payors and customers may expose us to broadly applicable fraud and abuse and other healthcare laws and regulations, including, without limitation, the federal Anti-Kickback Statute and the federal False Claims Act, or FCA, which may constrain the business or financial arrangements and relationships through which we sell, market and distribute any products for which we obtain marketing approval. In addition, we may be subject to transparency laws and patient privacy regulation by the U.S. federal and state governments and by governments in foreign jurisdictions in which we conduct our business. The applicable federal, state and foreign healthcare laws and regulations that may affect our ability to operate include:</w:t>
      </w:r>
    </w:p>
    <w:p>
      <w:pPr>
        <w:spacing w:after="0" w:line="116" w:lineRule="exact"/>
        <w:rPr>
          <w:sz w:val="20"/>
          <w:szCs w:val="20"/>
          <w:color w:val="auto"/>
        </w:rPr>
      </w:pPr>
    </w:p>
    <w:p>
      <w:pPr>
        <w:ind w:left="420" w:right="20" w:hanging="216"/>
        <w:spacing w:after="0" w:line="235"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20" w:lineRule="exact"/>
        <w:rPr>
          <w:rFonts w:ascii="Arial" w:cs="Arial" w:eastAsia="Arial" w:hAnsi="Arial"/>
          <w:sz w:val="18"/>
          <w:szCs w:val="18"/>
          <w:color w:val="auto"/>
        </w:rPr>
      </w:pPr>
    </w:p>
    <w:p>
      <w:pPr>
        <w:ind w:left="420" w:right="100" w:hanging="216"/>
        <w:spacing w:after="0" w:line="237"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w:t>
      </w:r>
    </w:p>
    <w:p>
      <w:pPr>
        <w:spacing w:after="0" w:line="114" w:lineRule="exact"/>
        <w:rPr>
          <w:rFonts w:ascii="Arial" w:cs="Arial" w:eastAsia="Arial" w:hAnsi="Arial"/>
          <w:sz w:val="18"/>
          <w:szCs w:val="18"/>
          <w:color w:val="auto"/>
        </w:rPr>
      </w:pPr>
    </w:p>
    <w:p>
      <w:pPr>
        <w:ind w:left="420" w:hanging="216"/>
        <w:spacing w:after="0" w:line="236"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114" w:lineRule="exact"/>
        <w:rPr>
          <w:rFonts w:ascii="Arial" w:cs="Arial" w:eastAsia="Arial" w:hAnsi="Arial"/>
          <w:sz w:val="18"/>
          <w:szCs w:val="18"/>
          <w:color w:val="auto"/>
        </w:rPr>
      </w:pPr>
    </w:p>
    <w:p>
      <w:pPr>
        <w:ind w:left="420" w:right="100" w:hanging="216"/>
        <w:spacing w:after="0" w:line="236"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specified requirements relating to the privacy, security and transmission of individually identifiable health information held by covered entities and their business associates.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15" w:lineRule="exact"/>
        <w:rPr>
          <w:rFonts w:ascii="Arial" w:cs="Arial" w:eastAsia="Arial" w:hAnsi="Arial"/>
          <w:sz w:val="18"/>
          <w:szCs w:val="18"/>
          <w:color w:val="auto"/>
        </w:rPr>
      </w:pPr>
    </w:p>
    <w:p>
      <w:pPr>
        <w:ind w:left="420" w:right="220" w:hanging="216"/>
        <w:spacing w:after="0" w:line="238"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200"/>
        <w:spacing w:after="0" w:line="238" w:lineRule="auto"/>
        <w:rPr>
          <w:sz w:val="20"/>
          <w:szCs w:val="20"/>
          <w:color w:val="auto"/>
        </w:rPr>
      </w:pPr>
      <w:r>
        <w:rPr>
          <w:rFonts w:ascii="Arial" w:cs="Arial" w:eastAsia="Arial" w:hAnsi="Arial"/>
          <w:sz w:val="18"/>
          <w:szCs w:val="18"/>
          <w:color w:val="auto"/>
        </w:rPr>
        <w:t>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114" w:lineRule="exact"/>
        <w:rPr>
          <w:sz w:val="20"/>
          <w:szCs w:val="20"/>
          <w:color w:val="auto"/>
        </w:rPr>
      </w:pPr>
    </w:p>
    <w:p>
      <w:pPr>
        <w:ind w:left="420" w:right="180" w:hanging="216"/>
        <w:spacing w:after="0" w:line="239" w:lineRule="auto"/>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14" w:lineRule="exact"/>
        <w:rPr>
          <w:rFonts w:ascii="Arial" w:cs="Arial" w:eastAsia="Arial" w:hAnsi="Arial"/>
          <w:sz w:val="18"/>
          <w:szCs w:val="18"/>
          <w:color w:val="auto"/>
        </w:rPr>
      </w:pPr>
    </w:p>
    <w:p>
      <w:pPr>
        <w:ind w:left="420" w:right="40" w:hanging="216"/>
        <w:spacing w:after="0" w:line="235" w:lineRule="auto"/>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and data protection laws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Economic Area, or the EEA, and the United Kingdom (including health data).</w:t>
      </w:r>
    </w:p>
    <w:p>
      <w:pPr>
        <w:spacing w:after="0" w:line="107"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77" w:lineRule="exact"/>
        <w:rPr>
          <w:sz w:val="20"/>
          <w:szCs w:val="20"/>
          <w:color w:val="auto"/>
        </w:rPr>
      </w:pPr>
    </w:p>
    <w:p>
      <w:pPr>
        <w:ind w:left="200" w:right="20"/>
        <w:spacing w:after="0" w:line="269"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product candidate we develop outside the United States will also likely subject us to foreign equivalents of the healthcare laws mentioned above, among other foreign laws.</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intellectual property</w:t>
      </w:r>
    </w:p>
    <w:p>
      <w:pPr>
        <w:spacing w:after="0" w:line="114"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97" w:lineRule="exact"/>
        <w:rPr>
          <w:sz w:val="20"/>
          <w:szCs w:val="20"/>
          <w:color w:val="auto"/>
        </w:rPr>
      </w:pPr>
    </w:p>
    <w:p>
      <w:pPr>
        <w:ind w:left="200" w:right="60"/>
        <w:spacing w:after="0" w:line="268" w:lineRule="auto"/>
        <w:rPr>
          <w:sz w:val="20"/>
          <w:szCs w:val="20"/>
          <w:color w:val="auto"/>
        </w:rPr>
      </w:pPr>
      <w:r>
        <w:rPr>
          <w:rFonts w:ascii="Arial" w:cs="Arial" w:eastAsia="Arial" w:hAnsi="Arial"/>
          <w:sz w:val="16"/>
          <w:szCs w:val="16"/>
          <w:color w:val="auto"/>
        </w:rPr>
        <w:t>Our success depends in significant part on our ability and the ability of our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If we and our collaborators are unable to obtain and maintain sufficient intellectual property protection for RMC-4630 or other product candidates that we may identify, or if the scope of the intellectual property protection obtained is not sufficiently broad, our competitors and other third parties could develop and commercialize product candidates similar or identical to ours, and our ability (and the ability of our collaborators) to successfully commercialize RMC-4630 and other product candidates that we (and our collaborators) may pursue may be impaired. We do not have any issued patents with respect to our SHP2 program, including RMC-4630, and we can provide no assurance that any of our current or future patent applications will result in issued patents or that any issued patents will provide us with any competitive advantage. Failure to obtain such issued patents could have a material adverse effect on our and Sanofi’s ability to develop and commercialize SHP2 inhibitor products, including RMC-4630, and on our ability to receive milestone, royalty or other payments from Sanofi pursuant to the Sanofi Agreement.</w:t>
      </w:r>
    </w:p>
    <w:p>
      <w:pPr>
        <w:spacing w:after="0" w:line="282"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seek to protect our proprietary positions by, among other things, filing patent applications in the United States and abroad related to RMC-4630 or other product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prosecution and maintenance of patent applications, or to maintain the rights to patents licensed to or from third parties.</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Further, 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00"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before the patent is issued, and its scope can be reinterpreted after issuance. Therefore, our pending and future patent applications may not result in patents being issued in relevant jurisdictions that protect our product candidates, in whole or in part, or which effectively prevent others from</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commercializing competitive product candidates, and even if our patent applications issue as patents in relevant jurisdictions, they may not issue in a form that will provide us with any meaningful protection for our product candidates or technology, prevent competitors from competing with us or otherwise provide us with any competitive advantage. Additionally, our competitors may be able to circumvent our patents by developing similar or alternative product candidates or technologies in a non-infringing manner.</w:t>
      </w:r>
    </w:p>
    <w:p>
      <w:pPr>
        <w:spacing w:after="0" w:line="101" w:lineRule="exact"/>
        <w:rPr>
          <w:sz w:val="20"/>
          <w:szCs w:val="20"/>
          <w:color w:val="auto"/>
        </w:rPr>
      </w:pPr>
    </w:p>
    <w:p>
      <w:pPr>
        <w:ind w:left="200" w:right="20"/>
        <w:spacing w:after="0" w:line="267"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or the USPTO, or become involved in opposition, derivation, revocation,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freedom to operate, patent claims being narrowed, invalidated or held unenforceable, in whole or in part, limit the scope or duration of the patent protection of our product candidates, all of which could limit our ability to stop others from using or commercializing similar or identical product candidates or technology to compete directly with us, without payment to us, or result in our inability to manufacture or commercialize products without infringing third-party patent rights.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81" w:lineRule="exact"/>
        <w:rPr>
          <w:sz w:val="20"/>
          <w:szCs w:val="20"/>
          <w:color w:val="auto"/>
        </w:rPr>
      </w:pPr>
    </w:p>
    <w:p>
      <w:pPr>
        <w:ind w:left="200" w:right="160"/>
        <w:spacing w:after="0" w:line="235"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owned or licensed patents and patent applications are, and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87" w:lineRule="exact"/>
        <w:rPr>
          <w:sz w:val="20"/>
          <w:szCs w:val="20"/>
          <w:color w:val="auto"/>
        </w:rPr>
      </w:pPr>
    </w:p>
    <w:p>
      <w:pPr>
        <w:ind w:left="200" w:right="180"/>
        <w:spacing w:after="0" w:line="244" w:lineRule="auto"/>
        <w:rPr>
          <w:sz w:val="20"/>
          <w:szCs w:val="20"/>
          <w:color w:val="auto"/>
        </w:rPr>
      </w:pPr>
      <w:r>
        <w:rPr>
          <w:rFonts w:ascii="Arial" w:cs="Arial" w:eastAsia="Arial" w:hAnsi="Arial"/>
          <w:sz w:val="18"/>
          <w:szCs w:val="18"/>
          <w:b w:val="1"/>
          <w:bCs w:val="1"/>
          <w:i w:val="1"/>
          <w:iCs w:val="1"/>
          <w:color w:val="auto"/>
        </w:rPr>
        <w:t>We have entered into licensing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9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to patent and other intellectual property rights we own or co-own, we have licensed, and may in the future license, patent and other intellectual property rights to and from other parties. Licenses may not provide us with exclusive rights to use the applicable intellectual property and technology in all relevant fields of use and in all territories in which we may wish to develop or commercialize our products and technology in the future. As a result, we may not be able to prevent competitors from developing and commercializing competitive products or technologies.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in June 2018, we entered into the Sanofi Agreement, wherein we exclusively licensed the worldwide rights in our SHP2 inhibitor program, including RMC-4630, to Sanofi. Although we have review and comment rights regarding patent prosecution decisions, Sanofi retains ultimate decision-making control, as well as the sole and exclusive right to enforce infringement of or defend claims against patents that relate to SHP2 inhibitor products licensed to it pursuant to the Sanofi Agreement.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product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07"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If we fail to comply with our obligations in the agreements under which we license intellectual property rights from third parties, the licensor may have the right to terminate the license. If these agreements are terminated, the underlying patents fail to provide the intended exclusivity or we otherwise experience disruptions to our business relationships with our licensors, we could lose intellectual property rights that are important to our business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28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addition, the research resulting in certain of our owned and in-licensed patent rights and technology was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07"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114" w:lineRule="exact"/>
        <w:rPr>
          <w:sz w:val="20"/>
          <w:szCs w:val="20"/>
          <w:color w:val="auto"/>
        </w:rPr>
      </w:pPr>
    </w:p>
    <w:p>
      <w:pPr>
        <w:ind w:left="5620" w:right="3340" w:hanging="5416"/>
        <w:spacing w:after="0" w:line="411" w:lineRule="auto"/>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48</w:t>
      </w:r>
    </w:p>
    <w:p>
      <w:pPr>
        <w:sectPr>
          <w:pgSz w:w="11900" w:h="16838" w:orient="portrait"/>
          <w:cols w:equalWidth="0" w:num="1">
            <w:col w:w="11160"/>
          </w:cols>
          <w:pgMar w:left="24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480" w:hanging="216"/>
        <w:spacing w:after="0" w:line="239" w:lineRule="auto"/>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on intellectual property of the other party that are not subject to the licensing agreement;</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product candidates, and what activities satisfy those diligence obligations;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10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03"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“Business—Collaboration agreement with Sanofi.” Any of the foregoing could harm our competitive position, business, financial condition, results of operations and prospects.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80"/>
        <w:spacing w:after="0" w:line="325"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product candidates.</w:t>
      </w:r>
    </w:p>
    <w:p>
      <w:pPr>
        <w:spacing w:after="0" w:line="35"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w:t>
      </w:r>
    </w:p>
    <w:p>
      <w:pPr>
        <w:spacing w:after="0" w:line="10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2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w:t>
      </w:r>
    </w:p>
    <w:p>
      <w:pPr>
        <w:spacing w:after="0" w:line="100" w:lineRule="exact"/>
        <w:rPr>
          <w:sz w:val="20"/>
          <w:szCs w:val="20"/>
          <w:color w:val="auto"/>
        </w:rPr>
      </w:pPr>
    </w:p>
    <w:p>
      <w:pPr>
        <w:jc w:val="both"/>
        <w:ind w:left="200" w:right="160"/>
        <w:spacing w:after="0" w:line="238" w:lineRule="auto"/>
        <w:rPr>
          <w:sz w:val="20"/>
          <w:szCs w:val="20"/>
          <w:color w:val="auto"/>
        </w:rPr>
      </w:pPr>
      <w:r>
        <w:rPr>
          <w:rFonts w:ascii="Arial" w:cs="Arial" w:eastAsia="Arial" w:hAnsi="Arial"/>
          <w:sz w:val="18"/>
          <w:szCs w:val="18"/>
          <w:color w:val="auto"/>
        </w:rPr>
        <w:t>Depending upon the timing, duration and conditions of any FDA marketing approval of our product candidates, one or more of our owned or licensed U.S. patents may be eligible for limited patent term extension under the Drug Price Competition and Patent Term Restoration Act of 1984, referred to as the Hatch-Waxman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harm our competitive position, business, financial condition, results of operations and prospects.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07"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issuing and could provoke third parties to assert claims against us. We may not prevail in any lawsuits that we initiate, and the damages or other remedies awarded, if any, may not be commercially meaningful.</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Many foreign countries, including some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81" w:lineRule="exact"/>
        <w:rPr>
          <w:sz w:val="20"/>
          <w:szCs w:val="20"/>
          <w:color w:val="auto"/>
        </w:rPr>
      </w:pPr>
    </w:p>
    <w:p>
      <w:pPr>
        <w:ind w:left="200" w:right="940"/>
        <w:spacing w:after="0" w:line="262"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8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spacing w:after="0" w:line="101" w:lineRule="exact"/>
        <w:rPr>
          <w:sz w:val="20"/>
          <w:szCs w:val="20"/>
          <w:color w:val="auto"/>
        </w:rPr>
      </w:pPr>
    </w:p>
    <w:p>
      <w:pPr>
        <w:ind w:left="200" w:right="100"/>
        <w:spacing w:after="0" w:line="266" w:lineRule="auto"/>
        <w:rPr>
          <w:sz w:val="20"/>
          <w:szCs w:val="20"/>
          <w:color w:val="auto"/>
        </w:rPr>
      </w:pPr>
      <w:r>
        <w:rPr>
          <w:rFonts w:ascii="Arial" w:cs="Arial" w:eastAsia="Arial" w:hAnsi="Arial"/>
          <w:sz w:val="16"/>
          <w:szCs w:val="16"/>
          <w:color w:val="auto"/>
        </w:rPr>
        <w:t xml:space="preserve">Recent patent reform legislation could increase the uncertainties and costs surrounding the prosecution of our and our licensors’ or collaborators’ patent applications and the enforcement or defense of our or our licensors’ or collaborators’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60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9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Periodic maintenance fees, renewal fees, annuity fees, and various other fees are required to be paid to the USPTO and foreign patent agencies in several stages over the lifetime of a patent. In certain circumstances, we rely on our licensors and collaborators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market with similar or identical products or technology, which would harm our business, financial condition, results of operations and prospects.</w:t>
      </w:r>
    </w:p>
    <w:p>
      <w:pPr>
        <w:spacing w:after="0" w:line="87" w:lineRule="exact"/>
        <w:rPr>
          <w:sz w:val="20"/>
          <w:szCs w:val="20"/>
          <w:color w:val="auto"/>
        </w:rPr>
      </w:pPr>
    </w:p>
    <w:p>
      <w:pPr>
        <w:ind w:left="200" w:right="180"/>
        <w:spacing w:after="0" w:line="24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spacing w:after="0" w:line="94" w:lineRule="exact"/>
        <w:rPr>
          <w:sz w:val="20"/>
          <w:szCs w:val="20"/>
          <w:color w:val="auto"/>
        </w:rPr>
      </w:pPr>
    </w:p>
    <w:p>
      <w:pPr>
        <w:ind w:left="200" w:right="20"/>
        <w:spacing w:after="0" w:line="267" w:lineRule="auto"/>
        <w:rPr>
          <w:sz w:val="20"/>
          <w:szCs w:val="20"/>
          <w:color w:val="auto"/>
        </w:rPr>
      </w:pPr>
      <w:r>
        <w:rPr>
          <w:rFonts w:ascii="Arial" w:cs="Arial" w:eastAsia="Arial" w:hAnsi="Arial"/>
          <w:sz w:val="16"/>
          <w:szCs w:val="16"/>
          <w:color w:val="auto"/>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285"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materially harm our business, financial condition, results of operations and prospects.</w:t>
      </w:r>
    </w:p>
    <w:p>
      <w:pPr>
        <w:spacing w:after="0" w:line="100" w:lineRule="exact"/>
        <w:rPr>
          <w:sz w:val="20"/>
          <w:szCs w:val="20"/>
          <w:color w:val="auto"/>
        </w:rPr>
      </w:pPr>
    </w:p>
    <w:p>
      <w:pPr>
        <w:jc w:val="both"/>
        <w:ind w:left="200" w:right="60"/>
        <w:spacing w:after="0" w:line="237"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01"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01"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87" w:lineRule="exact"/>
        <w:rPr>
          <w:sz w:val="20"/>
          <w:szCs w:val="20"/>
          <w:color w:val="auto"/>
        </w:rPr>
      </w:pPr>
    </w:p>
    <w:p>
      <w:pPr>
        <w:ind w:left="200" w:right="60"/>
        <w:spacing w:after="0" w:line="262"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product candidates and their manufacture and our other technology, including re-examination, interference, post-grant review, inter partes review or derivation proceedings before the USPTO or an equivalent foreign body.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 regardless of their merit.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86" w:lineRule="exact"/>
        <w:rPr>
          <w:sz w:val="20"/>
          <w:szCs w:val="20"/>
          <w:color w:val="auto"/>
        </w:rPr>
      </w:pPr>
    </w:p>
    <w:p>
      <w:pPr>
        <w:ind w:left="200" w:right="20"/>
        <w:spacing w:after="0" w:line="262"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upon, misappropriated or otherwise violated their intellectual property rights, or claiming ownership of what we regard as our own intellectual property.</w:t>
      </w:r>
    </w:p>
    <w:p>
      <w:pPr>
        <w:spacing w:after="0" w:line="8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product candidates, are rightfully owned by their former or concurrent employer. Litigation may be necessary to defend against these claims.</w:t>
      </w:r>
    </w:p>
    <w:p>
      <w:pPr>
        <w:spacing w:after="0" w:line="102"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24" w:lineRule="exact"/>
        <w:rPr>
          <w:sz w:val="20"/>
          <w:szCs w:val="20"/>
          <w:color w:val="auto"/>
        </w:rPr>
      </w:pPr>
    </w:p>
    <w:p>
      <w:pPr>
        <w:ind w:left="200" w:right="440"/>
        <w:spacing w:after="0" w:line="275"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While it is our policy to require our employees and contractors who may be involved in the development of intellectual</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80" w:lineRule="exact"/>
        <w:rPr>
          <w:sz w:val="20"/>
          <w:szCs w:val="20"/>
          <w:color w:val="auto"/>
        </w:rPr>
      </w:pPr>
    </w:p>
    <w:p>
      <w:pPr>
        <w:ind w:left="200" w:right="800"/>
        <w:spacing w:after="0" w:line="262"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81"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rely on trade secrets and confidentiality agreements to protect our unpatented know-how, technology and other proprietary information (including unpatented know-how associated with Warp Drive)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products that we consider proprietary. Monitoring unauthorized uses and disclosures is difficult, and we do not know whether the steps we have taken to protect our proprietary information will be effective.</w:t>
      </w:r>
    </w:p>
    <w:p>
      <w:pPr>
        <w:spacing w:after="0" w:line="107"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83" w:lineRule="exact"/>
        <w:rPr>
          <w:sz w:val="20"/>
          <w:szCs w:val="20"/>
          <w:color w:val="auto"/>
        </w:rPr>
      </w:pPr>
    </w:p>
    <w:p>
      <w:pPr>
        <w:ind w:left="200" w:right="100"/>
        <w:spacing w:after="0" w:line="262"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8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4"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4" w:lineRule="exact"/>
        <w:rPr>
          <w:sz w:val="20"/>
          <w:szCs w:val="20"/>
          <w:color w:val="auto"/>
        </w:rPr>
      </w:pPr>
    </w:p>
    <w:p>
      <w:pPr>
        <w:ind w:left="420" w:right="240" w:hanging="216"/>
        <w:spacing w:after="0" w:line="239"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14" w:lineRule="exact"/>
        <w:rPr>
          <w:rFonts w:ascii="Arial" w:cs="Arial" w:eastAsia="Arial" w:hAnsi="Arial"/>
          <w:sz w:val="18"/>
          <w:szCs w:val="18"/>
          <w:color w:val="auto"/>
        </w:rPr>
      </w:pPr>
    </w:p>
    <w:p>
      <w:pPr>
        <w:ind w:left="420" w:right="200" w:hanging="216"/>
        <w:spacing w:after="0" w:line="239"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make the inventions covered by the issued patent or pending patent application that we license or may own in the future;</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file patent applications covering certain of our or their inventions;</w:t>
      </w:r>
    </w:p>
    <w:p>
      <w:pPr>
        <w:spacing w:after="0" w:line="117" w:lineRule="exact"/>
        <w:rPr>
          <w:rFonts w:ascii="Arial" w:cs="Arial" w:eastAsia="Arial" w:hAnsi="Arial"/>
          <w:sz w:val="18"/>
          <w:szCs w:val="18"/>
          <w:color w:val="auto"/>
        </w:rPr>
      </w:pPr>
    </w:p>
    <w:p>
      <w:pPr>
        <w:ind w:left="420" w:right="220" w:hanging="216"/>
        <w:spacing w:after="0" w:line="239"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14"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520" w:hanging="216"/>
        <w:spacing w:after="0" w:line="239" w:lineRule="auto"/>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420" w:right="120" w:hanging="216"/>
        <w:spacing w:after="0" w:line="239" w:lineRule="auto"/>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employee matters, managing our growth and other risks related to our business</w:t>
      </w:r>
    </w:p>
    <w:p>
      <w:pPr>
        <w:spacing w:after="0" w:line="114" w:lineRule="exact"/>
        <w:rPr>
          <w:sz w:val="20"/>
          <w:szCs w:val="20"/>
          <w:color w:val="auto"/>
        </w:rPr>
      </w:pPr>
    </w:p>
    <w:p>
      <w:pPr>
        <w:ind w:left="200" w:right="160"/>
        <w:spacing w:after="0" w:line="262"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81"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The loss of the services of one or more of our key personnel might impede the achievement of our research, development and commercialization objectives.</w:t>
      </w:r>
    </w:p>
    <w:p>
      <w:pPr>
        <w:spacing w:after="0" w:line="101"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81" w:lineRule="exact"/>
        <w:rPr>
          <w:sz w:val="20"/>
          <w:szCs w:val="20"/>
          <w:color w:val="auto"/>
        </w:rPr>
      </w:pPr>
    </w:p>
    <w:p>
      <w:pPr>
        <w:ind w:left="200"/>
        <w:spacing w:after="0" w:line="262"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8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73" w:lineRule="auto"/>
        <w:rPr>
          <w:sz w:val="20"/>
          <w:szCs w:val="20"/>
          <w:color w:val="auto"/>
        </w:rPr>
      </w:pPr>
      <w:r>
        <w:rPr>
          <w:rFonts w:ascii="Arial" w:cs="Arial" w:eastAsia="Arial" w:hAnsi="Arial"/>
          <w:sz w:val="16"/>
          <w:szCs w:val="16"/>
          <w:color w:val="auto"/>
        </w:rPr>
        <w:t>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2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As of September 30, 2019, we had 90 full-time employees, including 74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14" w:lineRule="exact"/>
        <w:rPr>
          <w:sz w:val="20"/>
          <w:szCs w:val="20"/>
          <w:color w:val="auto"/>
        </w:rPr>
      </w:pPr>
    </w:p>
    <w:p>
      <w:pPr>
        <w:ind w:left="420" w:hanging="216"/>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420" w:right="180" w:hanging="216"/>
        <w:spacing w:after="0" w:line="239"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RMC-4630 and any other product candidate we develop, while complying with our contractual obligations to contractors and other third parties;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Our future financial performance and our ability to advance development of and, if approved, commercialize RMC-4630 and any other product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substantially all aspects of marketing approval,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00"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RMC-4630 and any future product candidates we develop and, accordingly, may not achieve our research, development and commercialization goals.</w:t>
      </w:r>
    </w:p>
    <w:p>
      <w:pPr>
        <w:spacing w:after="0" w:line="80"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b w:val="1"/>
          <w:bCs w:val="1"/>
          <w:i w:val="1"/>
          <w:iCs w:val="1"/>
          <w:color w:val="auto"/>
        </w:rPr>
        <w:t>We have in the past engaged and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94" w:lineRule="exact"/>
        <w:rPr>
          <w:sz w:val="20"/>
          <w:szCs w:val="20"/>
          <w:color w:val="auto"/>
        </w:rPr>
      </w:pPr>
    </w:p>
    <w:p>
      <w:pPr>
        <w:ind w:left="200" w:right="800"/>
        <w:spacing w:after="0" w:line="239"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For example, in October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80"/>
        <w:spacing w:after="0" w:line="239" w:lineRule="auto"/>
        <w:rPr>
          <w:sz w:val="20"/>
          <w:szCs w:val="20"/>
          <w:color w:val="auto"/>
        </w:rPr>
      </w:pPr>
      <w:r>
        <w:rPr>
          <w:rFonts w:ascii="Arial" w:cs="Arial" w:eastAsia="Arial" w:hAnsi="Arial"/>
          <w:sz w:val="18"/>
          <w:szCs w:val="18"/>
          <w:color w:val="auto"/>
        </w:rPr>
        <w:t>2018, we acquired all of the outstanding shares of Warp Drive Bio, which became our direct wholly-owned subsidiary. See “Business— Acquisition of Warp Drive.”</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Additional potential transactions that we may consider in the future include a variety of business arrangements, including spin-offs, strategic partnerships, joint ventures, restructurings, divestitures, business combinations and investments.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80" w:lineRule="exact"/>
        <w:rPr>
          <w:sz w:val="20"/>
          <w:szCs w:val="20"/>
          <w:color w:val="auto"/>
        </w:rPr>
      </w:pPr>
    </w:p>
    <w:p>
      <w:pPr>
        <w:ind w:left="200" w:right="320"/>
        <w:spacing w:after="0" w:line="262"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81"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01"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81" w:lineRule="exact"/>
        <w:rPr>
          <w:sz w:val="20"/>
          <w:szCs w:val="20"/>
          <w:color w:val="auto"/>
        </w:rPr>
      </w:pPr>
    </w:p>
    <w:p>
      <w:pPr>
        <w:ind w:left="200" w:right="740"/>
        <w:spacing w:after="0" w:line="262"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8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100"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81" w:lineRule="exact"/>
        <w:rPr>
          <w:sz w:val="20"/>
          <w:szCs w:val="20"/>
          <w:color w:val="auto"/>
        </w:rPr>
      </w:pPr>
    </w:p>
    <w:p>
      <w:pPr>
        <w:ind w:left="200" w:right="840"/>
        <w:spacing w:after="0" w:line="262"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81" w:lineRule="exact"/>
        <w:rPr>
          <w:sz w:val="20"/>
          <w:szCs w:val="20"/>
          <w:color w:val="auto"/>
        </w:rPr>
      </w:pPr>
    </w:p>
    <w:p>
      <w:pPr>
        <w:ind w:left="200" w:right="20"/>
        <w:spacing w:after="0" w:line="268"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and consultants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future product candidates could be delayed.</w:t>
      </w:r>
    </w:p>
    <w:p>
      <w:pPr>
        <w:spacing w:after="0" w:line="62" w:lineRule="exact"/>
        <w:rPr>
          <w:sz w:val="20"/>
          <w:szCs w:val="20"/>
          <w:color w:val="auto"/>
        </w:rPr>
      </w:pPr>
    </w:p>
    <w:p>
      <w:pPr>
        <w:ind w:left="200" w:right="340"/>
        <w:spacing w:after="0" w:line="325" w:lineRule="auto"/>
        <w:rPr>
          <w:sz w:val="20"/>
          <w:szCs w:val="20"/>
          <w:color w:val="auto"/>
        </w:rPr>
      </w:pPr>
      <w:r>
        <w:rPr>
          <w:rFonts w:ascii="Arial" w:cs="Arial" w:eastAsia="Arial" w:hAnsi="Arial"/>
          <w:sz w:val="16"/>
          <w:szCs w:val="16"/>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w:t>
      </w:r>
    </w:p>
    <w:p>
      <w:pPr>
        <w:spacing w:after="0" w:line="35" w:lineRule="exact"/>
        <w:rPr>
          <w:sz w:val="20"/>
          <w:szCs w:val="20"/>
          <w:color w:val="auto"/>
        </w:rPr>
      </w:pPr>
    </w:p>
    <w:p>
      <w:pPr>
        <w:ind w:left="200"/>
        <w:spacing w:after="0" w:line="266" w:lineRule="auto"/>
        <w:rPr>
          <w:sz w:val="20"/>
          <w:szCs w:val="20"/>
          <w:color w:val="auto"/>
        </w:rPr>
      </w:pPr>
      <w:r>
        <w:rPr>
          <w:rFonts w:ascii="Arial" w:cs="Arial" w:eastAsia="Arial" w:hAnsi="Arial"/>
          <w:sz w:val="16"/>
          <w:szCs w:val="16"/>
          <w:color w:val="auto"/>
        </w:rPr>
        <w:t>We are exposed to the risk that our employees, independent contractors, vendors,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our common stock and this offering</w:t>
      </w:r>
    </w:p>
    <w:p>
      <w:pPr>
        <w:spacing w:after="0" w:line="114" w:lineRule="exact"/>
        <w:rPr>
          <w:sz w:val="20"/>
          <w:szCs w:val="20"/>
          <w:color w:val="auto"/>
        </w:rPr>
      </w:pPr>
    </w:p>
    <w:p>
      <w:pPr>
        <w:ind w:left="200" w:right="560"/>
        <w:spacing w:after="0" w:line="262"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8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initial public offering price of our common stock is substantially higher than the pro forma as adjusted net tangible book value per share of our common stock. Therefore, if you purchase our common stock in this offering, you will pay a price per share that substantially exceeds the pro forma as adjusted net tangible book value per share after the completion of this offering. Based on the initial public offering price of $17.00 per share, you will experience immediate dilution of $11.61 per share, representing the difference between our pro forma as adjusted net tangible book value per share and the initial public offering price. In addition, investors purchasing common stock in this offering will contribute 44% of the total amount invested by stockholders since inception, but will own only 25% of our common stock outstanding after this offering. In the past, we issued options and other securities to acquire common stock at prices significantly below the initial public offering price. To the extent these outstanding securities are ultimately exercised, investors purchasing common stock in this offering will incur further dilution. See “Dilution” for a more detailed description of the dilution to new investors in the offering.</w:t>
      </w:r>
    </w:p>
    <w:p>
      <w:pPr>
        <w:spacing w:after="0" w:line="87" w:lineRule="exact"/>
        <w:rPr>
          <w:sz w:val="20"/>
          <w:szCs w:val="20"/>
          <w:color w:val="auto"/>
        </w:rPr>
      </w:pPr>
    </w:p>
    <w:p>
      <w:pPr>
        <w:ind w:left="200" w:right="140"/>
        <w:spacing w:after="0" w:line="262"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8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14" w:lineRule="exact"/>
        <w:rPr>
          <w:sz w:val="20"/>
          <w:szCs w:val="20"/>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or those of our competitors;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 or companion diagnostics;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380"/>
        <w:spacing w:after="0" w:line="262"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at or above the initial public offering price.</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Prior to this offering, there has been no public market for shares of our common stock and an active trading market for our shares may never develop or be sustained following this offering. The initial public offering price of our common stock has been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83" w:lineRule="exact"/>
        <w:rPr>
          <w:sz w:val="20"/>
          <w:szCs w:val="20"/>
          <w:color w:val="auto"/>
        </w:rPr>
      </w:pPr>
    </w:p>
    <w:p>
      <w:pPr>
        <w:ind w:left="200" w:right="520"/>
        <w:spacing w:after="0" w:line="262"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81"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07" w:lineRule="exact"/>
        <w:rPr>
          <w:sz w:val="20"/>
          <w:szCs w:val="20"/>
          <w:color w:val="auto"/>
        </w:rPr>
      </w:pPr>
    </w:p>
    <w:p>
      <w:pPr>
        <w:ind w:left="200" w:right="320"/>
        <w:spacing w:after="0" w:line="236"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00" w:right="600"/>
        <w:spacing w:after="0" w:line="325" w:lineRule="auto"/>
        <w:rPr>
          <w:sz w:val="20"/>
          <w:szCs w:val="20"/>
          <w:color w:val="auto"/>
        </w:rPr>
      </w:pPr>
      <w:r>
        <w:rPr>
          <w:rFonts w:ascii="Arial" w:cs="Arial" w:eastAsia="Arial" w:hAnsi="Arial"/>
          <w:sz w:val="16"/>
          <w:szCs w:val="16"/>
          <w:b w:val="1"/>
          <w:bCs w:val="1"/>
          <w:i w:val="1"/>
          <w:iCs w:val="1"/>
          <w:color w:val="auto"/>
        </w:rPr>
        <w:t>Our executive officers, directors and their affiliates will continue to exercise significant influence over our company after this offering, which will limit your ability to influence corporate matters and could delay or prevent a change in corporate control.</w:t>
      </w:r>
    </w:p>
    <w:p>
      <w:pPr>
        <w:spacing w:after="0" w:line="35" w:lineRule="exact"/>
        <w:rPr>
          <w:sz w:val="20"/>
          <w:szCs w:val="20"/>
          <w:color w:val="auto"/>
        </w:rPr>
      </w:pPr>
    </w:p>
    <w:p>
      <w:pPr>
        <w:ind w:left="200" w:right="60"/>
        <w:spacing w:after="0" w:line="269" w:lineRule="auto"/>
        <w:rPr>
          <w:sz w:val="20"/>
          <w:szCs w:val="20"/>
          <w:color w:val="auto"/>
        </w:rPr>
      </w:pPr>
      <w:r>
        <w:rPr>
          <w:rFonts w:ascii="Arial" w:cs="Arial" w:eastAsia="Arial" w:hAnsi="Arial"/>
          <w:sz w:val="16"/>
          <w:szCs w:val="16"/>
          <w:color w:val="auto"/>
        </w:rPr>
        <w:t>Immediately following the completion of this offering, our executive officers, directors and their affiliates will beneficially own, in the aggregate, approximately 44.6% of our outstanding common stock, assuming the sale by us of 14,000,000 shares of common stock in this offering.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92" w:lineRule="exact"/>
        <w:rPr>
          <w:sz w:val="20"/>
          <w:szCs w:val="20"/>
          <w:color w:val="auto"/>
        </w:rPr>
      </w:pPr>
    </w:p>
    <w:p>
      <w:pPr>
        <w:ind w:left="420" w:hanging="216"/>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04" w:lineRule="exact"/>
        <w:rPr>
          <w:sz w:val="20"/>
          <w:szCs w:val="20"/>
          <w:color w:val="auto"/>
        </w:rPr>
      </w:pPr>
    </w:p>
    <w:p>
      <w:pPr>
        <w:ind w:left="200" w:right="700"/>
        <w:spacing w:after="0" w:line="239" w:lineRule="auto"/>
        <w:rPr>
          <w:sz w:val="20"/>
          <w:szCs w:val="20"/>
          <w:color w:val="auto"/>
        </w:rPr>
      </w:pPr>
      <w:r>
        <w:rPr>
          <w:rFonts w:ascii="Arial" w:cs="Arial" w:eastAsia="Arial" w:hAnsi="Arial"/>
          <w:sz w:val="18"/>
          <w:szCs w:val="18"/>
          <w:color w:val="auto"/>
        </w:rPr>
        <w:t>See “Principal stockholders” in this prospectus for more information regarding the ownership of our outstanding common stock by our executive officers, directors and their affiliates.</w:t>
      </w:r>
    </w:p>
    <w:p>
      <w:pPr>
        <w:spacing w:after="0" w:line="81" w:lineRule="exact"/>
        <w:rPr>
          <w:sz w:val="20"/>
          <w:szCs w:val="20"/>
          <w:color w:val="auto"/>
        </w:rPr>
      </w:pPr>
    </w:p>
    <w:p>
      <w:pPr>
        <w:ind w:left="200" w:right="44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81" w:lineRule="exact"/>
        <w:rPr>
          <w:sz w:val="20"/>
          <w:szCs w:val="20"/>
          <w:color w:val="auto"/>
        </w:rPr>
      </w:pPr>
    </w:p>
    <w:p>
      <w:pPr>
        <w:ind w:left="200" w:right="140"/>
        <w:spacing w:after="0" w:line="275" w:lineRule="auto"/>
        <w:rPr>
          <w:sz w:val="20"/>
          <w:szCs w:val="20"/>
          <w:color w:val="auto"/>
        </w:rPr>
      </w:pPr>
      <w:r>
        <w:rPr>
          <w:rFonts w:ascii="Arial" w:cs="Arial" w:eastAsia="Arial" w:hAnsi="Arial"/>
          <w:sz w:val="16"/>
          <w:szCs w:val="16"/>
          <w:color w:val="auto"/>
        </w:rPr>
        <w:t>We will have considerable discretion in the application of the net proceeds from this offering. As a result, investors will be relying upon management’s judgment with only limited information about our specific intentions for the use of the net proceeds from this offering. We may use the net proceeds from this offering for purposes that do not yield a significant return or any return at all for our stockholders. In addition, pending their use, we may invest the net proceeds from this offering in a manner that does not produce income or that loses value.</w:t>
      </w:r>
    </w:p>
    <w:p>
      <w:pPr>
        <w:spacing w:after="0" w:line="55" w:lineRule="exact"/>
        <w:rPr>
          <w:sz w:val="20"/>
          <w:szCs w:val="20"/>
          <w:color w:val="auto"/>
        </w:rPr>
      </w:pPr>
    </w:p>
    <w:p>
      <w:pPr>
        <w:ind w:left="200" w:right="320"/>
        <w:spacing w:after="0" w:line="262"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new compliance initiatives.</w:t>
      </w:r>
    </w:p>
    <w:p>
      <w:pPr>
        <w:spacing w:after="0" w:line="81"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We are subject to the reporting requirements of the Securities Exchange Act of 1934, as amended, or the Exchange Act, which requires, among other things, that we file with the U.S. Securities and Exchange Commission, or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w:t>
      </w: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440"/>
        <w:spacing w:after="0" w:line="238" w:lineRule="auto"/>
        <w:rPr>
          <w:sz w:val="20"/>
          <w:szCs w:val="20"/>
          <w:color w:val="auto"/>
        </w:rPr>
      </w:pPr>
      <w:r>
        <w:rPr>
          <w:rFonts w:ascii="Arial" w:cs="Arial" w:eastAsia="Arial" w:hAnsi="Arial"/>
          <w:sz w:val="18"/>
          <w:szCs w:val="18"/>
          <w:color w:val="auto"/>
        </w:rPr>
        <w:t>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4"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 basis, outstanding as of September 30, 2019, upon the completion of this offering, we will have outstanding a total of 56,902,309 shares of common stock, assuming no exercise of the underwriters’ option to purchase an additional 2,100,000 shares and no exercise of outstanding options. Of these shares, as of the date of this prospectus, approximately 14,000,000 shares of our common stock, or 24.6% of shares of our common stock, plus any shares sold upon exercise of the underwriters’ option to purchase additional shares, will be freely tradable, without restriction, in the public market immediately following this offering.</w:t>
      </w:r>
    </w:p>
    <w:p>
      <w:pPr>
        <w:spacing w:after="0" w:line="7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lock-up agreements with the underwriters pertaining to this offering or market stand-off provisions in agreements with us will expire 180 days from the date of this prospectus. J.P. Morgan Securities LLC may, in its sole discretion, permit our stockholders who are subject to these lock-up agreements to sell shares prior to the expiration of the lock-up agreements. After the lock-up agreements with the underwriters or market stand-off provisions in agreements with us expire, based upon the number of shares of common stock, on an as-converted basis, outstanding as of September 30, 2019, up to an additional 42,902,309 shares of common stock will be eligible for sale in the public market. Approximately 54.9% of these additional shares are held by directors, executive officers and other affiliates and will be subject to certain limitations of Rule 144 under the Securities Act of 1933, as amended, or the Securities Act.</w:t>
      </w:r>
    </w:p>
    <w:p>
      <w:pPr>
        <w:spacing w:after="0" w:line="10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Upon completion of this offering, 11,483,390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market stand-off provisions in agreements with us and Rule 144 and Rule 701 under the Securities Act. If these additional shares of common stock are sold, or if it is perceived that they will be sold, in the public market, the market price of our common stock could decline.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After this offering, the holders of approximately 39.6 million shares of our common stock, including those issuable upon the conversion of our preferred stock,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83" w:lineRule="exact"/>
        <w:rPr>
          <w:sz w:val="20"/>
          <w:szCs w:val="20"/>
          <w:color w:val="auto"/>
        </w:rPr>
      </w:pPr>
    </w:p>
    <w:p>
      <w:pPr>
        <w:ind w:left="200" w:right="80"/>
        <w:spacing w:after="0" w:line="262"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has been limited by “ownership changes” and may be further limited.</w:t>
      </w:r>
    </w:p>
    <w:p>
      <w:pPr>
        <w:spacing w:after="0" w:line="8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Under Sections 382 and 383 of the Internal Revenue Code of 1986, as amended, or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carryforwards and other pre-change tax attributes to offset its post-change income may be limited. We have in the past experienced, and we may in the future experience ownership changes as a result of this offering or other changes in our stock ownership (some of which are not in our control). Use of our federal and state net operating loss carryforwards have been limited and could be further limited if we experience additional ownership changes, which could have an adverse effect on our future results of operations.</w:t>
      </w:r>
    </w:p>
    <w:p>
      <w:pPr>
        <w:spacing w:after="0" w:line="81" w:lineRule="exact"/>
        <w:rPr>
          <w:sz w:val="20"/>
          <w:szCs w:val="20"/>
          <w:color w:val="auto"/>
        </w:rPr>
      </w:pPr>
    </w:p>
    <w:p>
      <w:pPr>
        <w:ind w:left="200" w:right="280"/>
        <w:spacing w:after="0" w:line="262"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81"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83" w:lineRule="exact"/>
        <w:rPr>
          <w:sz w:val="20"/>
          <w:szCs w:val="20"/>
          <w:color w:val="auto"/>
        </w:rPr>
      </w:pPr>
    </w:p>
    <w:p>
      <w:pPr>
        <w:ind w:left="200" w:right="20"/>
        <w:spacing w:after="0" w:line="262"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81" w:lineRule="exact"/>
        <w:rPr>
          <w:sz w:val="20"/>
          <w:szCs w:val="20"/>
          <w:color w:val="auto"/>
        </w:rPr>
      </w:pPr>
    </w:p>
    <w:p>
      <w:pPr>
        <w:jc w:val="both"/>
        <w:ind w:left="200" w:right="140"/>
        <w:spacing w:after="0" w:line="236"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83"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9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To comply with the requirements of being a reporting company under the Exchange Act, we will need to implement additional financial and management controls, reporting systems and procedures and hire additional accounting and finance staff.</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80" w:lineRule="exact"/>
        <w:rPr>
          <w:sz w:val="20"/>
          <w:szCs w:val="20"/>
          <w:color w:val="auto"/>
        </w:rPr>
      </w:pPr>
    </w:p>
    <w:p>
      <w:pPr>
        <w:ind w:left="200" w:right="780"/>
        <w:spacing w:after="0" w:line="262"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8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immediately prior to the consummation of this offering will contain provisions that could delay or prevent changes in control or changes in our management without the consent of our board of directors. These provisions will include the following:</w:t>
      </w:r>
    </w:p>
    <w:p>
      <w:pPr>
        <w:spacing w:after="0" w:line="114" w:lineRule="exact"/>
        <w:rPr>
          <w:sz w:val="20"/>
          <w:szCs w:val="20"/>
          <w:color w:val="auto"/>
        </w:rPr>
      </w:pPr>
    </w:p>
    <w:p>
      <w:pPr>
        <w:ind w:left="420" w:right="80" w:hanging="216"/>
        <w:spacing w:after="0" w:line="239"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420" w:right="400" w:hanging="216"/>
        <w:spacing w:after="0" w:line="299" w:lineRule="auto"/>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68" w:lineRule="exact"/>
        <w:rPr>
          <w:rFonts w:ascii="Arial" w:cs="Arial" w:eastAsia="Arial" w:hAnsi="Arial"/>
          <w:sz w:val="16"/>
          <w:szCs w:val="16"/>
          <w:color w:val="auto"/>
        </w:rPr>
      </w:pPr>
    </w:p>
    <w:p>
      <w:pPr>
        <w:ind w:left="420" w:right="380" w:hanging="216"/>
        <w:spacing w:after="0" w:line="238"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13"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7" w:lineRule="exact"/>
        <w:rPr>
          <w:rFonts w:ascii="Arial" w:cs="Arial" w:eastAsia="Arial" w:hAnsi="Arial"/>
          <w:sz w:val="18"/>
          <w:szCs w:val="18"/>
          <w:color w:val="auto"/>
        </w:rPr>
      </w:pPr>
    </w:p>
    <w:p>
      <w:pPr>
        <w:ind w:left="420" w:right="40" w:hanging="216"/>
        <w:spacing w:after="0" w:line="238"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113" w:lineRule="exact"/>
        <w:rPr>
          <w:rFonts w:ascii="Arial" w:cs="Arial" w:eastAsia="Arial" w:hAnsi="Arial"/>
          <w:sz w:val="18"/>
          <w:szCs w:val="18"/>
          <w:color w:val="auto"/>
        </w:rPr>
      </w:pPr>
    </w:p>
    <w:p>
      <w:pPr>
        <w:ind w:left="420" w:right="220" w:hanging="216"/>
        <w:spacing w:after="0" w:line="239"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4" w:lineRule="exact"/>
        <w:rPr>
          <w:rFonts w:ascii="Arial" w:cs="Arial" w:eastAsia="Arial" w:hAnsi="Arial"/>
          <w:sz w:val="18"/>
          <w:szCs w:val="18"/>
          <w:color w:val="auto"/>
        </w:rPr>
      </w:pPr>
    </w:p>
    <w:p>
      <w:pPr>
        <w:jc w:val="both"/>
        <w:ind w:left="420" w:right="340" w:hanging="216"/>
        <w:spacing w:after="0" w:line="238"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president or by the board of directors, which may delay the ability of our stockholders to force consideration of a proposal or to take action, including the removal of directors; and</w:t>
      </w:r>
    </w:p>
    <w:p>
      <w:pPr>
        <w:spacing w:after="0" w:line="113" w:lineRule="exact"/>
        <w:rPr>
          <w:rFonts w:ascii="Arial" w:cs="Arial" w:eastAsia="Arial" w:hAnsi="Arial"/>
          <w:sz w:val="18"/>
          <w:szCs w:val="18"/>
          <w:color w:val="auto"/>
        </w:rPr>
      </w:pPr>
    </w:p>
    <w:p>
      <w:pPr>
        <w:ind w:left="420" w:right="400" w:hanging="216"/>
        <w:spacing w:after="0" w:line="239"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240"/>
        <w:spacing w:after="0" w:line="239" w:lineRule="auto"/>
        <w:rPr>
          <w:sz w:val="20"/>
          <w:szCs w:val="20"/>
          <w:color w:val="auto"/>
        </w:rPr>
      </w:pPr>
      <w:r>
        <w:rPr>
          <w:rFonts w:ascii="Arial" w:cs="Arial" w:eastAsia="Arial" w:hAnsi="Arial"/>
          <w:sz w:val="18"/>
          <w:szCs w:val="18"/>
          <w:color w:val="auto"/>
        </w:rPr>
        <w:t>deter a potential acquiror from conducting a solicitation of proxies to elect the acquiror’s own slate of directors or otherwise attempting to obtain control of us.</w:t>
      </w:r>
    </w:p>
    <w:p>
      <w:pPr>
        <w:spacing w:after="0" w:line="10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For a description of our capital stock, see the section titled “Description of capital stock.”</w:t>
      </w:r>
    </w:p>
    <w:p>
      <w:pPr>
        <w:spacing w:after="0" w:line="81" w:lineRule="exact"/>
        <w:rPr>
          <w:sz w:val="20"/>
          <w:szCs w:val="20"/>
          <w:color w:val="auto"/>
        </w:rPr>
      </w:pPr>
    </w:p>
    <w:p>
      <w:pPr>
        <w:ind w:left="200" w:right="420"/>
        <w:spacing w:after="0" w:line="262"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81"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we will indemnify our directors and officers, in each case to the fullest extent permitted by Delaware law.</w:t>
      </w:r>
    </w:p>
    <w:p>
      <w:pPr>
        <w:spacing w:after="0" w:line="101" w:lineRule="exact"/>
        <w:rPr>
          <w:sz w:val="20"/>
          <w:szCs w:val="20"/>
          <w:color w:val="auto"/>
        </w:rPr>
      </w:pPr>
    </w:p>
    <w:p>
      <w:pPr>
        <w:ind w:left="200" w:right="560"/>
        <w:spacing w:after="0" w:line="238"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into with our directors and officers will provide that:</w:t>
      </w:r>
    </w:p>
    <w:p>
      <w:pPr>
        <w:spacing w:after="0" w:line="114" w:lineRule="exact"/>
        <w:rPr>
          <w:sz w:val="20"/>
          <w:szCs w:val="20"/>
          <w:color w:val="auto"/>
        </w:rPr>
      </w:pPr>
    </w:p>
    <w:p>
      <w:pPr>
        <w:ind w:left="420" w:hanging="216"/>
        <w:spacing w:after="0" w:line="237" w:lineRule="auto"/>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ind w:left="420" w:right="400" w:hanging="216"/>
        <w:spacing w:after="0" w:line="238" w:lineRule="auto"/>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13" w:lineRule="exact"/>
        <w:rPr>
          <w:rFonts w:ascii="Arial" w:cs="Arial" w:eastAsia="Arial" w:hAnsi="Arial"/>
          <w:sz w:val="18"/>
          <w:szCs w:val="18"/>
          <w:color w:val="auto"/>
        </w:rPr>
      </w:pPr>
    </w:p>
    <w:p>
      <w:pPr>
        <w:ind w:left="420" w:right="20" w:hanging="216"/>
        <w:spacing w:after="0" w:line="238" w:lineRule="auto"/>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13" w:lineRule="exact"/>
        <w:rPr>
          <w:rFonts w:ascii="Arial" w:cs="Arial" w:eastAsia="Arial" w:hAnsi="Arial"/>
          <w:sz w:val="18"/>
          <w:szCs w:val="18"/>
          <w:color w:val="auto"/>
        </w:rPr>
      </w:pPr>
    </w:p>
    <w:p>
      <w:pPr>
        <w:ind w:left="420" w:right="40" w:hanging="216"/>
        <w:spacing w:after="0" w:line="239" w:lineRule="auto"/>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4"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81" w:lineRule="exact"/>
        <w:rPr>
          <w:sz w:val="20"/>
          <w:szCs w:val="20"/>
          <w:color w:val="auto"/>
        </w:rPr>
      </w:pPr>
    </w:p>
    <w:p>
      <w:pPr>
        <w:ind w:left="200" w:right="16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will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94" w:lineRule="exact"/>
        <w:rPr>
          <w:sz w:val="20"/>
          <w:szCs w:val="20"/>
          <w:color w:val="auto"/>
        </w:rPr>
      </w:pPr>
    </w:p>
    <w:p>
      <w:pPr>
        <w:ind w:left="200" w:right="160"/>
        <w:spacing w:after="0" w:line="275"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the Court of Chancery of the State of Delaware is the exclusive forum for any state law derivative action or proceeding brought on our behalf, any action asserting a breach of fiduciary duty, any action asserting a claim against us arising pursuant to the Delaware General Corporation Law, any action to interpret, apply, enforce, or determine the validity of our amended and restated certificate of incorporation or our amended and restated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71" w:lineRule="auto"/>
        <w:rPr>
          <w:sz w:val="20"/>
          <w:szCs w:val="20"/>
          <w:color w:val="auto"/>
        </w:rPr>
      </w:pPr>
      <w:r>
        <w:rPr>
          <w:rFonts w:ascii="Arial" w:cs="Arial" w:eastAsia="Arial" w:hAnsi="Arial"/>
          <w:sz w:val="16"/>
          <w:szCs w:val="16"/>
          <w:color w:val="auto"/>
        </w:rPr>
        <w:t>bylaws, or any action asserting a claim against us that is governed by the internal affairs doctrine; provided that, the exclusive forum provision will not apply to suits brought to enforce any liability or duty created by the Securities Act or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Nothing in our amended and restated certificate of incorporation or amended and restated bylaws will preclude stockholders that assert claims under the Securities Act or the Exchange Act from bringing such claims in state or federal court, subject to applicable law.</w:t>
      </w:r>
    </w:p>
    <w:p>
      <w:pPr>
        <w:spacing w:after="0" w:line="77"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On December 22, 2017, the U.S. government enacted the TCJA, which significantly reforms the Code. The TCJA, among other things, contains significant changes to corporate taxation, including reduction of the U.S. federal income corporate tax rate from a top marginal rate of 35% to a flat rate of 21%, effective January 1, 2018; limitation of the tax deduction for interest expense; limitation of the deduction for net operating losses and elimination of net operating loss carrybacks, in each case, for losses arising in taxable years beginning after December 31, 2017 (though any such tax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The tax rate change resulted in (i) a reduction in the gross amount of our deferred tax assets recorded as of December 31, 2017, without an impact on the net amount of our deferred tax assets, which are recorded with a full valuation allowance, and (ii) no income tax expense or benefit being recognized as of the enactment date of the TCJA. We continue to examine the impact this tax reform legislation may have on our business.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While we have completed our accounting for the effects of the TCJA, additional regulatory guidance may still be issued by the applicable taxing authorities which could materially affect our tax obligations and effective tax rate.</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15" w:lineRule="exact"/>
        <w:rPr>
          <w:sz w:val="20"/>
          <w:szCs w:val="20"/>
          <w:color w:val="auto"/>
        </w:rPr>
      </w:pPr>
    </w:p>
    <w:p>
      <w:pPr>
        <w:ind w:left="420" w:right="620" w:hanging="216"/>
        <w:spacing w:after="0" w:line="239"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 including our RMC-4630 Phase 1/2 clinical program;</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17" w:lineRule="exact"/>
        <w:rPr>
          <w:rFonts w:ascii="Arial" w:cs="Arial" w:eastAsia="Arial" w:hAnsi="Arial"/>
          <w:sz w:val="18"/>
          <w:szCs w:val="18"/>
          <w:color w:val="auto"/>
        </w:rPr>
      </w:pPr>
    </w:p>
    <w:p>
      <w:pPr>
        <w:ind w:left="420" w:right="240" w:hanging="216"/>
        <w:spacing w:after="0" w:line="239"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current or future product candidates, and any related restrictions, limitations, and/or warnings in the label of an approved product candidate;</w:t>
      </w:r>
    </w:p>
    <w:p>
      <w:pPr>
        <w:spacing w:after="0" w:line="114" w:lineRule="exact"/>
        <w:rPr>
          <w:rFonts w:ascii="Arial" w:cs="Arial" w:eastAsia="Arial" w:hAnsi="Arial"/>
          <w:sz w:val="18"/>
          <w:szCs w:val="18"/>
          <w:color w:val="auto"/>
        </w:rPr>
      </w:pPr>
    </w:p>
    <w:p>
      <w:pPr>
        <w:ind w:left="420" w:right="760" w:hanging="216"/>
        <w:spacing w:after="0" w:line="239"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RMC-4630, our other product candidates and any future product candidates, if approved for commercial use;</w:t>
      </w:r>
    </w:p>
    <w:p>
      <w:pPr>
        <w:spacing w:after="0" w:line="114" w:lineRule="exact"/>
        <w:rPr>
          <w:rFonts w:ascii="Arial" w:cs="Arial" w:eastAsia="Arial" w:hAnsi="Arial"/>
          <w:sz w:val="18"/>
          <w:szCs w:val="18"/>
          <w:color w:val="auto"/>
        </w:rPr>
      </w:pPr>
    </w:p>
    <w:p>
      <w:pPr>
        <w:ind w:left="420" w:right="500" w:hanging="216"/>
        <w:spacing w:after="0" w:line="239"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 including our collaboration with Sanofi;</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pricing and reimbursement of our product candidates, if approved;</w:t>
      </w:r>
    </w:p>
    <w:p>
      <w:pPr>
        <w:spacing w:after="0" w:line="114" w:lineRule="exact"/>
        <w:rPr>
          <w:rFonts w:ascii="Arial" w:cs="Arial" w:eastAsia="Arial" w:hAnsi="Arial"/>
          <w:sz w:val="18"/>
          <w:szCs w:val="18"/>
          <w:color w:val="auto"/>
        </w:rPr>
      </w:pPr>
    </w:p>
    <w:p>
      <w:pPr>
        <w:ind w:left="420" w:right="340" w:hanging="216"/>
        <w:spacing w:after="0" w:line="239"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 including additional indications for which we may pursue;</w:t>
      </w:r>
    </w:p>
    <w:p>
      <w:pPr>
        <w:spacing w:after="0" w:line="114" w:lineRule="exact"/>
        <w:rPr>
          <w:rFonts w:ascii="Arial" w:cs="Arial" w:eastAsia="Arial" w:hAnsi="Arial"/>
          <w:sz w:val="18"/>
          <w:szCs w:val="18"/>
          <w:color w:val="auto"/>
        </w:rPr>
      </w:pPr>
    </w:p>
    <w:p>
      <w:pPr>
        <w:ind w:left="420" w:right="140" w:hanging="216"/>
        <w:spacing w:after="0" w:line="239"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including the projected term of patent protection;</w:t>
      </w:r>
    </w:p>
    <w:p>
      <w:pPr>
        <w:spacing w:after="0" w:line="114" w:lineRule="exact"/>
        <w:rPr>
          <w:rFonts w:ascii="Arial" w:cs="Arial" w:eastAsia="Arial" w:hAnsi="Arial"/>
          <w:sz w:val="18"/>
          <w:szCs w:val="18"/>
          <w:color w:val="auto"/>
        </w:rPr>
      </w:pPr>
    </w:p>
    <w:p>
      <w:pPr>
        <w:ind w:left="420" w:right="500" w:hanging="216"/>
        <w:spacing w:after="0" w:line="239"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enforce and defend our intellectual property protection for our product candidates;</w:t>
      </w:r>
    </w:p>
    <w:p>
      <w:pPr>
        <w:spacing w:after="0" w:line="140" w:lineRule="exact"/>
        <w:rPr>
          <w:rFonts w:ascii="Arial" w:cs="Arial" w:eastAsia="Arial" w:hAnsi="Arial"/>
          <w:sz w:val="16"/>
          <w:szCs w:val="16"/>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use of proceeds from this offering;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04"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“Risk factors” and elsewhere in this prospectus.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Market and industry data</w:t>
      </w:r>
    </w:p>
    <w:p>
      <w:pPr>
        <w:spacing w:after="0" w:line="158"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This prospectus contains estimates, projections and other information concerning our industry and,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07"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This industry, business, market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other information included in this prospectus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estimate that the net proceeds to us from the sale of 14,000,000 shares of our common stock in this offering will be approximately $217.8 million at the initial public offering price of $17.00 per share, after deducting the underwriting discounts and commissions and estimated offering expenses payable by us. If the underwriters exercise their option to purchase additional shares in full, we estimate that the net proceeds will be approximately $251.0 million at the initial public offering price of $17.00 per share, after deducting the underwriting discounts and commissions and estimated offering expenses payable by us.</w:t>
      </w:r>
    </w:p>
    <w:p>
      <w:pPr>
        <w:spacing w:after="0" w:line="10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We currently expect to use our net proceeds from this offering, together with our existing cash, cash equivalents and marketable securities, as follows:</w:t>
      </w:r>
    </w:p>
    <w:p>
      <w:pPr>
        <w:spacing w:after="0" w:line="114" w:lineRule="exact"/>
        <w:rPr>
          <w:sz w:val="20"/>
          <w:szCs w:val="20"/>
          <w:color w:val="auto"/>
        </w:rPr>
      </w:pPr>
    </w:p>
    <w:p>
      <w:pPr>
        <w:jc w:val="both"/>
        <w:ind w:left="420" w:right="300" w:hanging="216"/>
        <w:spacing w:after="0" w:line="238"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$150 million to $175 million to fund the development of our multiple RAS programs, including our RAS(ON) portfolio and SOS1 program, through completion of IND-enabling studies for one or more development candidates and initiation of a Phase 1 clinical trial for one development candidate;</w:t>
      </w:r>
    </w:p>
    <w:p>
      <w:pPr>
        <w:spacing w:after="0" w:line="113" w:lineRule="exact"/>
        <w:rPr>
          <w:rFonts w:ascii="Arial" w:cs="Arial" w:eastAsia="Arial" w:hAnsi="Arial"/>
          <w:sz w:val="18"/>
          <w:szCs w:val="18"/>
          <w:color w:val="auto"/>
        </w:rPr>
      </w:pPr>
    </w:p>
    <w:p>
      <w:pPr>
        <w:ind w:left="420" w:right="24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$25 million to $30 million to fund the development of our 4EBP1/mTORC1 program through initiation of a Phase 1 clinical trial for RMC-5552;</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$1 million, net of reimbursement from Sanofi, to fund our share of research costs for the SHP2 program; and</w:t>
      </w:r>
    </w:p>
    <w:p>
      <w:pPr>
        <w:spacing w:after="0" w:line="117" w:lineRule="exact"/>
        <w:rPr>
          <w:rFonts w:ascii="Arial" w:cs="Arial" w:eastAsia="Arial" w:hAnsi="Arial"/>
          <w:sz w:val="18"/>
          <w:szCs w:val="18"/>
          <w:color w:val="auto"/>
        </w:rPr>
      </w:pPr>
    </w:p>
    <w:p>
      <w:pPr>
        <w:ind w:left="420" w:right="22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remaining proceeds for other general corporate purposes, which may include the hiring of additional personnel, capital expenditures and the costs of operating as a public company.</w:t>
      </w:r>
    </w:p>
    <w:p>
      <w:pPr>
        <w:spacing w:after="0" w:line="101"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Under our collaboration with Sanofi, Sanofi is responsible for reimbursing substantially all of our research costs and all of our development costs for the SHP2 program. We may also use a portion of the remaining net proceeds from this offering and our existing cash, cash equivalents and marketable securities to in-license, acquire or invest in complementary businesses, technologies, products or assets. However, we have no current commitments or obligations to do so.</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Due to the uncertainties inherent in the clinical development and regulatory approval process, it is difficult to estimate with certainty the exact amounts of the net proceeds from this offering that may be used for the above purposes. As such, our management will retain broad discretion over the use of the net proceeds from this offering. The amounts and timing of our expenditures may depend upon numerous factors, including: (i) continued research and development SHP2 program reimbursement by Sanofi under the Sanofi Agreement; (ii) the time and cost necessary to advance our product candidates through clinical trials and future clinical trials; (iii) the time and cost associated with our research and development activities for our pipeline; (iv) the time and cost associated with the manufacture and supply of product candidates for clinical development or commercialization; and (v) our ability to obtain regulatory approval for and subsequently commercialize our product candidates.</w:t>
      </w:r>
    </w:p>
    <w:p>
      <w:pPr>
        <w:spacing w:after="0" w:line="100"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We believe that the net proceeds from this offering, together with our existing cash, cash equivalents and marketable securities, will enable us to fund our operations for at least 12 months following the date of this offering. After this offering, we will require substantial capital in order to advance our current and future product candidates through clinical trials, regulatory approval and, if approved, commercialization. For additional information regarding our potential capital requirements, see “Risk factors—Even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77"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government securities.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Dividend policy</w:t>
      </w:r>
    </w:p>
    <w:p>
      <w:pPr>
        <w:spacing w:after="0" w:line="15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240" w:top="459" w:right="5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Capitalization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our cash, cash equivalents and marketable securities and capitalization as of September 30, 2019:</w:t>
      </w:r>
    </w:p>
    <w:p>
      <w:pPr>
        <w:spacing w:after="0" w:line="117" w:lineRule="exact"/>
        <w:rPr>
          <w:sz w:val="20"/>
          <w:szCs w:val="20"/>
          <w:color w:val="auto"/>
        </w:rPr>
      </w:pPr>
    </w:p>
    <w:p>
      <w:pPr>
        <w:ind w:left="420" w:hanging="216"/>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420" w:right="60" w:hanging="216"/>
        <w:spacing w:after="0" w:line="237"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 pro forma basis to give effect to: (i) the conversion of all 39,600,423 shares of our redeemable convertible preferred stock outstanding as of September 30, 2019 into an equivalent number of shares of our common stock, which will be effective upon the closing of this offering; and (ii) the filing and effectiveness of our amended and restated certificate of incorporation, which will occur immediately prior to the consummation of this offering; and</w:t>
      </w:r>
    </w:p>
    <w:p>
      <w:pPr>
        <w:spacing w:after="0" w:line="114" w:lineRule="exact"/>
        <w:rPr>
          <w:rFonts w:ascii="Arial" w:cs="Arial" w:eastAsia="Arial" w:hAnsi="Arial"/>
          <w:sz w:val="18"/>
          <w:szCs w:val="18"/>
          <w:color w:val="auto"/>
        </w:rPr>
      </w:pPr>
    </w:p>
    <w:p>
      <w:pPr>
        <w:jc w:val="both"/>
        <w:ind w:left="420" w:right="380" w:hanging="216"/>
        <w:spacing w:after="0" w:line="237"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(i) the sale of 14,000,000 shares of common stock in this offering at the initial public offering price of $17.00 per share, after deducting the underwriting discounts and commissions and estimated offering expenses payable by us, net of $0.1 million of offering costs paid as of September 30, 2019; and (ii) the reclassification of $1.3 million in deferred offering costs from other noncurrent assets to additional paid-in-capital.</w:t>
      </w:r>
    </w:p>
    <w:p>
      <w:pPr>
        <w:spacing w:after="0" w:line="101"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You should read this information together with our consolidated financial statements and related notes appearing elsewhere in this prospectus and the information set forth under the headings “Selected consolidated financial data,” “Unaudited pro forma condensed combined financial statements”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w w:val="99"/>
              </w:rPr>
              <w:t>As of September 30, 2019</w:t>
            </w: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232"/>
              <w:spacing w:after="0" w:line="177" w:lineRule="exact"/>
              <w:rPr>
                <w:sz w:val="20"/>
                <w:szCs w:val="20"/>
                <w:color w:val="auto"/>
              </w:rPr>
            </w:pPr>
            <w:r>
              <w:rPr>
                <w:rFonts w:ascii="Arial" w:cs="Arial" w:eastAsia="Arial" w:hAnsi="Arial"/>
                <w:sz w:val="18"/>
                <w:szCs w:val="18"/>
                <w:b w:val="1"/>
                <w:bCs w:val="1"/>
                <w:color w:val="auto"/>
              </w:rPr>
              <w:t>Pro forma</w:t>
            </w:r>
          </w:p>
        </w:tc>
        <w:tc>
          <w:tcPr>
            <w:tcW w:w="1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Actual</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Pro forma</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as adjusted</w:t>
            </w:r>
          </w:p>
        </w:tc>
      </w:tr>
      <w:tr>
        <w:trPr>
          <w:trHeight w:val="196"/>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20" w:type="dxa"/>
            <w:vAlign w:val="bottom"/>
            <w:gridSpan w:val="6"/>
          </w:tcPr>
          <w:p>
            <w:pPr>
              <w:jc w:val="right"/>
              <w:ind w:right="120"/>
              <w:spacing w:after="0" w:line="196" w:lineRule="exact"/>
              <w:rPr>
                <w:sz w:val="20"/>
                <w:szCs w:val="20"/>
                <w:color w:val="auto"/>
              </w:rPr>
            </w:pPr>
            <w:r>
              <w:rPr>
                <w:rFonts w:ascii="Arial" w:cs="Arial" w:eastAsia="Arial" w:hAnsi="Arial"/>
                <w:sz w:val="18"/>
                <w:szCs w:val="18"/>
                <w:b w:val="1"/>
                <w:bCs w:val="1"/>
                <w:color w:val="auto"/>
              </w:rPr>
              <w:t>(in thousands, except share and per share amounts)</w:t>
            </w: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marketable securities(1)</w:t>
            </w:r>
          </w:p>
        </w:tc>
        <w:tc>
          <w:tcPr>
            <w:tcW w:w="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136,288</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136,288</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354,235</w:t>
            </w:r>
          </w:p>
        </w:tc>
        <w:tc>
          <w:tcPr>
            <w:tcW w:w="120" w:type="dxa"/>
            <w:vAlign w:val="bottom"/>
            <w:shd w:val="clear" w:color="auto" w:fill="CCEEFF"/>
          </w:tcPr>
          <w:p>
            <w:pPr>
              <w:spacing w:after="0"/>
              <w:rPr>
                <w:sz w:val="17"/>
                <w:szCs w:val="17"/>
                <w:color w:val="auto"/>
              </w:rPr>
            </w:pPr>
          </w:p>
        </w:tc>
      </w:tr>
      <w:tr>
        <w:trPr>
          <w:trHeight w:val="213"/>
        </w:trPr>
        <w:tc>
          <w:tcPr>
            <w:tcW w:w="584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 $0.0001 par value per</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share; 192,904,770 shares authorized, 39,600,423 shares issued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outstanding, actual; no shares authorized, issued and outstanding,</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pro forma and pro forma as adjusted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305,114</w:t>
            </w:r>
          </w:p>
        </w:tc>
        <w:tc>
          <w:tcPr>
            <w:tcW w:w="520" w:type="dxa"/>
            <w:vAlign w:val="bottom"/>
          </w:tcPr>
          <w:p>
            <w:pPr>
              <w:spacing w:after="0"/>
              <w:rPr>
                <w:sz w:val="18"/>
                <w:szCs w:val="18"/>
                <w:color w:val="auto"/>
              </w:rPr>
            </w:pP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56"/>
        </w:trPr>
        <w:tc>
          <w:tcPr>
            <w:tcW w:w="584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5840" w:type="dxa"/>
            <w:vAlign w:val="bottom"/>
            <w:gridSpan w:val="2"/>
          </w:tcPr>
          <w:p>
            <w:pPr>
              <w:spacing w:after="0" w:line="206" w:lineRule="exact"/>
              <w:rPr>
                <w:sz w:val="20"/>
                <w:szCs w:val="20"/>
                <w:color w:val="auto"/>
              </w:rPr>
            </w:pPr>
            <w:r>
              <w:rPr>
                <w:rFonts w:ascii="Arial" w:cs="Arial" w:eastAsia="Arial" w:hAnsi="Arial"/>
                <w:sz w:val="18"/>
                <w:szCs w:val="18"/>
                <w:color w:val="auto"/>
              </w:rPr>
              <w:t>Preferred stock, $0.0001 par value per share; no shares authorized,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issued and outstanding, actual; 10,000,000 shares authorized, and no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820" w:type="dxa"/>
            <w:vAlign w:val="bottom"/>
          </w:tcPr>
          <w:p>
            <w:pPr>
              <w:ind w:left="200"/>
              <w:spacing w:after="0" w:line="200" w:lineRule="exact"/>
              <w:rPr>
                <w:sz w:val="20"/>
                <w:szCs w:val="20"/>
                <w:color w:val="auto"/>
              </w:rPr>
            </w:pPr>
            <w:r>
              <w:rPr>
                <w:rFonts w:ascii="Arial" w:cs="Arial" w:eastAsia="Arial" w:hAnsi="Arial"/>
                <w:sz w:val="18"/>
                <w:szCs w:val="18"/>
                <w:color w:val="auto"/>
              </w:rPr>
              <w:t>shares issued and outstanding, pro forma and pro forma as adjusted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38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4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58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Common stock, $0.0001 par value per share; 249,000,000 shares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authorized, 3,301,886 shares issued and outstanding, actual;</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249,000,000 shares authorized, 42,902,309 shares issued and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outstanding, pro forma; 300,000,000 shares authorized, 56,902,309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8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shares issued and outstanding, pro forma as adjusted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r>
      <w:tr>
        <w:trPr>
          <w:trHeight w:val="203"/>
        </w:trPr>
        <w:tc>
          <w:tcPr>
            <w:tcW w:w="5840" w:type="dxa"/>
            <w:vAlign w:val="bottom"/>
            <w:gridSpan w:val="2"/>
          </w:tcPr>
          <w:p>
            <w:pPr>
              <w:spacing w:after="0" w:line="202" w:lineRule="exact"/>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3,290</w:t>
            </w:r>
          </w:p>
        </w:tc>
        <w:tc>
          <w:tcPr>
            <w:tcW w:w="520" w:type="dxa"/>
            <w:vAlign w:val="bottom"/>
          </w:tcPr>
          <w:p>
            <w:pPr>
              <w:spacing w:after="0"/>
              <w:rPr>
                <w:sz w:val="17"/>
                <w:szCs w:val="17"/>
                <w:color w:val="auto"/>
              </w:rPr>
            </w:pPr>
          </w:p>
        </w:tc>
        <w:tc>
          <w:tcPr>
            <w:tcW w:w="13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308,400</w:t>
            </w: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526,238</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r>
      <w:tr>
        <w:trPr>
          <w:trHeight w:val="210"/>
        </w:trPr>
        <w:tc>
          <w:tcPr>
            <w:tcW w:w="584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(142,790)</w:t>
            </w:r>
          </w:p>
        </w:tc>
        <w:tc>
          <w:tcPr>
            <w:tcW w:w="520" w:type="dxa"/>
            <w:vAlign w:val="bottom"/>
          </w:tcPr>
          <w:p>
            <w:pPr>
              <w:spacing w:after="0"/>
              <w:rPr>
                <w:sz w:val="18"/>
                <w:szCs w:val="18"/>
                <w:color w:val="auto"/>
              </w:rPr>
            </w:pP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(142,790)</w:t>
            </w:r>
          </w:p>
        </w:tc>
        <w:tc>
          <w:tcPr>
            <w:tcW w:w="380" w:type="dxa"/>
            <w:vAlign w:val="bottom"/>
          </w:tcPr>
          <w:p>
            <w:pPr>
              <w:spacing w:after="0"/>
              <w:rPr>
                <w:sz w:val="18"/>
                <w:szCs w:val="18"/>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(142,790)</w:t>
            </w: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(139,446)</w:t>
            </w: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165,668</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383,508</w:t>
            </w:r>
          </w:p>
        </w:tc>
        <w:tc>
          <w:tcPr>
            <w:tcW w:w="120" w:type="dxa"/>
            <w:vAlign w:val="bottom"/>
            <w:shd w:val="clear" w:color="auto" w:fill="CCEEFF"/>
          </w:tcPr>
          <w:p>
            <w:pPr>
              <w:spacing w:after="0"/>
              <w:rPr>
                <w:sz w:val="17"/>
                <w:szCs w:val="17"/>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165,668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165,668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383,508</w:t>
            </w:r>
          </w:p>
        </w:tc>
        <w:tc>
          <w:tcPr>
            <w:tcW w:w="120" w:type="dxa"/>
            <w:vAlign w:val="bottom"/>
          </w:tcPr>
          <w:p>
            <w:pPr>
              <w:spacing w:after="0"/>
              <w:rPr>
                <w:sz w:val="19"/>
                <w:szCs w:val="19"/>
                <w:color w:val="auto"/>
              </w:rPr>
            </w:pPr>
          </w:p>
        </w:tc>
      </w:tr>
      <w:tr>
        <w:trPr>
          <w:trHeight w:val="357"/>
        </w:trPr>
        <w:tc>
          <w:tcPr>
            <w:tcW w:w="20" w:type="dxa"/>
            <w:vAlign w:val="bottom"/>
          </w:tcPr>
          <w:p>
            <w:pPr>
              <w:spacing w:after="0"/>
              <w:rPr>
                <w:sz w:val="24"/>
                <w:szCs w:val="24"/>
                <w:color w:val="auto"/>
              </w:rPr>
            </w:pPr>
          </w:p>
        </w:tc>
        <w:tc>
          <w:tcPr>
            <w:tcW w:w="5820" w:type="dxa"/>
            <w:vAlign w:val="bottom"/>
            <w:tcBorders>
              <w:top w:val="single" w:sz="8" w:color="auto"/>
            </w:tcBorders>
          </w:tcPr>
          <w:p>
            <w:pPr>
              <w:ind w:left="5400"/>
              <w:spacing w:after="0"/>
              <w:rPr>
                <w:sz w:val="20"/>
                <w:szCs w:val="20"/>
                <w:color w:val="auto"/>
              </w:rPr>
            </w:pPr>
            <w:r>
              <w:rPr>
                <w:rFonts w:ascii="Arial" w:cs="Arial" w:eastAsia="Arial" w:hAnsi="Arial"/>
                <w:sz w:val="18"/>
                <w:szCs w:val="18"/>
                <w:color w:val="auto"/>
              </w:rPr>
              <w:t>75</w:t>
            </w: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hanging="316"/>
        <w:spacing w:after="0" w:line="228"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have classified our marketable securities as available-for-sale, and may sell these securities prior to their stated maturities. We view these marketable securities as available to support current operations, and classify marketable securities with maturities beyond 12 months as current assets under the caption marketable securities in the unaudited condensed consolidated financial statements appearing elsewhere in this prospectus.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outstanding share information in the table above excludes the following:</w:t>
      </w:r>
    </w:p>
    <w:p>
      <w:pPr>
        <w:spacing w:after="0" w:line="117" w:lineRule="exact"/>
        <w:rPr>
          <w:sz w:val="20"/>
          <w:szCs w:val="20"/>
          <w:color w:val="auto"/>
        </w:rPr>
      </w:pPr>
    </w:p>
    <w:p>
      <w:pPr>
        <w:ind w:left="420" w:right="100" w:hanging="216"/>
        <w:spacing w:after="0" w:line="239"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4,670,745 shares of common stock issuable upon the exercise of outstanding stock options as of September 30, 2019 having a weighted-average exercise price of $3.36 per share;</w:t>
      </w:r>
    </w:p>
    <w:p>
      <w:pPr>
        <w:spacing w:after="0" w:line="114" w:lineRule="exact"/>
        <w:rPr>
          <w:rFonts w:ascii="Arial" w:cs="Arial" w:eastAsia="Arial" w:hAnsi="Arial"/>
          <w:sz w:val="18"/>
          <w:szCs w:val="18"/>
          <w:color w:val="auto"/>
        </w:rPr>
      </w:pPr>
    </w:p>
    <w:p>
      <w:pPr>
        <w:ind w:left="420" w:right="600" w:hanging="216"/>
        <w:spacing w:after="0" w:line="239"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277,012 shares of common stock issuable upon the exercise of stock options granted after September 30, 2019 having a weighted-average exercise price of $7.50 per share;</w:t>
      </w:r>
    </w:p>
    <w:p>
      <w:pPr>
        <w:spacing w:after="0" w:line="114" w:lineRule="exact"/>
        <w:rPr>
          <w:rFonts w:ascii="Arial" w:cs="Arial" w:eastAsia="Arial" w:hAnsi="Arial"/>
          <w:sz w:val="18"/>
          <w:szCs w:val="18"/>
          <w:color w:val="auto"/>
        </w:rPr>
      </w:pPr>
    </w:p>
    <w:p>
      <w:pPr>
        <w:ind w:left="420" w:hanging="216"/>
        <w:spacing w:after="0" w:line="238"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1,041,448 shares of common stock reserved for issuance pursuant to future awards under our 2014 Equity Incentive Plan, as amended, as of September 30, 2019, which became available for issuance under our 2020 Incentive Award Plan on the day prior to the effectiveness of the registration statement to which this prospectus relates;</w:t>
      </w:r>
    </w:p>
    <w:p>
      <w:pPr>
        <w:spacing w:after="0" w:line="113" w:lineRule="exact"/>
        <w:rPr>
          <w:rFonts w:ascii="Arial" w:cs="Arial" w:eastAsia="Arial" w:hAnsi="Arial"/>
          <w:sz w:val="18"/>
          <w:szCs w:val="18"/>
          <w:color w:val="auto"/>
        </w:rPr>
      </w:pPr>
    </w:p>
    <w:p>
      <w:pPr>
        <w:ind w:left="420" w:right="60" w:hanging="216"/>
        <w:spacing w:after="0" w:line="236"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5,771,197 shares of common stock reserved for issuance pursuant to future awards under our 2020 Incentive Award Plan, as well as any automatic increases in the number of shares of our common stock reserved for future issuance under this plan, which became effective on the day prior to the effectiveness of the registration statement to which this prospectus relates, of which options to purchase 481,600 shares of common stock at an exercise price equal to the initial public offering price set forth on the cover of this prospectus have been granted coincident with this offering; and</w:t>
      </w:r>
    </w:p>
    <w:p>
      <w:pPr>
        <w:spacing w:after="0" w:line="116" w:lineRule="exact"/>
        <w:rPr>
          <w:rFonts w:ascii="Arial" w:cs="Arial" w:eastAsia="Arial" w:hAnsi="Arial"/>
          <w:sz w:val="18"/>
          <w:szCs w:val="18"/>
          <w:color w:val="auto"/>
        </w:rPr>
      </w:pPr>
    </w:p>
    <w:p>
      <w:pPr>
        <w:ind w:left="420" w:right="40" w:hanging="216"/>
        <w:spacing w:after="0" w:line="238"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528,959 shares of common stock reserved for issuance pursuant to future awards under our 2020 Employee Stock Purchase Plan, as well as any automatic increases in the number of shares of our common stock reserved for future issuance under this plan, which became effective on the day prior to the effectiveness of the registration statement to which this prospectus relates.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Dilution</w:t>
      </w:r>
    </w:p>
    <w:p>
      <w:pPr>
        <w:spacing w:after="0" w:line="158"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this offering.</w:t>
      </w:r>
    </w:p>
    <w:p>
      <w:pPr>
        <w:spacing w:after="0" w:line="10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As of September 30, 2019, we had a historical net tangible book value (deficit) of $(217.6) million, or $(65.91) per share of common stock. Our historical net tangible book value (deficit) represents total tangible assets less total liabilities and redeemable convertible preferred stock, all divided by 3,301,886 shares of common stock outstanding on September 30, 2019. Our pro forma net tangible book value as of September 30, 2019, before giving effect to this offering, was $87.5 million, or $2.04 per share of our common stock. Pro forma net tangible book value, before the issuance and sale of shares in this offering, gives effect to:</w:t>
      </w:r>
    </w:p>
    <w:p>
      <w:pPr>
        <w:spacing w:after="0" w:line="117" w:lineRule="exact"/>
        <w:rPr>
          <w:sz w:val="20"/>
          <w:szCs w:val="20"/>
          <w:color w:val="auto"/>
        </w:rPr>
      </w:pPr>
    </w:p>
    <w:p>
      <w:pPr>
        <w:ind w:left="420" w:right="560" w:hanging="216"/>
        <w:spacing w:after="0" w:line="239"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conversion of all 39,600,423 outstanding shares of our redeemable convertible preferred stock as of September 30, 2019 into an equivalent number of shares of common stock upon the closing of this offering; and</w:t>
      </w:r>
    </w:p>
    <w:p>
      <w:pPr>
        <w:spacing w:after="0" w:line="114" w:lineRule="exact"/>
        <w:rPr>
          <w:rFonts w:ascii="Arial" w:cs="Arial" w:eastAsia="Arial" w:hAnsi="Arial"/>
          <w:sz w:val="18"/>
          <w:szCs w:val="18"/>
          <w:color w:val="auto"/>
        </w:rPr>
      </w:pPr>
    </w:p>
    <w:p>
      <w:pPr>
        <w:ind w:left="420" w:right="1200" w:hanging="216"/>
        <w:spacing w:after="0" w:line="239"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which will occur immediately prior to the consummation of this offering.</w:t>
      </w:r>
    </w:p>
    <w:p>
      <w:pPr>
        <w:spacing w:after="0" w:line="101" w:lineRule="exact"/>
        <w:rPr>
          <w:sz w:val="20"/>
          <w:szCs w:val="20"/>
          <w:color w:val="auto"/>
        </w:rPr>
      </w:pPr>
    </w:p>
    <w:p>
      <w:pPr>
        <w:ind w:left="200" w:right="20"/>
        <w:spacing w:after="0" w:line="270" w:lineRule="auto"/>
        <w:rPr>
          <w:sz w:val="20"/>
          <w:szCs w:val="20"/>
          <w:color w:val="auto"/>
        </w:rPr>
      </w:pPr>
      <w:r>
        <w:rPr>
          <w:rFonts w:ascii="Arial" w:cs="Arial" w:eastAsia="Arial" w:hAnsi="Arial"/>
          <w:sz w:val="16"/>
          <w:szCs w:val="16"/>
          <w:color w:val="auto"/>
        </w:rPr>
        <w:t>After giving effect to (i) the sale of 14,000,000 shares of common stock in this offering at the initial public offering price of $17.00 per share and after deducting the underwriting discounts and commissions and estimated offering expenses payable by us, net of $0.1 million of offering costs paid as of September 30, 2019, (ii) the reclassification of $1.3 million in deferred offering costs from other noncurrent assets to additional paid-in-capital, and (iii) the reduction of $1.2 million in current liabilities to reflect the payment of unpaid deferred offering costs, our pro forma as adjusted net tangible book value as of September 30, 2019 would have been $306.6 million, or $5.39 per share. This represents an immediate increase in pro forma as adjusted net tangible book value of $3.35 per share to existing stockholders and an immediate dilution in pro forma net tangible book value of $11.61 per share to new investors. The following table illustrates this per share dilution:</w:t>
      </w:r>
    </w:p>
    <w:p>
      <w:pPr>
        <w:spacing w:after="0" w:line="6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60" w:type="dxa"/>
            <w:vAlign w:val="bottom"/>
            <w:tcBorders>
              <w:top w:val="single" w:sz="8" w:color="auto"/>
            </w:tcBorders>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Historical net tangible book value (deficit) per share as of September 30, 2019</w:t>
            </w:r>
          </w:p>
        </w:tc>
        <w:tc>
          <w:tcPr>
            <w:tcW w:w="12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$(65.91)</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w w:val="99"/>
              </w:rPr>
              <w:t>Pro forma change in historical net tangible book value (deficit) per share attributable to the pro forma transactions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1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described in the preceding paragraphs</w:t>
            </w:r>
          </w:p>
        </w:tc>
        <w:tc>
          <w:tcPr>
            <w:tcW w:w="1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67.95</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Pro forma net tangible book value per share as of September 30, 2019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Increase in pro forma net tangible book value per share attributable to new investors purchasing shares in this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1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offering</w:t>
            </w:r>
          </w:p>
        </w:tc>
        <w:tc>
          <w:tcPr>
            <w:tcW w:w="1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3.35</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920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220" w:type="dxa"/>
            <w:vAlign w:val="bottom"/>
            <w:gridSpan w:val="3"/>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purchasing shares in this offering</w:t>
            </w:r>
          </w:p>
        </w:tc>
        <w:tc>
          <w:tcPr>
            <w:tcW w:w="1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$11.61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If the underwriters fully exercise their option to purchase additional shares, the pro forma as adjusted net tangible book value after this offering would be $339.8 million, the increase in pro forma as adjusted net tangible book value per share to existing stockholders would be $3.72 per share, and there would be an immediate dilution of $11.24 per share to new investors, in each case based on the initial offering price of $17.00 per share.</w:t>
      </w:r>
    </w:p>
    <w:p>
      <w:pPr>
        <w:spacing w:after="0" w:line="101"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To the extent that outstanding options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180"/>
        <w:spacing w:after="0" w:line="239" w:lineRule="auto"/>
        <w:rPr>
          <w:sz w:val="20"/>
          <w:szCs w:val="20"/>
          <w:color w:val="auto"/>
        </w:rPr>
      </w:pPr>
      <w:r>
        <w:rPr>
          <w:rFonts w:ascii="Arial" w:cs="Arial" w:eastAsia="Arial" w:hAnsi="Arial"/>
          <w:sz w:val="18"/>
          <w:szCs w:val="18"/>
          <w:color w:val="auto"/>
        </w:rPr>
        <w:t>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01" w:lineRule="exact"/>
        <w:rPr>
          <w:sz w:val="20"/>
          <w:szCs w:val="20"/>
          <w:color w:val="auto"/>
        </w:rPr>
      </w:pPr>
    </w:p>
    <w:p>
      <w:pPr>
        <w:jc w:val="both"/>
        <w:ind w:left="200" w:right="180"/>
        <w:spacing w:after="0" w:line="275" w:lineRule="auto"/>
        <w:rPr>
          <w:sz w:val="20"/>
          <w:szCs w:val="20"/>
          <w:color w:val="auto"/>
        </w:rPr>
      </w:pPr>
      <w:r>
        <w:rPr>
          <w:rFonts w:ascii="Arial" w:cs="Arial" w:eastAsia="Arial" w:hAnsi="Arial"/>
          <w:sz w:val="16"/>
          <w:szCs w:val="16"/>
          <w:color w:val="auto"/>
        </w:rPr>
        <w:t>The following table shows, as of September 30, 2019, on a pro forma as adjusted basis, the number of shares of common stock purchased from us, the total consideration paid or to be paid to us and the average price paid per share by existing stockholders for shares issued prior to this offering and the price to be paid by investors purchasing common stock in this offering at the initial public offering price of $17.00 per share, before deducting the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53975</wp:posOffset>
            </wp:positionV>
            <wp:extent cx="699770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09"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9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Shares purchased</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w w:val="98"/>
              </w:rPr>
              <w:t>Total consideration</w:t>
            </w:r>
          </w:p>
        </w:tc>
        <w:tc>
          <w:tcPr>
            <w:tcW w:w="1580" w:type="dxa"/>
            <w:vAlign w:val="bottom"/>
            <w:gridSpan w:val="2"/>
          </w:tcPr>
          <w:p>
            <w:pPr>
              <w:ind w:left="360"/>
              <w:spacing w:after="0"/>
              <w:rPr>
                <w:sz w:val="20"/>
                <w:szCs w:val="20"/>
                <w:color w:val="auto"/>
              </w:rPr>
            </w:pPr>
            <w:r>
              <w:rPr>
                <w:rFonts w:ascii="Arial" w:cs="Arial" w:eastAsia="Arial" w:hAnsi="Arial"/>
                <w:sz w:val="18"/>
                <w:szCs w:val="18"/>
                <w:b w:val="1"/>
                <w:bCs w:val="1"/>
                <w:color w:val="auto"/>
              </w:rPr>
              <w:t>Average price</w:t>
            </w: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Number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7"/>
              </w:rPr>
              <w:t>Amount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8"/>
              </w:rPr>
              <w:t>per share</w:t>
            </w: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 before this offering</w:t>
            </w:r>
          </w:p>
        </w:tc>
        <w:tc>
          <w:tcPr>
            <w:tcW w:w="11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42,902,309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302,379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w:t>
            </w:r>
          </w:p>
        </w:tc>
      </w:tr>
      <w:tr>
        <w:trPr>
          <w:trHeight w:val="210"/>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Investors participating in this offering</w:t>
            </w:r>
          </w:p>
        </w:tc>
        <w:tc>
          <w:tcPr>
            <w:tcW w:w="11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14,000,000</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460" w:type="dxa"/>
            <w:vAlign w:val="bottom"/>
            <w:tcBorders>
              <w:bottom w:val="single" w:sz="8" w:color="auto"/>
            </w:tcBorders>
            <w:gridSpan w:val="2"/>
          </w:tcPr>
          <w:p>
            <w:pPr>
              <w:ind w:left="3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238,000</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c>
          <w:tcPr>
            <w:tcW w:w="50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17.00</w:t>
            </w: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1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56,902,309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540,379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number of shares of common stock to be outstanding after this offering is based on the number of shares outstanding as of</w:t>
      </w:r>
    </w:p>
    <w:p>
      <w:pPr>
        <w:ind w:left="200"/>
        <w:spacing w:after="0"/>
        <w:rPr>
          <w:sz w:val="20"/>
          <w:szCs w:val="20"/>
          <w:color w:val="auto"/>
        </w:rPr>
      </w:pPr>
      <w:r>
        <w:rPr>
          <w:rFonts w:ascii="Arial" w:cs="Arial" w:eastAsia="Arial" w:hAnsi="Arial"/>
          <w:sz w:val="18"/>
          <w:szCs w:val="18"/>
          <w:color w:val="auto"/>
        </w:rPr>
        <w:t>September 30, 2019 and excludes the following:</w:t>
      </w:r>
    </w:p>
    <w:p>
      <w:pPr>
        <w:spacing w:after="0" w:line="117" w:lineRule="exact"/>
        <w:rPr>
          <w:sz w:val="20"/>
          <w:szCs w:val="20"/>
          <w:color w:val="auto"/>
        </w:rPr>
      </w:pPr>
    </w:p>
    <w:p>
      <w:pPr>
        <w:ind w:left="420" w:right="140" w:hanging="216"/>
        <w:spacing w:after="0" w:line="239"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4,670,745 shares of common stock issuable upon the exercise of outstanding stock options as of September 30, 2019 having a weighted-average exercise price of $3.36 per share;</w:t>
      </w:r>
    </w:p>
    <w:p>
      <w:pPr>
        <w:spacing w:after="0" w:line="114" w:lineRule="exact"/>
        <w:rPr>
          <w:rFonts w:ascii="Arial" w:cs="Arial" w:eastAsia="Arial" w:hAnsi="Arial"/>
          <w:sz w:val="18"/>
          <w:szCs w:val="18"/>
          <w:color w:val="auto"/>
        </w:rPr>
      </w:pPr>
    </w:p>
    <w:p>
      <w:pPr>
        <w:ind w:left="420" w:right="640" w:hanging="216"/>
        <w:spacing w:after="0" w:line="239"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277,012 shares of common stock issuable upon the exercise of stock options granted after September 30, 2019 having a weighted-average exercise price of $7.50 per share;</w:t>
      </w:r>
    </w:p>
    <w:p>
      <w:pPr>
        <w:spacing w:after="0" w:line="114" w:lineRule="exact"/>
        <w:rPr>
          <w:rFonts w:ascii="Arial" w:cs="Arial" w:eastAsia="Arial" w:hAnsi="Arial"/>
          <w:sz w:val="18"/>
          <w:szCs w:val="18"/>
          <w:color w:val="auto"/>
        </w:rPr>
      </w:pPr>
    </w:p>
    <w:p>
      <w:pPr>
        <w:ind w:left="420" w:right="40" w:hanging="216"/>
        <w:spacing w:after="0" w:line="238"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1,041,448 shares of common stock reserved for issuance pursuant to future awards under our 2014 Equity Incentive Plan, as amended, as of September 30, 2019, which became available for issuance under our 2020 Incentive Award Plan on the day prior to the effectiveness of the registration statement to which this prospectus relates;</w:t>
      </w:r>
    </w:p>
    <w:p>
      <w:pPr>
        <w:spacing w:after="0" w:line="113" w:lineRule="exact"/>
        <w:rPr>
          <w:rFonts w:ascii="Arial" w:cs="Arial" w:eastAsia="Arial" w:hAnsi="Arial"/>
          <w:sz w:val="18"/>
          <w:szCs w:val="18"/>
          <w:color w:val="auto"/>
        </w:rPr>
      </w:pPr>
    </w:p>
    <w:p>
      <w:pPr>
        <w:ind w:left="420" w:right="100" w:hanging="216"/>
        <w:spacing w:after="0" w:line="236"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5,771,197 shares of common stock reserved for issuance pursuant to future awards under our 2020 Incentive Award Plan, as well as any automatic increases in the number of shares of our common stock reserved for future issuance under this plan, which became effective on the day prior to the effectiveness of the registration statement to which this prospectus relates, of which options to purchase 481,600 shares of common stock at an exercise price equal to the initial public offering price set forth on the cover of this prospectus have been granted coincident with this offering; and</w:t>
      </w:r>
    </w:p>
    <w:p>
      <w:pPr>
        <w:spacing w:after="0" w:line="116" w:lineRule="exact"/>
        <w:rPr>
          <w:rFonts w:ascii="Arial" w:cs="Arial" w:eastAsia="Arial" w:hAnsi="Arial"/>
          <w:sz w:val="18"/>
          <w:szCs w:val="18"/>
          <w:color w:val="auto"/>
        </w:rPr>
      </w:pPr>
    </w:p>
    <w:p>
      <w:pPr>
        <w:ind w:left="420" w:right="80" w:hanging="216"/>
        <w:spacing w:after="0" w:line="238"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528,959 shares of common stock reserved for issuance pursuant to future awards under our 2020 Employee Stock Purchase Plan, as well as any automatic increases in the number of shares of our common stock reserved for future issuance under this plan, which became effective on the day prior to the effectiveness of the registration statement to which this prospectus relates.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Selected consolidated financial data</w:t>
      </w:r>
    </w:p>
    <w:p>
      <w:pPr>
        <w:spacing w:after="0" w:line="140" w:lineRule="exact"/>
        <w:rPr>
          <w:sz w:val="20"/>
          <w:szCs w:val="20"/>
          <w:color w:val="auto"/>
        </w:rPr>
      </w:pPr>
    </w:p>
    <w:p>
      <w:pPr>
        <w:ind w:left="200" w:right="100"/>
        <w:spacing w:after="0" w:line="241" w:lineRule="auto"/>
        <w:rPr>
          <w:sz w:val="20"/>
          <w:szCs w:val="20"/>
          <w:color w:val="auto"/>
        </w:rPr>
      </w:pPr>
      <w:r>
        <w:rPr>
          <w:rFonts w:ascii="Arial" w:cs="Arial" w:eastAsia="Arial" w:hAnsi="Arial"/>
          <w:sz w:val="18"/>
          <w:szCs w:val="18"/>
          <w:i w:val="1"/>
          <w:iCs w:val="1"/>
          <w:color w:val="auto"/>
        </w:rPr>
        <w:t>The following tables summarize our selected consolidated financial data. You should read this data together with our consolidated financial statements and related notes appearing elsewhere in this prospectus and the information under the caption “Unaudited pro forma condensed combined financial statements” and “Management’s discussion and analysis of financial condition and results of operations.” The selected consolidated financial data in this section are not intended to replace the financial statements and are qualified in their entirety by the consolidated financial statements and related notes included elsewhere in this prospectus.</w:t>
      </w:r>
    </w:p>
    <w:p>
      <w:pPr>
        <w:spacing w:after="0" w:line="100"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We have derived the following selected consolidated statements of operations data for the years ended December 31, 2017 and 2018 (except for the pro forma net loss per share and the pro forma share information) and the balance sheet data as of December 31, 2017 and 2018 from our audited consolidated financial statements and related notes included elsewhere in this prospectus. The selected consolidated statements of operations data for the nine months ended September 30, 2018 and 2019 and the selected consolidated balance sheet data as of September 30, 2019 are derived from our unaudited interim consolidated financial statements included elsewhere in this prospectus. The unaudited interim financial statements have been prepared in accordance with generally accepted accounting principles in the United Stated and on the same basis as the audited consolidated financial statements and, in the opinion of management, reflect all adjustments, which include only normal recurring adjustments, necessary to state fairly our financial position as of September 30, 2019 and the results of operations for the nine months ended September 30, 2018 and 2019. On October 24, 2018, we acquired Warp Drive for total consideration valued at $69.0 million. Our consolidated financial statements included the results of operations of Warp Drive and estimated fair values of assets acquired and liabilities assumed commencing as of the acquisition date. Our historical results are not necessarily indicative of the results that may be expected in the future and results for the nine months ended September 30, 2019 are not necessarily indicative of results to be expected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9770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Year ended 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60" w:type="dxa"/>
            <w:vAlign w:val="bottom"/>
            <w:gridSpan w:val="12"/>
          </w:tcPr>
          <w:p>
            <w:pPr>
              <w:jc w:val="right"/>
              <w:ind w:right="6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6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Collaboration revenue, related party</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19,420</w:t>
            </w:r>
          </w:p>
        </w:tc>
        <w:tc>
          <w:tcPr>
            <w:tcW w:w="2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9,818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Collaboration revenue, other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w:t>
            </w: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20,165</w:t>
            </w:r>
          </w:p>
        </w:tc>
        <w:tc>
          <w:tcPr>
            <w:tcW w:w="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9,818</w:t>
            </w: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37,953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Research and development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26,586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51,084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32,903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4,543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9,410</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5,575</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operating expenses</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31,129</w:t>
            </w:r>
          </w:p>
        </w:tc>
        <w:tc>
          <w:tcPr>
            <w:tcW w:w="1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60,494</w:t>
            </w:r>
          </w:p>
        </w:tc>
        <w:tc>
          <w:tcPr>
            <w:tcW w:w="2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38,478</w:t>
            </w: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72,509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56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(31,129)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(40,329)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(28,660)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(34,556)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777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and other expense</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Change in fair value of redeemable convertible preferred stock liability</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other income (expense), net</w:t>
            </w: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(1,460)</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(1,790)</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60" w:type="dxa"/>
            <w:vAlign w:val="bottom"/>
            <w:gridSpan w:val="2"/>
          </w:tcPr>
          <w:p>
            <w:pPr>
              <w:spacing w:after="0" w:line="155" w:lineRule="exact"/>
              <w:rPr>
                <w:sz w:val="20"/>
                <w:szCs w:val="20"/>
                <w:color w:val="auto"/>
              </w:rPr>
            </w:pPr>
            <w:r>
              <w:rPr>
                <w:rFonts w:ascii="Arial" w:cs="Arial" w:eastAsia="Arial" w:hAnsi="Arial"/>
                <w:sz w:val="14"/>
                <w:szCs w:val="14"/>
                <w:color w:val="auto"/>
              </w:rPr>
              <w:t>Net loss</w:t>
            </w:r>
          </w:p>
        </w:tc>
        <w:tc>
          <w:tcPr>
            <w:tcW w:w="3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55" w:lineRule="exact"/>
              <w:rPr>
                <w:sz w:val="20"/>
                <w:szCs w:val="20"/>
                <w:color w:val="auto"/>
              </w:rPr>
            </w:pPr>
            <w:r>
              <w:rPr>
                <w:rFonts w:ascii="Arial" w:cs="Arial" w:eastAsia="Arial" w:hAnsi="Arial"/>
                <w:sz w:val="14"/>
                <w:szCs w:val="14"/>
                <w:color w:val="auto"/>
              </w:rPr>
              <w:t>(31,127)</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(41,789)</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55" w:lineRule="exact"/>
              <w:rPr>
                <w:sz w:val="20"/>
                <w:szCs w:val="20"/>
                <w:color w:val="auto"/>
              </w:rPr>
            </w:pPr>
            <w:r>
              <w:rPr>
                <w:rFonts w:ascii="Arial" w:cs="Arial" w:eastAsia="Arial" w:hAnsi="Arial"/>
                <w:sz w:val="14"/>
                <w:szCs w:val="14"/>
                <w:color w:val="auto"/>
              </w:rPr>
              <w:t>(30,450)</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(33,068)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convertible preferred stock dividends—undeclared and cumulative</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(3,763)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(4,512)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(9,987)</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60" w:type="dxa"/>
            <w:vAlign w:val="bottom"/>
            <w:gridSpan w:val="2"/>
          </w:tcPr>
          <w:p>
            <w:pPr>
              <w:spacing w:after="0" w:line="155" w:lineRule="exact"/>
              <w:rPr>
                <w:sz w:val="20"/>
                <w:szCs w:val="20"/>
                <w:color w:val="auto"/>
              </w:rPr>
            </w:pPr>
            <w:r>
              <w:rPr>
                <w:rFonts w:ascii="Arial" w:cs="Arial" w:eastAsia="Arial" w:hAnsi="Arial"/>
                <w:sz w:val="14"/>
                <w:szCs w:val="14"/>
                <w:color w:val="auto"/>
              </w:rPr>
              <w:t>Net loss attributable to common stockholders</w:t>
            </w:r>
          </w:p>
        </w:tc>
        <w:tc>
          <w:tcPr>
            <w:tcW w:w="3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55" w:lineRule="exact"/>
              <w:rPr>
                <w:sz w:val="20"/>
                <w:szCs w:val="20"/>
                <w:color w:val="auto"/>
              </w:rPr>
            </w:pPr>
            <w:r>
              <w:rPr>
                <w:rFonts w:ascii="Arial" w:cs="Arial" w:eastAsia="Arial" w:hAnsi="Arial"/>
                <w:sz w:val="14"/>
                <w:szCs w:val="14"/>
                <w:color w:val="auto"/>
              </w:rPr>
              <w:t>(34,890)</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(48,820)</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55" w:lineRule="exact"/>
              <w:rPr>
                <w:sz w:val="20"/>
                <w:szCs w:val="20"/>
                <w:color w:val="auto"/>
              </w:rPr>
            </w:pPr>
            <w:r>
              <w:rPr>
                <w:rFonts w:ascii="Arial" w:cs="Arial" w:eastAsia="Arial" w:hAnsi="Arial"/>
                <w:sz w:val="14"/>
                <w:szCs w:val="14"/>
                <w:color w:val="auto"/>
              </w:rPr>
              <w:t>(34,962)</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(43,055)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share attributable to common stockholders—basic and diluted(1)</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(21.24)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(15.77)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(15.81)</w:t>
            </w:r>
          </w:p>
        </w:tc>
        <w:tc>
          <w:tcPr>
            <w:tcW w:w="0" w:type="dxa"/>
            <w:vAlign w:val="bottom"/>
          </w:tcPr>
          <w:p>
            <w:pPr>
              <w:spacing w:after="0"/>
              <w:rPr>
                <w:sz w:val="1"/>
                <w:szCs w:val="1"/>
                <w:color w:val="auto"/>
              </w:rPr>
            </w:pPr>
          </w:p>
        </w:tc>
      </w:tr>
      <w:tr>
        <w:trPr>
          <w:trHeight w:val="155"/>
        </w:trPr>
        <w:tc>
          <w:tcPr>
            <w:tcW w:w="6560" w:type="dxa"/>
            <w:vAlign w:val="bottom"/>
            <w:gridSpan w:val="2"/>
          </w:tcPr>
          <w:p>
            <w:pPr>
              <w:spacing w:after="0" w:line="155" w:lineRule="exact"/>
              <w:rPr>
                <w:sz w:val="20"/>
                <w:szCs w:val="20"/>
                <w:color w:val="auto"/>
              </w:rPr>
            </w:pPr>
            <w:r>
              <w:rPr>
                <w:rFonts w:ascii="Arial" w:cs="Arial" w:eastAsia="Arial" w:hAnsi="Arial"/>
                <w:sz w:val="14"/>
                <w:szCs w:val="14"/>
                <w:color w:val="auto"/>
                <w:w w:val="99"/>
              </w:rPr>
              <w:t>Weighted-average shares used to compute net loss per share attributable to common stockholders—basic</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and diluted(1)</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w w:val="93"/>
              </w:rPr>
              <w:t>1,723,387</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2,298,820</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w w:val="93"/>
              </w:rPr>
              <w:t>2,217,159</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2,723,541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loss per share—basic and diluted(1)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69"/>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Weighted-average shares used in computing pro forma net loss per share—basic and diluted(1)</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23,163,260</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36,473,121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20" w:hanging="316"/>
        <w:spacing w:after="0" w:line="231"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the calculation of our basic and diluted net loss per share attributable to common stockholders, basic and diluted pro forma net loss per share and weighted-average number of shares used in the computation of the per share amounts, see Note 12 to our consolidated financial statements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69215</wp:posOffset>
            </wp:positionV>
            <wp:extent cx="699770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80" w:type="dxa"/>
            <w:vAlign w:val="bottom"/>
            <w:gridSpan w:val="3"/>
            <w:vMerge w:val="restart"/>
          </w:tcPr>
          <w:p>
            <w:pPr>
              <w:jc w:val="right"/>
              <w:ind w:right="66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55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80" w:type="dxa"/>
            <w:vAlign w:val="bottom"/>
            <w:gridSpan w:val="3"/>
            <w:vMerge w:val="continue"/>
          </w:tcPr>
          <w:p>
            <w:pPr>
              <w:spacing w:after="0"/>
              <w:rPr>
                <w:sz w:val="7"/>
                <w:szCs w:val="7"/>
                <w:color w:val="auto"/>
              </w:rPr>
            </w:pPr>
          </w:p>
        </w:tc>
        <w:tc>
          <w:tcPr>
            <w:tcW w:w="1360" w:type="dxa"/>
            <w:vAlign w:val="bottom"/>
            <w:gridSpan w:val="3"/>
            <w:vMerge w:val="restart"/>
          </w:tcPr>
          <w:p>
            <w:pPr>
              <w:jc w:val="center"/>
              <w:ind w:right="80"/>
              <w:spacing w:after="0" w:line="202" w:lineRule="exact"/>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55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Cash, cash equivalents and marketable securities</w:t>
            </w:r>
          </w:p>
        </w:tc>
        <w:tc>
          <w:tcPr>
            <w:tcW w:w="2660" w:type="dxa"/>
            <w:vAlign w:val="bottom"/>
            <w:gridSpan w:val="2"/>
          </w:tcPr>
          <w:p>
            <w:pPr>
              <w:jc w:val="right"/>
              <w:ind w:right="192"/>
              <w:spacing w:after="0" w:line="202" w:lineRule="exact"/>
              <w:rPr>
                <w:sz w:val="20"/>
                <w:szCs w:val="20"/>
                <w:color w:val="auto"/>
              </w:rPr>
            </w:pPr>
            <w:r>
              <w:rPr>
                <w:rFonts w:ascii="Arial" w:cs="Arial" w:eastAsia="Arial" w:hAnsi="Arial"/>
                <w:sz w:val="18"/>
                <w:szCs w:val="18"/>
                <w:color w:val="auto"/>
              </w:rPr>
              <w:t>$  9,079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  69,586</w:t>
            </w:r>
          </w:p>
        </w:tc>
        <w:tc>
          <w:tcPr>
            <w:tcW w:w="460" w:type="dxa"/>
            <w:vAlign w:val="bottom"/>
          </w:tcPr>
          <w:p>
            <w:pPr>
              <w:spacing w:after="0"/>
              <w:rPr>
                <w:sz w:val="17"/>
                <w:szCs w:val="17"/>
                <w:color w:val="auto"/>
              </w:rPr>
            </w:pPr>
          </w:p>
        </w:tc>
        <w:tc>
          <w:tcPr>
            <w:tcW w:w="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136,288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capital(1)</w:t>
            </w:r>
          </w:p>
        </w:tc>
        <w:tc>
          <w:tcPr>
            <w:tcW w:w="266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1,843</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54,879</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110,477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2660" w:type="dxa"/>
            <w:vAlign w:val="bottom"/>
            <w:gridSpan w:val="2"/>
          </w:tcPr>
          <w:p>
            <w:pPr>
              <w:jc w:val="right"/>
              <w:ind w:right="192"/>
              <w:spacing w:after="0" w:line="202" w:lineRule="exact"/>
              <w:rPr>
                <w:sz w:val="20"/>
                <w:szCs w:val="20"/>
                <w:color w:val="auto"/>
              </w:rPr>
            </w:pPr>
            <w:r>
              <w:rPr>
                <w:rFonts w:ascii="Arial" w:cs="Arial" w:eastAsia="Arial" w:hAnsi="Arial"/>
                <w:sz w:val="18"/>
                <w:szCs w:val="18"/>
                <w:color w:val="auto"/>
              </w:rPr>
              <w:t>15,077</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170,586</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234,745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266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10,546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73,927</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2660" w:type="dxa"/>
            <w:vAlign w:val="bottom"/>
            <w:gridSpan w:val="2"/>
          </w:tcPr>
          <w:p>
            <w:pPr>
              <w:jc w:val="right"/>
              <w:ind w:right="192"/>
              <w:spacing w:after="0" w:line="202" w:lineRule="exact"/>
              <w:rPr>
                <w:sz w:val="20"/>
                <w:szCs w:val="20"/>
                <w:color w:val="auto"/>
              </w:rPr>
            </w:pPr>
            <w:r>
              <w:rPr>
                <w:rFonts w:ascii="Arial" w:cs="Arial" w:eastAsia="Arial" w:hAnsi="Arial"/>
                <w:sz w:val="18"/>
                <w:szCs w:val="18"/>
                <w:color w:val="auto"/>
              </w:rPr>
              <w:t>72,248</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205,081</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305,114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66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(67,933)</w:t>
            </w:r>
          </w:p>
        </w:tc>
        <w:tc>
          <w:tcPr>
            <w:tcW w:w="15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(109,722)</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(142,790)</w:t>
            </w:r>
          </w:p>
        </w:tc>
        <w:tc>
          <w:tcPr>
            <w:tcW w:w="0" w:type="dxa"/>
            <w:vAlign w:val="bottom"/>
          </w:tcPr>
          <w:p>
            <w:pPr>
              <w:spacing w:after="0"/>
              <w:rPr>
                <w:sz w:val="1"/>
                <w:szCs w:val="1"/>
                <w:color w:val="auto"/>
              </w:rPr>
            </w:pPr>
          </w:p>
        </w:tc>
      </w:tr>
      <w:tr>
        <w:trPr>
          <w:trHeight w:val="215"/>
        </w:trPr>
        <w:tc>
          <w:tcPr>
            <w:tcW w:w="552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2660" w:type="dxa"/>
            <w:vAlign w:val="bottom"/>
            <w:gridSpan w:val="2"/>
          </w:tcPr>
          <w:p>
            <w:pPr>
              <w:jc w:val="right"/>
              <w:ind w:right="132"/>
              <w:spacing w:after="0"/>
              <w:rPr>
                <w:sz w:val="20"/>
                <w:szCs w:val="20"/>
                <w:color w:val="auto"/>
              </w:rPr>
            </w:pPr>
            <w:r>
              <w:rPr>
                <w:rFonts w:ascii="Arial" w:cs="Arial" w:eastAsia="Arial" w:hAnsi="Arial"/>
                <w:sz w:val="18"/>
                <w:szCs w:val="18"/>
                <w:color w:val="auto"/>
              </w:rPr>
              <w:t>(67,717)</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(108,422)</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(139,446)</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hanging="316"/>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Unaudited pro forma condensed combined financial statements</w:t>
      </w:r>
    </w:p>
    <w:p>
      <w:pPr>
        <w:spacing w:after="0" w:line="15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On October 24, 2018, Revolution Medicines, Inc. (the Company) acquired all outstanding shares of Warp Drive Bio, Inc. (Warp Drive), for total consideration valued at $69.0 million. Warp Drive was engaged in research involving the use of intracellular biologics to develop transformative medicines. Warp Drive’s business included a genome mining platform that was subject to a collaboration agreement with Hoffman-La Roche Ltd. (Roche) involving research in the area of neomorph antibiotics. The genome mining platform was accounted for as held for sale as of the acquisition date and was divested in January 2019.</w:t>
      </w:r>
    </w:p>
    <w:p>
      <w:pPr>
        <w:spacing w:after="0" w:line="10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 xml:space="preserve">The acquisition of Warp Drive was accounted for as a business combination in accordance with Accounting Standards Codification Topic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(ASC 805). The Company’s management used its best estimates and assumptions to assign fair values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tangible and identifiable intangible assets acquired and liabilities assumed and related income tax impacts as of the acquisition date. Goodwill as of the acquisition date was measured as the excess of purchase consideration over the fair value of net tangible and identifiable intangible assets acquired.</w:t>
      </w:r>
    </w:p>
    <w:p>
      <w:pPr>
        <w:spacing w:after="0" w:line="103" w:lineRule="exact"/>
        <w:rPr>
          <w:sz w:val="20"/>
          <w:szCs w:val="20"/>
          <w:color w:val="auto"/>
        </w:rPr>
      </w:pPr>
    </w:p>
    <w:p>
      <w:pPr>
        <w:ind w:left="200" w:right="200"/>
        <w:spacing w:after="0" w:line="275" w:lineRule="auto"/>
        <w:rPr>
          <w:sz w:val="20"/>
          <w:szCs w:val="20"/>
          <w:color w:val="auto"/>
        </w:rPr>
      </w:pPr>
      <w:r>
        <w:rPr>
          <w:rFonts w:ascii="Arial" w:cs="Arial" w:eastAsia="Arial" w:hAnsi="Arial"/>
          <w:sz w:val="16"/>
          <w:szCs w:val="16"/>
          <w:color w:val="auto"/>
        </w:rPr>
        <w:t>The estimated purchase price consideration, as calculated and described in Note 2 to the unaudited pro forma condensed combined statement of operations, has been allocated to the tangible and intangible assets acquired and liabilities assumed based on their respective estimated fair values. The Company has made significant assumptions and estimates in determining the estimated purchase price consideration and the allocation of the estimated purchase price in the unaudited pro forma condensed combined statement of operations.</w:t>
      </w:r>
    </w:p>
    <w:p>
      <w:pPr>
        <w:spacing w:after="0" w:line="75" w:lineRule="exact"/>
        <w:rPr>
          <w:sz w:val="20"/>
          <w:szCs w:val="20"/>
          <w:color w:val="auto"/>
        </w:rPr>
      </w:pPr>
    </w:p>
    <w:p>
      <w:pPr>
        <w:ind w:left="200" w:right="520"/>
        <w:spacing w:after="0" w:line="236" w:lineRule="auto"/>
        <w:rPr>
          <w:sz w:val="20"/>
          <w:szCs w:val="20"/>
          <w:color w:val="auto"/>
        </w:rPr>
      </w:pPr>
      <w:r>
        <w:rPr>
          <w:rFonts w:ascii="Arial" w:cs="Arial" w:eastAsia="Arial" w:hAnsi="Arial"/>
          <w:sz w:val="18"/>
          <w:szCs w:val="18"/>
          <w:color w:val="auto"/>
        </w:rPr>
        <w:t>The following unaudited pro forma condensed combined statement of operations is based upon the historical consolidated statement of operations of the Company and statement of operations of Warp Drive after giving effect to the acquisition, and after applying the assumptions, reclassifications and adjustments described in the accompanying notes. The acquisition of Warp Drive has already been reflected in the Company’s historical audited consolidated balance sheet as of December 31, 2018. Therefore, no unaudited pro forma condensed combined balance sheet as of December 31, 2018 has been presented herein.</w:t>
      </w:r>
    </w:p>
    <w:p>
      <w:pPr>
        <w:spacing w:after="0" w:line="103" w:lineRule="exact"/>
        <w:rPr>
          <w:sz w:val="20"/>
          <w:szCs w:val="20"/>
          <w:color w:val="auto"/>
        </w:rPr>
      </w:pPr>
    </w:p>
    <w:p>
      <w:pPr>
        <w:ind w:left="200" w:right="400"/>
        <w:spacing w:after="0" w:line="264"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2018 is presented as if the acquisition had occurred on January 1, 2018. The historical consolidated statement of operations has been adjusted in the unaudited pro forma condensed combined statement of operations to give effect to pro forma events that are (1) directly attributable to the acquisition,</w:t>
      </w:r>
    </w:p>
    <w:p>
      <w:pPr>
        <w:spacing w:after="0" w:line="1" w:lineRule="exact"/>
        <w:rPr>
          <w:sz w:val="20"/>
          <w:szCs w:val="20"/>
          <w:color w:val="auto"/>
        </w:rPr>
      </w:pPr>
    </w:p>
    <w:p>
      <w:pPr>
        <w:ind w:left="200" w:right="40" w:firstLine="4"/>
        <w:spacing w:after="0" w:line="236" w:lineRule="auto"/>
        <w:tabs>
          <w:tab w:leader="none" w:pos="463"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factually supportable, and (3) expected to have a continuing impact on the combined results following the acquisition. The unaudited pro forma condensed combined statement of operations also reflects the effects of the disposal of the genome mining platform as if it had occurred on January 1, 2018. The unaudited pro forma condensed combined statement of operations should be read in conjunction with the accompanying notes thereto. In addition, the unaudited pro forma condensed combined statement of operations was based on and should be read in conjunction with the:</w:t>
      </w:r>
    </w:p>
    <w:p>
      <w:pPr>
        <w:spacing w:after="0" w:line="117" w:lineRule="exact"/>
        <w:rPr>
          <w:sz w:val="20"/>
          <w:szCs w:val="20"/>
          <w:color w:val="auto"/>
        </w:rPr>
      </w:pPr>
    </w:p>
    <w:p>
      <w:pPr>
        <w:ind w:left="420" w:right="560" w:hanging="216"/>
        <w:spacing w:after="0" w:line="239" w:lineRule="auto"/>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separate audited historical consolidated financial statements and accompanying notes of the Company as of and for the year ended December 31, 2018 included elsewhere in this prospectus;</w:t>
      </w:r>
    </w:p>
    <w:p>
      <w:pPr>
        <w:spacing w:after="0" w:line="114"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separate unaudited historical condensed financial statements and accompanying notes of Warp Drive as of and for the nine months ended September 30, 2018 and 2017 included elsewhere in this prospectus; and</w:t>
      </w:r>
    </w:p>
    <w:p>
      <w:pPr>
        <w:spacing w:after="0" w:line="114" w:lineRule="exact"/>
        <w:rPr>
          <w:rFonts w:ascii="Arial" w:cs="Arial" w:eastAsia="Arial" w:hAnsi="Arial"/>
          <w:sz w:val="18"/>
          <w:szCs w:val="18"/>
          <w:color w:val="auto"/>
        </w:rPr>
      </w:pPr>
    </w:p>
    <w:p>
      <w:pPr>
        <w:ind w:left="420" w:right="100" w:hanging="216"/>
        <w:spacing w:after="0" w:line="239" w:lineRule="auto"/>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separate audited historical financial statements and accompanying notes of Warp Drive as of and for the years ended December 31, 2017 and 2016 included elsewhere in this prospectus.</w:t>
      </w:r>
    </w:p>
    <w:p>
      <w:pPr>
        <w:spacing w:after="0" w:line="101"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The unaudited pro forma condensed combined statement of operations has been presented for informational purposes only. The pro forma information is not necessarily indicative of what the combined company’s results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operations actually would have been had the acquisition been completed as of the dates indicated or that may be achieved in the future.</w:t>
      </w:r>
    </w:p>
    <w:p>
      <w:pPr>
        <w:spacing w:after="0" w:line="1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the unaudited pro forma condensed combined statement of operations does not purport to project the future operating results of the combined company. The actual results reported by the combined company in periods following the acquisition may differ significantly from those reflected in these unaudited pro forma condensed combined statement of operations for a number of reasons, including cost savings from operating efficiencies, synergies, asset dispositions or restructuring that could result from the acquisition. There were no intercompany transactions between the Company and Warp Drive for the periods presented in the unaudited pro forma condensed combined statement of operations.</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Unaudited pro forma condensed combined statement of operations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 ended December 31, 2018</w:t>
      </w:r>
    </w:p>
    <w:p>
      <w:pPr>
        <w:ind w:left="2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w w:val="95"/>
              </w:rPr>
              <w:t>Historical</w:t>
            </w: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6"/>
              </w:rPr>
              <w:t>Warp Drive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6"/>
              </w:rPr>
              <w:t>Revolution</w:t>
            </w:r>
          </w:p>
        </w:tc>
        <w:tc>
          <w:tcPr>
            <w:tcW w:w="100" w:type="dxa"/>
            <w:vAlign w:val="bottom"/>
          </w:tcPr>
          <w:p>
            <w:pPr>
              <w:spacing w:after="0"/>
              <w:rPr>
                <w:sz w:val="17"/>
                <w:szCs w:val="17"/>
                <w:color w:val="auto"/>
              </w:rPr>
            </w:pPr>
          </w:p>
        </w:tc>
        <w:tc>
          <w:tcPr>
            <w:tcW w:w="11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7"/>
              </w:rPr>
              <w:t>for period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6"/>
              </w:rPr>
              <w:t>Medicines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4"/>
              </w:rPr>
              <w:t>from</w:t>
            </w:r>
          </w:p>
        </w:tc>
        <w:tc>
          <w:tcPr>
            <w:tcW w:w="100" w:type="dxa"/>
            <w:vAlign w:val="bottom"/>
          </w:tcPr>
          <w:p>
            <w:pPr>
              <w:spacing w:after="0"/>
              <w:rPr>
                <w:sz w:val="17"/>
                <w:szCs w:val="17"/>
                <w:color w:val="auto"/>
              </w:rPr>
            </w:pPr>
          </w:p>
        </w:tc>
        <w:tc>
          <w:tcPr>
            <w:tcW w:w="92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Genome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7"/>
              </w:rPr>
              <w:t>for the year</w:t>
            </w:r>
          </w:p>
        </w:tc>
        <w:tc>
          <w:tcPr>
            <w:tcW w:w="100" w:type="dxa"/>
            <w:vAlign w:val="bottom"/>
          </w:tcPr>
          <w:p>
            <w:pPr>
              <w:spacing w:after="0"/>
              <w:rPr>
                <w:sz w:val="17"/>
                <w:szCs w:val="17"/>
                <w:color w:val="auto"/>
              </w:rPr>
            </w:pPr>
          </w:p>
        </w:tc>
        <w:tc>
          <w:tcPr>
            <w:tcW w:w="11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6"/>
              </w:rPr>
              <w:t>January 1,</w:t>
            </w:r>
          </w:p>
        </w:tc>
        <w:tc>
          <w:tcPr>
            <w:tcW w:w="100" w:type="dxa"/>
            <w:vAlign w:val="bottom"/>
          </w:tcPr>
          <w:p>
            <w:pPr>
              <w:spacing w:after="0"/>
              <w:rPr>
                <w:sz w:val="17"/>
                <w:szCs w:val="17"/>
                <w:color w:val="auto"/>
              </w:rPr>
            </w:pPr>
          </w:p>
        </w:tc>
        <w:tc>
          <w:tcPr>
            <w:tcW w:w="92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4"/>
              </w:rPr>
              <w:t>mining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6"/>
              </w:rPr>
              <w:t>2018 to</w:t>
            </w:r>
          </w:p>
        </w:tc>
        <w:tc>
          <w:tcPr>
            <w:tcW w:w="100" w:type="dxa"/>
            <w:vAlign w:val="bottom"/>
          </w:tcPr>
          <w:p>
            <w:pPr>
              <w:spacing w:after="0"/>
              <w:rPr>
                <w:sz w:val="17"/>
                <w:szCs w:val="17"/>
                <w:color w:val="auto"/>
              </w:rPr>
            </w:pPr>
          </w:p>
        </w:tc>
        <w:tc>
          <w:tcPr>
            <w:tcW w:w="92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platform</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2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rPr>
              <w:t>December 31,</w:t>
            </w:r>
          </w:p>
        </w:tc>
        <w:tc>
          <w:tcPr>
            <w:tcW w:w="124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rPr>
              <w:t>October 23,</w:t>
            </w:r>
          </w:p>
        </w:tc>
        <w:tc>
          <w:tcPr>
            <w:tcW w:w="100" w:type="dxa"/>
            <w:vAlign w:val="bottom"/>
          </w:tcPr>
          <w:p>
            <w:pPr>
              <w:spacing w:after="0"/>
              <w:rPr>
                <w:sz w:val="17"/>
                <w:szCs w:val="17"/>
                <w:color w:val="auto"/>
              </w:rPr>
            </w:pPr>
          </w:p>
        </w:tc>
        <w:tc>
          <w:tcPr>
            <w:tcW w:w="9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disposal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w w:val="94"/>
              </w:rPr>
              <w:t>Pro forma</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w w:val="96"/>
              </w:rPr>
              <w:t>Pro forma</w:t>
            </w:r>
          </w:p>
        </w:tc>
      </w:tr>
      <w:tr>
        <w:trPr>
          <w:trHeight w:val="235"/>
        </w:trPr>
        <w:tc>
          <w:tcPr>
            <w:tcW w:w="2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9"/>
              </w:rPr>
              <w:t>2018</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4"/>
              </w:rPr>
              <w:t>2018</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(Note 3a)</w:t>
            </w:r>
          </w:p>
        </w:tc>
        <w:tc>
          <w:tcPr>
            <w:tcW w:w="13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adjustments</w:t>
            </w: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Note 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6"/>
              </w:rPr>
              <w:t>combined</w:t>
            </w:r>
          </w:p>
        </w:tc>
      </w:tr>
      <w:tr>
        <w:trPr>
          <w:trHeight w:val="48"/>
        </w:trPr>
        <w:tc>
          <w:tcPr>
            <w:tcW w:w="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Collaboration revenue, related party</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19,420</w:t>
            </w:r>
          </w:p>
        </w:tc>
        <w:tc>
          <w:tcPr>
            <w:tcW w:w="160" w:type="dxa"/>
            <w:vAlign w:val="bottom"/>
          </w:tcPr>
          <w:p>
            <w:pPr>
              <w:spacing w:after="0"/>
              <w:rPr>
                <w:sz w:val="17"/>
                <w:szCs w:val="17"/>
                <w:color w:val="auto"/>
              </w:rPr>
            </w:pPr>
          </w:p>
        </w:tc>
        <w:tc>
          <w:tcPr>
            <w:tcW w:w="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c>
          <w:tcPr>
            <w:tcW w:w="160" w:type="dxa"/>
            <w:vAlign w:val="bottom"/>
          </w:tcPr>
          <w:p>
            <w:pPr>
              <w:spacing w:after="0"/>
              <w:rPr>
                <w:sz w:val="17"/>
                <w:szCs w:val="17"/>
                <w:color w:val="auto"/>
              </w:rPr>
            </w:pPr>
          </w:p>
        </w:tc>
        <w:tc>
          <w:tcPr>
            <w:tcW w:w="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ind w:left="140"/>
              <w:spacing w:after="0" w:line="202" w:lineRule="exact"/>
              <w:rPr>
                <w:sz w:val="20"/>
                <w:szCs w:val="20"/>
                <w:color w:val="auto"/>
              </w:rPr>
            </w:pPr>
            <w:r>
              <w:rPr>
                <w:rFonts w:ascii="Arial" w:cs="Arial" w:eastAsia="Arial" w:hAnsi="Arial"/>
                <w:sz w:val="18"/>
                <w:szCs w:val="18"/>
                <w:color w:val="auto"/>
              </w:rPr>
              <w:t>b</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20,302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Collaboration revenue,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Grant revenue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(464)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20,165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20,302</w:t>
            </w:r>
          </w:p>
        </w:tc>
        <w:tc>
          <w:tcPr>
            <w:tcW w:w="120" w:type="dxa"/>
            <w:vAlign w:val="bottom"/>
            <w:shd w:val="clear" w:color="auto" w:fill="CCEEFF"/>
          </w:tcPr>
          <w:p>
            <w:pPr>
              <w:spacing w:after="0"/>
              <w:rPr>
                <w:sz w:val="17"/>
                <w:szCs w:val="17"/>
                <w:color w:val="auto"/>
              </w:rPr>
            </w:pP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(300)   c &amp; e &amp; g</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62,379</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9,410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(1,693)</w:t>
            </w:r>
          </w:p>
        </w:tc>
        <w:tc>
          <w:tcPr>
            <w:tcW w:w="960" w:type="dxa"/>
            <w:vAlign w:val="bottom"/>
          </w:tcPr>
          <w:p>
            <w:pPr>
              <w:ind w:left="140"/>
              <w:spacing w:after="0" w:line="202" w:lineRule="exact"/>
              <w:rPr>
                <w:sz w:val="20"/>
                <w:szCs w:val="20"/>
                <w:color w:val="auto"/>
              </w:rPr>
            </w:pPr>
            <w:r>
              <w:rPr>
                <w:rFonts w:ascii="Arial" w:cs="Arial" w:eastAsia="Arial" w:hAnsi="Arial"/>
                <w:sz w:val="18"/>
                <w:szCs w:val="18"/>
                <w:color w:val="auto"/>
              </w:rPr>
              <w:t>d &amp; 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13,719</w:t>
            </w:r>
          </w:p>
        </w:tc>
        <w:tc>
          <w:tcPr>
            <w:tcW w:w="12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(1,993)</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76,098</w:t>
            </w:r>
          </w:p>
        </w:tc>
        <w:tc>
          <w:tcPr>
            <w:tcW w:w="120" w:type="dxa"/>
            <w:vAlign w:val="bottom"/>
            <w:shd w:val="clear" w:color="auto" w:fill="CCEEFF"/>
          </w:tcPr>
          <w:p>
            <w:pPr>
              <w:spacing w:after="0"/>
              <w:rPr>
                <w:sz w:val="17"/>
                <w:szCs w:val="17"/>
                <w:color w:val="auto"/>
              </w:rPr>
            </w:pPr>
          </w:p>
        </w:tc>
      </w:tr>
      <w:tr>
        <w:trPr>
          <w:trHeight w:val="20"/>
        </w:trPr>
        <w:tc>
          <w:tcPr>
            <w:tcW w:w="3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39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(40,329)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(16,934)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1,993</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(55,796)</w:t>
            </w:r>
          </w:p>
        </w:tc>
      </w:tr>
      <w:tr>
        <w:trPr>
          <w:trHeight w:val="56"/>
        </w:trPr>
        <w:tc>
          <w:tcPr>
            <w:tcW w:w="39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Gain on restructuring of debt, related party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(5,054)</w:t>
            </w:r>
          </w:p>
        </w:tc>
        <w:tc>
          <w:tcPr>
            <w:tcW w:w="960" w:type="dxa"/>
            <w:vAlign w:val="bottom"/>
          </w:tcPr>
          <w:p>
            <w:pPr>
              <w:ind w:left="140"/>
              <w:spacing w:after="0" w:line="202" w:lineRule="exact"/>
              <w:rPr>
                <w:sz w:val="20"/>
                <w:szCs w:val="20"/>
                <w:color w:val="auto"/>
              </w:rPr>
            </w:pPr>
            <w:r>
              <w:rPr>
                <w:rFonts w:ascii="Arial" w:cs="Arial" w:eastAsia="Arial" w:hAnsi="Arial"/>
                <w:sz w:val="18"/>
                <w:szCs w:val="18"/>
                <w:color w:val="auto"/>
              </w:rPr>
              <w:t>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1,099</w:t>
            </w:r>
          </w:p>
        </w:tc>
        <w:tc>
          <w:tcPr>
            <w:tcW w:w="180" w:type="dxa"/>
            <w:vAlign w:val="bottom"/>
          </w:tcPr>
          <w:p>
            <w:pPr>
              <w:spacing w:after="0"/>
              <w:rPr>
                <w:sz w:val="17"/>
                <w:szCs w:val="17"/>
                <w:color w:val="auto"/>
              </w:rPr>
            </w:pPr>
          </w:p>
        </w:tc>
        <w:tc>
          <w:tcPr>
            <w:tcW w:w="960" w:type="dxa"/>
            <w:vAlign w:val="bottom"/>
          </w:tcPr>
          <w:p>
            <w:pPr>
              <w:ind w:left="140"/>
              <w:spacing w:after="0" w:line="202" w:lineRule="exact"/>
              <w:rPr>
                <w:sz w:val="20"/>
                <w:szCs w:val="20"/>
                <w:color w:val="auto"/>
              </w:rPr>
            </w:pPr>
            <w:r>
              <w:rPr>
                <w:rFonts w:ascii="Arial" w:cs="Arial" w:eastAsia="Arial" w:hAnsi="Arial"/>
                <w:sz w:val="18"/>
                <w:szCs w:val="18"/>
                <w:color w:val="auto"/>
              </w:rPr>
              <w:t>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r>
      <w:tr>
        <w:trPr>
          <w:trHeight w:val="206"/>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w w:val="99"/>
              </w:rPr>
              <w:t>Change in fair value of redeemable convertible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2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preferred stock liability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(2,121)</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(3,955)</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(1,355)</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(41,789)</w:t>
            </w:r>
          </w:p>
        </w:tc>
        <w:tc>
          <w:tcPr>
            <w:tcW w:w="2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(12,874)</w:t>
            </w:r>
          </w:p>
        </w:tc>
        <w:tc>
          <w:tcPr>
            <w:tcW w:w="2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(526)</w:t>
            </w: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(1,962)</w:t>
            </w:r>
          </w:p>
        </w:tc>
        <w:tc>
          <w:tcPr>
            <w:tcW w:w="9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h</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(57,151)</w:t>
            </w:r>
          </w:p>
        </w:tc>
      </w:tr>
      <w:tr>
        <w:trPr>
          <w:trHeight w:val="213"/>
        </w:trPr>
        <w:tc>
          <w:tcPr>
            <w:tcW w:w="394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920" w:type="dxa"/>
            <w:vAlign w:val="bottom"/>
          </w:tcPr>
          <w:p>
            <w:pPr>
              <w:ind w:left="200"/>
              <w:spacing w:after="0" w:line="200" w:lineRule="exact"/>
              <w:rPr>
                <w:sz w:val="20"/>
                <w:szCs w:val="20"/>
                <w:color w:val="auto"/>
              </w:rPr>
            </w:pPr>
            <w:r>
              <w:rPr>
                <w:rFonts w:ascii="Arial" w:cs="Arial" w:eastAsia="Arial" w:hAnsi="Arial"/>
                <w:sz w:val="18"/>
                <w:szCs w:val="18"/>
                <w:color w:val="auto"/>
              </w:rPr>
              <w:t>dividends—undeclared and cumulative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(7,031)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(2,414)</w:t>
            </w:r>
          </w:p>
        </w:tc>
        <w:tc>
          <w:tcPr>
            <w:tcW w:w="960" w:type="dxa"/>
            <w:vAlign w:val="bottom"/>
          </w:tcPr>
          <w:p>
            <w:pPr>
              <w:ind w:left="140"/>
              <w:spacing w:after="0" w:line="200"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(9,445)</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(48,820)</w:t>
            </w:r>
          </w:p>
        </w:tc>
        <w:tc>
          <w:tcPr>
            <w:tcW w:w="2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(12,874)</w:t>
            </w:r>
          </w:p>
        </w:tc>
        <w:tc>
          <w:tcPr>
            <w:tcW w:w="2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(526)</w:t>
            </w: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(4,376)</w:t>
            </w:r>
          </w:p>
        </w:tc>
        <w:tc>
          <w:tcPr>
            <w:tcW w:w="9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(66,596)</w:t>
            </w:r>
          </w:p>
        </w:tc>
      </w:tr>
      <w:tr>
        <w:trPr>
          <w:trHeight w:val="213"/>
        </w:trPr>
        <w:tc>
          <w:tcPr>
            <w:tcW w:w="394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common</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3920" w:type="dxa"/>
            <w:vAlign w:val="bottom"/>
          </w:tcPr>
          <w:p>
            <w:pPr>
              <w:ind w:left="200"/>
              <w:spacing w:after="0" w:line="200" w:lineRule="exact"/>
              <w:rPr>
                <w:sz w:val="20"/>
                <w:szCs w:val="20"/>
                <w:color w:val="auto"/>
              </w:rPr>
            </w:pPr>
            <w:r>
              <w:rPr>
                <w:rFonts w:ascii="Arial" w:cs="Arial" w:eastAsia="Arial" w:hAnsi="Arial"/>
                <w:sz w:val="18"/>
                <w:szCs w:val="18"/>
                <w:color w:val="auto"/>
              </w:rPr>
              <w:t>stockholders—basic and diluted</w:t>
            </w:r>
          </w:p>
        </w:tc>
        <w:tc>
          <w:tcPr>
            <w:tcW w:w="200" w:type="dxa"/>
            <w:vAlign w:val="bottom"/>
            <w:gridSpan w:val="2"/>
          </w:tcPr>
          <w:p>
            <w:pPr>
              <w:ind w:left="100"/>
              <w:spacing w:after="0" w:line="200"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(21.24)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(28.97)</w:t>
            </w:r>
          </w:p>
        </w:tc>
      </w:tr>
      <w:tr>
        <w:trPr>
          <w:trHeight w:val="206"/>
        </w:trPr>
        <w:tc>
          <w:tcPr>
            <w:tcW w:w="20" w:type="dxa"/>
            <w:vAlign w:val="bottom"/>
          </w:tcPr>
          <w:p>
            <w:pPr>
              <w:spacing w:after="0"/>
              <w:rPr>
                <w:sz w:val="17"/>
                <w:szCs w:val="17"/>
                <w:color w:val="auto"/>
              </w:rPr>
            </w:pPr>
          </w:p>
        </w:tc>
        <w:tc>
          <w:tcPr>
            <w:tcW w:w="39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 average shares used to compute net</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per share attributable to common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stockholders—basic and diluted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2,298,820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2,298,820</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See accompanying notes to unaudited pro forma condensed combined statement of operations.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1060"/>
        <w:spacing w:after="0" w:line="260"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 1. Description of transaction and basis of presentation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124"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In October 2018, the Company acquired all outstanding shares of Warp Drive in exchange for issuing 6,797,915 shares of its Series B redeemable convertible preferred stock and cash. Warp Drive, based in Cambridge, Massachusetts, was engaged in research involving the use of intracellular biologics to develop transformative medicines.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The following unaudited pro forma combined statement of operations for the year ended December 31, 2018 is presented to give effect to the Company’s acquisition of Warp Drive on October 24, 2018 for total consideration valued at $69.0 million. The unaudited pro forma condensed combined statement of operations was prepared in accordance with Article 11 of Regulation S-X.</w:t>
      </w:r>
    </w:p>
    <w:p>
      <w:pPr>
        <w:spacing w:after="0" w:line="100"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The acquisition of Warp Drive is accounted for as a business combination in accordance with ASC 805. The accounting standards define the term “fair value” and set forth the valuation requirements for any asset or liability measured at fair value, and specifies a hierarchy of valuation techniques based on the inputs used to develop the fair value measures. Management used its best estimates and assumptions to assign fair value to the tangible and intangible assets acquired and liabilities assumed at the acquisition date. Goodwill as of the acquisition date is measured as the excess of purchase consideration over the fair value of net tangible and identifiable intangible assets acquired.</w:t>
      </w:r>
    </w:p>
    <w:p>
      <w:pPr>
        <w:spacing w:after="0" w:line="75" w:lineRule="exact"/>
        <w:rPr>
          <w:sz w:val="20"/>
          <w:szCs w:val="20"/>
          <w:color w:val="auto"/>
        </w:rPr>
      </w:pPr>
    </w:p>
    <w:p>
      <w:pPr>
        <w:ind w:left="200" w:right="780"/>
        <w:spacing w:after="0" w:line="239"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2018 is presented as if the acquisition had occurred on January 1, 2018.</w:t>
      </w:r>
    </w:p>
    <w:p>
      <w:pPr>
        <w:spacing w:after="0" w:line="101" w:lineRule="exact"/>
        <w:rPr>
          <w:sz w:val="20"/>
          <w:szCs w:val="20"/>
          <w:color w:val="auto"/>
        </w:rPr>
      </w:pPr>
    </w:p>
    <w:p>
      <w:pPr>
        <w:ind w:left="200" w:right="660"/>
        <w:spacing w:after="0" w:line="238" w:lineRule="auto"/>
        <w:rPr>
          <w:sz w:val="20"/>
          <w:szCs w:val="20"/>
          <w:color w:val="auto"/>
        </w:rPr>
      </w:pPr>
      <w:r>
        <w:rPr>
          <w:rFonts w:ascii="Arial" w:cs="Arial" w:eastAsia="Arial" w:hAnsi="Arial"/>
          <w:sz w:val="18"/>
          <w:szCs w:val="18"/>
          <w:color w:val="auto"/>
        </w:rPr>
        <w:t>Under the acquisition method of accounting, acquisition-related transaction costs are not included as consideration transferred but are accounted for as expenses in the periods in which the costs are incurred. These costs are not presented in the unaudited pro forma condensed combined statement of operations because they will not have a continuing impact on the combined results.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 2. Purchase price consideration and allocation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 price consideration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a summary of the purchase price consideration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4"/>
          </w:tcPr>
          <w:p>
            <w:pPr>
              <w:ind w:left="2960"/>
              <w:spacing w:after="0"/>
              <w:rPr>
                <w:sz w:val="20"/>
                <w:szCs w:val="20"/>
                <w:color w:val="auto"/>
              </w:rPr>
            </w:pPr>
            <w:r>
              <w:rPr>
                <w:rFonts w:ascii="Arial" w:cs="Arial" w:eastAsia="Arial" w:hAnsi="Arial"/>
                <w:sz w:val="18"/>
                <w:szCs w:val="18"/>
                <w:b w:val="1"/>
                <w:bCs w:val="1"/>
                <w:color w:val="auto"/>
              </w:rPr>
              <w:t>(in thousands)</w:t>
            </w: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B redeemable convertible preferred stock</w:t>
            </w:r>
          </w:p>
        </w:tc>
        <w:tc>
          <w:tcPr>
            <w:tcW w:w="3340" w:type="dxa"/>
            <w:vAlign w:val="bottom"/>
            <w:gridSpan w:val="2"/>
            <w:shd w:val="clear" w:color="auto" w:fill="CCEEFF"/>
          </w:tcPr>
          <w:p>
            <w:pPr>
              <w:ind w:left="296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68,144</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Cash</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1,172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Contingently returnable consideration asset</w:t>
            </w:r>
          </w:p>
        </w:tc>
        <w:tc>
          <w:tcPr>
            <w:tcW w:w="2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(310)</w:t>
            </w:r>
          </w:p>
        </w:tc>
      </w:tr>
      <w:tr>
        <w:trPr>
          <w:trHeight w:val="222"/>
        </w:trPr>
        <w:tc>
          <w:tcPr>
            <w:tcW w:w="6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consideration</w:t>
            </w:r>
          </w:p>
        </w:tc>
        <w:tc>
          <w:tcPr>
            <w:tcW w:w="296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69,006</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The fair value of $10.03 per share of Series B redeemable convertible preferred stock was determined using a discounted cash flow model to estimate the value of the Company’s equity, and subsequently allocated to the Series B redeemable convertible preferred stock using an option pricing method.</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1060"/>
        <w:spacing w:after="0" w:line="260"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80"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The fair value of the contingently returnable consideration asset was determined using an income-based approach. The key assumptions used in determining the fair value are the discount rate and the probability assigned to the potential holdback.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Allocation of purchase price to assets acquired and liabilities assumed</w:t>
      </w:r>
    </w:p>
    <w:p>
      <w:pPr>
        <w:spacing w:after="0" w:line="124"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The following table summarizes the estimated fair values of assets acquired and liabilities assumed at the acquisition date, including those held for sale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10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4"/>
          </w:tcPr>
          <w:p>
            <w:pPr>
              <w:ind w:left="2640"/>
              <w:spacing w:after="0"/>
              <w:rPr>
                <w:sz w:val="20"/>
                <w:szCs w:val="20"/>
                <w:color w:val="auto"/>
              </w:rPr>
            </w:pPr>
            <w:r>
              <w:rPr>
                <w:rFonts w:ascii="Arial" w:cs="Arial" w:eastAsia="Arial" w:hAnsi="Arial"/>
                <w:sz w:val="18"/>
                <w:szCs w:val="18"/>
                <w:b w:val="1"/>
                <w:bCs w:val="1"/>
                <w:color w:val="auto"/>
              </w:rPr>
              <w:t>(in thousands)</w:t>
            </w:r>
          </w:p>
        </w:tc>
      </w:tr>
      <w:tr>
        <w:trPr>
          <w:trHeight w:val="48"/>
        </w:trPr>
        <w:tc>
          <w:tcPr>
            <w:tcW w:w="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Cash and other current assets</w:t>
            </w:r>
          </w:p>
        </w:tc>
        <w:tc>
          <w:tcPr>
            <w:tcW w:w="3020" w:type="dxa"/>
            <w:vAlign w:val="bottom"/>
            <w:gridSpan w:val="2"/>
          </w:tcPr>
          <w:p>
            <w:pPr>
              <w:ind w:left="26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1,594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55,800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technology—tri-complex platform</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Developed technology—genome mining platform</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assets acquired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73,125</w:t>
            </w:r>
          </w:p>
        </w:tc>
        <w:tc>
          <w:tcPr>
            <w:tcW w:w="60" w:type="dxa"/>
            <w:vAlign w:val="bottom"/>
            <w:shd w:val="clear" w:color="auto" w:fill="CCEEFF"/>
          </w:tcPr>
          <w:p>
            <w:pPr>
              <w:spacing w:after="0"/>
              <w:rPr>
                <w:sz w:val="17"/>
                <w:szCs w:val="17"/>
                <w:color w:val="auto"/>
              </w:rPr>
            </w:pPr>
          </w:p>
        </w:tc>
      </w:tr>
      <w:tr>
        <w:trPr>
          <w:trHeight w:val="270"/>
        </w:trPr>
        <w:tc>
          <w:tcPr>
            <w:tcW w:w="712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 and other accrued liabilities</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Convertible note payable, related party</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Deferred tax liability</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12,192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 assumed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18,727</w:t>
            </w:r>
          </w:p>
        </w:tc>
        <w:tc>
          <w:tcPr>
            <w:tcW w:w="60" w:type="dxa"/>
            <w:vAlign w:val="bottom"/>
            <w:shd w:val="clear" w:color="auto" w:fill="CCEEFF"/>
          </w:tcPr>
          <w:p>
            <w:pPr>
              <w:spacing w:after="0"/>
              <w:rPr>
                <w:sz w:val="17"/>
                <w:szCs w:val="17"/>
                <w:color w:val="auto"/>
              </w:rPr>
            </w:pPr>
          </w:p>
        </w:tc>
      </w:tr>
      <w:tr>
        <w:trPr>
          <w:trHeight w:val="210"/>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ind w:left="26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69,006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valuations of the IPR&amp;D—RAS programs and developed technology—genome mining platform were determined using the income approach, which discounts expected future cash flows to present value. The discount rates used were between 13% and 14%. The projected cash flows were based on key assumptions such as: estimates of revenues and operating profits related to each program or platform considering its stage of development on the acquisition date; the time and resources needed to complete the development and approval of product candidates; the life of the potential commercialized products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01"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Intangible assets associated with acquired IPR&amp;D relate to the RAS programs. Management determined that the estimated acquisition-date fair value of the intangible asset related to IPR&amp;D was $55.8 million, which was comprised of $44.1 million related to the KRAS</w:t>
      </w:r>
      <w:r>
        <w:rPr>
          <w:rFonts w:ascii="Arial" w:cs="Arial" w:eastAsia="Arial" w:hAnsi="Arial"/>
          <w:sz w:val="11"/>
          <w:szCs w:val="11"/>
          <w:color w:val="auto"/>
        </w:rPr>
        <w:t>G12C</w:t>
      </w:r>
      <w:r>
        <w:rPr>
          <w:rFonts w:ascii="Arial" w:cs="Arial" w:eastAsia="Arial" w:hAnsi="Arial"/>
          <w:sz w:val="18"/>
          <w:szCs w:val="18"/>
          <w:color w:val="auto"/>
        </w:rPr>
        <w:t xml:space="preserve"> program and $11.7 million related to the KRAS</w:t>
      </w:r>
      <w:r>
        <w:rPr>
          <w:rFonts w:ascii="Arial" w:cs="Arial" w:eastAsia="Arial" w:hAnsi="Arial"/>
          <w:sz w:val="11"/>
          <w:szCs w:val="11"/>
          <w:color w:val="auto"/>
        </w:rPr>
        <w:t>G12D</w:t>
      </w:r>
      <w:r>
        <w:rPr>
          <w:rFonts w:ascii="Arial" w:cs="Arial" w:eastAsia="Arial" w:hAnsi="Arial"/>
          <w:sz w:val="18"/>
          <w:szCs w:val="18"/>
          <w:color w:val="auto"/>
        </w:rPr>
        <w:t xml:space="preserve"> program. The KRAS</w:t>
      </w:r>
      <w:r>
        <w:rPr>
          <w:rFonts w:ascii="Arial" w:cs="Arial" w:eastAsia="Arial" w:hAnsi="Arial"/>
          <w:sz w:val="11"/>
          <w:szCs w:val="11"/>
          <w:color w:val="auto"/>
        </w:rPr>
        <w:t>G12C</w:t>
      </w:r>
      <w:r>
        <w:rPr>
          <w:rFonts w:ascii="Arial" w:cs="Arial" w:eastAsia="Arial" w:hAnsi="Arial"/>
          <w:sz w:val="18"/>
          <w:szCs w:val="18"/>
          <w:color w:val="auto"/>
        </w:rPr>
        <w:t xml:space="preserve"> and KRAS</w:t>
      </w:r>
      <w:r>
        <w:rPr>
          <w:rFonts w:ascii="Arial" w:cs="Arial" w:eastAsia="Arial" w:hAnsi="Arial"/>
          <w:sz w:val="11"/>
          <w:szCs w:val="11"/>
          <w:color w:val="auto"/>
        </w:rPr>
        <w:t>G12D</w:t>
      </w:r>
      <w:r>
        <w:rPr>
          <w:rFonts w:ascii="Arial" w:cs="Arial" w:eastAsia="Arial" w:hAnsi="Arial"/>
          <w:sz w:val="18"/>
          <w:szCs w:val="18"/>
          <w:color w:val="auto"/>
        </w:rPr>
        <w:t xml:space="preserve"> programs are each focused on developing inhibitors which target specific mutations of KRAS(ON) proteins. The acquired IPR&amp;D is considered to be an indefinite-lived asset until the completion or abandonment of the research and development efforts. The acquired IPR&amp;D will not be amortized until completion of the related products which is determined by when the underlying programs reach technological</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1020"/>
        <w:spacing w:after="0" w:line="260"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feasibility and commence commercial production. Upon completion, the acquired IPR&amp;D will be amortized over its useful life.</w:t>
      </w:r>
    </w:p>
    <w:p>
      <w:pPr>
        <w:spacing w:after="0" w:line="10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valuation of the developed technology—tri-complex platform was based on a replacement cost approach as the Company’s management intends to leverage the platform internally, but does not have the ability to assign a specific income stream to the asset. The tri-complex platform was accounted for as developed technology and is being amortized over 7 years.</w:t>
      </w:r>
    </w:p>
    <w:p>
      <w:pPr>
        <w:spacing w:after="0" w:line="100" w:lineRule="exact"/>
        <w:rPr>
          <w:sz w:val="20"/>
          <w:szCs w:val="20"/>
          <w:color w:val="auto"/>
        </w:rPr>
      </w:pPr>
    </w:p>
    <w:p>
      <w:pPr>
        <w:ind w:left="200" w:right="680"/>
        <w:spacing w:after="0" w:line="239" w:lineRule="auto"/>
        <w:rPr>
          <w:sz w:val="20"/>
          <w:szCs w:val="20"/>
          <w:color w:val="auto"/>
        </w:rPr>
      </w:pPr>
      <w:r>
        <w:rPr>
          <w:rFonts w:ascii="Arial" w:cs="Arial" w:eastAsia="Arial" w:hAnsi="Arial"/>
          <w:sz w:val="18"/>
          <w:szCs w:val="18"/>
          <w:color w:val="auto"/>
        </w:rPr>
        <w:t>The genome mining platform, including the associated Roche collaboration agreement, was accounted for as held for sale developed technology and was divested in January 2019.</w:t>
      </w:r>
    </w:p>
    <w:p>
      <w:pPr>
        <w:spacing w:after="0" w:line="101" w:lineRule="exact"/>
        <w:rPr>
          <w:sz w:val="20"/>
          <w:szCs w:val="20"/>
          <w:color w:val="auto"/>
        </w:rPr>
      </w:pPr>
    </w:p>
    <w:p>
      <w:pPr>
        <w:ind w:left="200" w:right="100"/>
        <w:spacing w:after="0" w:line="299" w:lineRule="auto"/>
        <w:rPr>
          <w:sz w:val="20"/>
          <w:szCs w:val="20"/>
          <w:color w:val="auto"/>
        </w:rPr>
      </w:pPr>
      <w:r>
        <w:rPr>
          <w:rFonts w:ascii="Arial" w:cs="Arial" w:eastAsia="Arial" w:hAnsi="Arial"/>
          <w:sz w:val="16"/>
          <w:szCs w:val="16"/>
          <w:color w:val="auto"/>
        </w:rPr>
        <w:t>The Company assumed a convertible promissory note of $2.0 million as part of the acquisition. Subsequent to the acquisition, at the Company’s election, the convertible promissory note was converted into 200,493 shares of Series B redeemable convertible preferred stock.</w:t>
      </w:r>
    </w:p>
    <w:p>
      <w:pPr>
        <w:spacing w:after="0" w:line="55"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Company recorded $14.6 million in goodwill associated with this acquisition, which relates to the establishment of a deferred tax liability for the non-deductible in-process research and development intangible assets acquired and synergies resulting from the acquisition. Goodwill will not be amortized but will be tested at least annually for impairment. Goodwill recognized in the acquisition is not expected to be deductible for tax purposes.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 3. Pro forma adjustments</w:t>
      </w:r>
    </w:p>
    <w:p>
      <w:pPr>
        <w:spacing w:after="0" w:line="134" w:lineRule="exact"/>
        <w:rPr>
          <w:sz w:val="20"/>
          <w:szCs w:val="20"/>
          <w:color w:val="auto"/>
        </w:rPr>
      </w:pPr>
    </w:p>
    <w:p>
      <w:pPr>
        <w:jc w:val="both"/>
        <w:ind w:left="200" w:right="560"/>
        <w:spacing w:after="0" w:line="299" w:lineRule="auto"/>
        <w:rPr>
          <w:sz w:val="20"/>
          <w:szCs w:val="20"/>
          <w:color w:val="auto"/>
        </w:rPr>
      </w:pPr>
      <w:r>
        <w:rPr>
          <w:rFonts w:ascii="Arial" w:cs="Arial" w:eastAsia="Arial" w:hAnsi="Arial"/>
          <w:sz w:val="16"/>
          <w:szCs w:val="16"/>
          <w:color w:val="auto"/>
        </w:rPr>
        <w:t>This note should be read in conjunction with “Note 1. Description of transaction and basis of presentation” and “Note 2. Purchase price consideration and allocation.” Adjustments included in the column under the heading “Pro Forma Adjustments” represent the following:</w:t>
      </w:r>
    </w:p>
    <w:p>
      <w:pPr>
        <w:spacing w:after="0" w:line="14" w:lineRule="exact"/>
        <w:rPr>
          <w:sz w:val="20"/>
          <w:szCs w:val="20"/>
          <w:color w:val="auto"/>
        </w:rPr>
      </w:pPr>
    </w:p>
    <w:p>
      <w:pPr>
        <w:ind w:left="640" w:right="20" w:hanging="436"/>
        <w:spacing w:after="0" w:line="236"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unaudited pro forma condensed combined statement of operations gives consideration to the impact of the genome mining platform disposition. In January 2019, the Company sold the genome mining platform and related Roche collaboration agreement acquired during the Warp Drive acquisition to Gingko Bioworks (Gingko). The adjustments reflect the elimination of the historical operating results of the genome mining platform for the year ended December 31, 2018 at the amounts that have been reflected in the Company’s and Warp Drive’s statements of operations for this period. These amounts are based on the best available information and certain assumptions that the Company’s management believe are reasonable, such as allocated resources. These amounts do not include allocations of corporate overhead expenses included in general and administrative expenses.</w:t>
      </w:r>
    </w:p>
    <w:p>
      <w:pPr>
        <w:spacing w:after="0" w:line="60" w:lineRule="exact"/>
        <w:rPr>
          <w:rFonts w:ascii="Arial" w:cs="Arial" w:eastAsia="Arial" w:hAnsi="Arial"/>
          <w:sz w:val="18"/>
          <w:szCs w:val="18"/>
          <w:color w:val="auto"/>
        </w:rPr>
      </w:pPr>
    </w:p>
    <w:p>
      <w:pPr>
        <w:jc w:val="both"/>
        <w:ind w:left="640" w:right="140" w:hanging="436"/>
        <w:spacing w:after="0" w:line="238"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Effective January 1, 2018, the Company adopted ASC 606. Warp Drive’s revenue recognition policy was in accordance with ASC 605. The Company evaluated the impact of aligning the revenue recognition policy for collaboration revenue, related party for Warp Drive to ASC 606 and determined the impact was not material.</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1060"/>
        <w:spacing w:after="0" w:line="260"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80" w:lineRule="exact"/>
        <w:rPr>
          <w:sz w:val="20"/>
          <w:szCs w:val="20"/>
          <w:color w:val="auto"/>
        </w:rPr>
      </w:pPr>
    </w:p>
    <w:p>
      <w:pPr>
        <w:ind w:left="640" w:hanging="43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record amortization expense associated with the acquired intangible assets (in thousands, except for 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Amortization for</w:t>
            </w:r>
          </w:p>
        </w:tc>
        <w:tc>
          <w:tcPr>
            <w:tcW w:w="24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the period from</w:t>
            </w:r>
          </w:p>
        </w:tc>
        <w:tc>
          <w:tcPr>
            <w:tcW w:w="24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Estimated</w:t>
            </w:r>
          </w:p>
        </w:tc>
        <w:tc>
          <w:tcPr>
            <w:tcW w:w="20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January 1, 2018 to</w:t>
            </w:r>
          </w:p>
        </w:tc>
        <w:tc>
          <w:tcPr>
            <w:tcW w:w="2400" w:type="dxa"/>
            <w:vAlign w:val="bottom"/>
          </w:tcPr>
          <w:p>
            <w:pPr>
              <w:jc w:val="center"/>
              <w:ind w:left="132"/>
              <w:spacing w:after="0" w:line="202" w:lineRule="exact"/>
              <w:rPr>
                <w:sz w:val="20"/>
                <w:szCs w:val="20"/>
                <w:color w:val="auto"/>
              </w:rPr>
            </w:pPr>
            <w:r>
              <w:rPr>
                <w:rFonts w:ascii="Arial" w:cs="Arial" w:eastAsia="Arial" w:hAnsi="Arial"/>
                <w:sz w:val="18"/>
                <w:szCs w:val="18"/>
                <w:b w:val="1"/>
                <w:bCs w:val="1"/>
                <w:color w:val="auto"/>
                <w:w w:val="97"/>
              </w:rPr>
              <w:t>Line item in statement of</w:t>
            </w:r>
          </w:p>
        </w:tc>
      </w:tr>
      <w:tr>
        <w:trPr>
          <w:trHeight w:val="221"/>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460" w:type="dxa"/>
            <w:vAlign w:val="bottom"/>
          </w:tcPr>
          <w:p>
            <w:pPr>
              <w:ind w:left="400"/>
              <w:spacing w:after="0"/>
              <w:rPr>
                <w:sz w:val="20"/>
                <w:szCs w:val="20"/>
                <w:color w:val="auto"/>
              </w:rPr>
            </w:pPr>
            <w:r>
              <w:rPr>
                <w:rFonts w:ascii="Arial" w:cs="Arial" w:eastAsia="Arial" w:hAnsi="Arial"/>
                <w:sz w:val="18"/>
                <w:szCs w:val="18"/>
                <w:b w:val="1"/>
                <w:bCs w:val="1"/>
                <w:color w:val="auto"/>
              </w:rPr>
              <w:t>Fair value</w:t>
            </w:r>
          </w:p>
        </w:tc>
        <w:tc>
          <w:tcPr>
            <w:tcW w:w="1320" w:type="dxa"/>
            <w:vAlign w:val="bottom"/>
          </w:tcPr>
          <w:p>
            <w:pPr>
              <w:jc w:val="right"/>
              <w:ind w:right="172"/>
              <w:spacing w:after="0"/>
              <w:rPr>
                <w:sz w:val="20"/>
                <w:szCs w:val="20"/>
                <w:color w:val="auto"/>
              </w:rPr>
            </w:pPr>
            <w:r>
              <w:rPr>
                <w:rFonts w:ascii="Arial" w:cs="Arial" w:eastAsia="Arial" w:hAnsi="Arial"/>
                <w:sz w:val="18"/>
                <w:szCs w:val="18"/>
                <w:b w:val="1"/>
                <w:bCs w:val="1"/>
                <w:color w:val="auto"/>
              </w:rPr>
              <w:t>useful life</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October 23,</w:t>
            </w: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2400" w:type="dxa"/>
            <w:vAlign w:val="bottom"/>
          </w:tcPr>
          <w:p>
            <w:pPr>
              <w:jc w:val="center"/>
              <w:ind w:left="132"/>
              <w:spacing w:after="0"/>
              <w:rPr>
                <w:sz w:val="20"/>
                <w:szCs w:val="20"/>
                <w:color w:val="auto"/>
              </w:rPr>
            </w:pPr>
            <w:r>
              <w:rPr>
                <w:rFonts w:ascii="Arial" w:cs="Arial" w:eastAsia="Arial" w:hAnsi="Arial"/>
                <w:sz w:val="18"/>
                <w:szCs w:val="18"/>
                <w:b w:val="1"/>
                <w:bCs w:val="1"/>
                <w:color w:val="auto"/>
                <w:w w:val="97"/>
              </w:rPr>
              <w:t>operations</w:t>
            </w:r>
          </w:p>
        </w:tc>
      </w:tr>
      <w:tr>
        <w:trPr>
          <w:trHeight w:val="196"/>
        </w:trPr>
        <w:tc>
          <w:tcPr>
            <w:tcW w:w="20" w:type="dxa"/>
            <w:vAlign w:val="bottom"/>
          </w:tcPr>
          <w:p>
            <w:pPr>
              <w:spacing w:after="0"/>
              <w:rPr>
                <w:sz w:val="17"/>
                <w:szCs w:val="17"/>
                <w:color w:val="auto"/>
              </w:rPr>
            </w:pPr>
          </w:p>
        </w:tc>
        <w:tc>
          <w:tcPr>
            <w:tcW w:w="38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technology—tri-complex platform</w:t>
            </w:r>
          </w:p>
        </w:tc>
        <w:tc>
          <w:tcPr>
            <w:tcW w:w="1460" w:type="dxa"/>
            <w:vAlign w:val="bottom"/>
            <w:tcBorders>
              <w:top w:val="single" w:sz="8" w:color="auto"/>
              <w:bottom w:val="single" w:sz="8" w:color="auto"/>
            </w:tcBorders>
            <w:shd w:val="clear" w:color="auto" w:fill="CCEEFF"/>
          </w:tcPr>
          <w:p>
            <w:pPr>
              <w:ind w:left="400"/>
              <w:spacing w:after="0" w:line="196" w:lineRule="exact"/>
              <w:rPr>
                <w:sz w:val="20"/>
                <w:szCs w:val="20"/>
                <w:color w:val="auto"/>
              </w:rPr>
            </w:pPr>
            <w:r>
              <w:rPr>
                <w:rFonts w:ascii="Arial" w:cs="Arial" w:eastAsia="Arial" w:hAnsi="Arial"/>
                <w:sz w:val="18"/>
                <w:szCs w:val="18"/>
                <w:color w:val="auto"/>
              </w:rPr>
              <w:t>$   7,480</w:t>
            </w:r>
          </w:p>
        </w:tc>
        <w:tc>
          <w:tcPr>
            <w:tcW w:w="1320" w:type="dxa"/>
            <w:vAlign w:val="bottom"/>
            <w:tcBorders>
              <w:top w:val="single" w:sz="8" w:color="auto"/>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7 years</w:t>
            </w:r>
          </w:p>
        </w:tc>
        <w:tc>
          <w:tcPr>
            <w:tcW w:w="1280" w:type="dxa"/>
            <w:vAlign w:val="bottom"/>
            <w:tcBorders>
              <w:top w:val="single" w:sz="8" w:color="auto"/>
              <w:bottom w:val="single" w:sz="8" w:color="auto"/>
            </w:tcBorders>
            <w:shd w:val="clear" w:color="auto" w:fill="CCEEFF"/>
          </w:tcPr>
          <w:p>
            <w:pPr>
              <w:jc w:val="right"/>
              <w:ind w:right="852"/>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867</w:t>
            </w:r>
          </w:p>
        </w:tc>
        <w:tc>
          <w:tcPr>
            <w:tcW w:w="2400" w:type="dxa"/>
            <w:vAlign w:val="bottom"/>
            <w:tcBorders>
              <w:top w:val="single" w:sz="8" w:color="auto"/>
              <w:bottom w:val="single" w:sz="8" w:color="auto"/>
            </w:tcBorders>
            <w:shd w:val="clear" w:color="auto" w:fill="CCEEFF"/>
          </w:tcPr>
          <w:p>
            <w:pPr>
              <w:jc w:val="center"/>
              <w:ind w:left="132"/>
              <w:spacing w:after="0" w:line="196" w:lineRule="exact"/>
              <w:rPr>
                <w:sz w:val="20"/>
                <w:szCs w:val="20"/>
                <w:color w:val="auto"/>
              </w:rPr>
            </w:pPr>
            <w:r>
              <w:rPr>
                <w:rFonts w:ascii="Arial" w:cs="Arial" w:eastAsia="Arial" w:hAnsi="Arial"/>
                <w:sz w:val="18"/>
                <w:szCs w:val="18"/>
                <w:color w:val="auto"/>
                <w:w w:val="97"/>
              </w:rPr>
              <w:t>Research and development</w:t>
            </w:r>
          </w:p>
        </w:tc>
      </w:tr>
    </w:tbl>
    <w:p>
      <w:pPr>
        <w:spacing w:after="0" w:line="71" w:lineRule="exact"/>
        <w:rPr>
          <w:sz w:val="20"/>
          <w:szCs w:val="20"/>
          <w:color w:val="auto"/>
        </w:rPr>
      </w:pPr>
    </w:p>
    <w:p>
      <w:pPr>
        <w:ind w:left="640" w:right="700" w:hanging="436"/>
        <w:spacing w:after="0" w:line="239"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eliminate transaction costs of $1.0 million that have been incurred by the Company and Warp Drive related to the Warp Drive acquisition included in general and administrative expenses.</w:t>
      </w:r>
    </w:p>
    <w:p>
      <w:pPr>
        <w:spacing w:after="0" w:line="60" w:lineRule="exact"/>
        <w:rPr>
          <w:rFonts w:ascii="Arial" w:cs="Arial" w:eastAsia="Arial" w:hAnsi="Arial"/>
          <w:sz w:val="18"/>
          <w:szCs w:val="18"/>
          <w:color w:val="auto"/>
        </w:rPr>
      </w:pPr>
    </w:p>
    <w:p>
      <w:pPr>
        <w:ind w:left="640" w:right="40" w:hanging="436"/>
        <w:spacing w:after="0" w:line="239"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eliminate historical depreciation expense and recognize new depreciation expense based on the fair value of property and equipment and the estimated remaining useful lives of assets acquired. Depreciation is calculated on a straight-line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360" w:type="dxa"/>
            <w:vAlign w:val="bottom"/>
            <w:gridSpan w:val="2"/>
          </w:tcPr>
          <w:p>
            <w:pPr>
              <w:jc w:val="center"/>
              <w:ind w:left="212"/>
              <w:spacing w:after="0"/>
              <w:rPr>
                <w:sz w:val="20"/>
                <w:szCs w:val="20"/>
                <w:color w:val="auto"/>
              </w:rPr>
            </w:pPr>
            <w:r>
              <w:rPr>
                <w:rFonts w:ascii="Arial" w:cs="Arial" w:eastAsia="Arial" w:hAnsi="Arial"/>
                <w:sz w:val="18"/>
                <w:szCs w:val="18"/>
                <w:b w:val="1"/>
                <w:bCs w:val="1"/>
                <w:color w:val="auto"/>
                <w:w w:val="97"/>
              </w:rPr>
              <w:t>Depreciation for</w:t>
            </w: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6"/>
              </w:rPr>
              <w:t>the period from</w:t>
            </w: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January 1, 2018</w:t>
            </w: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rPr>
              <w:t>to October 23,</w:t>
            </w:r>
          </w:p>
        </w:tc>
        <w:tc>
          <w:tcPr>
            <w:tcW w:w="2520" w:type="dxa"/>
            <w:vAlign w:val="bottom"/>
            <w:gridSpan w:val="2"/>
          </w:tcPr>
          <w:p>
            <w:pPr>
              <w:ind w:left="320"/>
              <w:spacing w:after="0" w:line="202" w:lineRule="exact"/>
              <w:rPr>
                <w:sz w:val="20"/>
                <w:szCs w:val="20"/>
                <w:color w:val="auto"/>
              </w:rPr>
            </w:pPr>
            <w:r>
              <w:rPr>
                <w:rFonts w:ascii="Arial" w:cs="Arial" w:eastAsia="Arial" w:hAnsi="Arial"/>
                <w:sz w:val="18"/>
                <w:szCs w:val="18"/>
                <w:b w:val="1"/>
                <w:bCs w:val="1"/>
                <w:color w:val="auto"/>
              </w:rPr>
              <w:t>Line item in statement of</w:t>
            </w:r>
          </w:p>
        </w:tc>
      </w:tr>
      <w:tr>
        <w:trPr>
          <w:trHeight w:val="221"/>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2360" w:type="dxa"/>
            <w:vAlign w:val="bottom"/>
            <w:gridSpan w:val="2"/>
          </w:tcPr>
          <w:p>
            <w:pPr>
              <w:jc w:val="center"/>
              <w:ind w:left="212"/>
              <w:spacing w:after="0"/>
              <w:rPr>
                <w:sz w:val="20"/>
                <w:szCs w:val="20"/>
                <w:color w:val="auto"/>
              </w:rPr>
            </w:pPr>
            <w:r>
              <w:rPr>
                <w:rFonts w:ascii="Arial" w:cs="Arial" w:eastAsia="Arial" w:hAnsi="Arial"/>
                <w:sz w:val="18"/>
                <w:szCs w:val="18"/>
                <w:b w:val="1"/>
                <w:bCs w:val="1"/>
                <w:color w:val="auto"/>
                <w:w w:val="94"/>
              </w:rPr>
              <w:t>2018</w:t>
            </w:r>
          </w:p>
        </w:tc>
        <w:tc>
          <w:tcPr>
            <w:tcW w:w="2520" w:type="dxa"/>
            <w:vAlign w:val="bottom"/>
            <w:gridSpan w:val="2"/>
          </w:tcPr>
          <w:p>
            <w:pPr>
              <w:ind w:left="900"/>
              <w:spacing w:after="0"/>
              <w:rPr>
                <w:sz w:val="20"/>
                <w:szCs w:val="20"/>
                <w:color w:val="auto"/>
              </w:rPr>
            </w:pPr>
            <w:r>
              <w:rPr>
                <w:rFonts w:ascii="Arial" w:cs="Arial" w:eastAsia="Arial" w:hAnsi="Arial"/>
                <w:sz w:val="18"/>
                <w:szCs w:val="18"/>
                <w:b w:val="1"/>
                <w:bCs w:val="1"/>
                <w:color w:val="auto"/>
              </w:rPr>
              <w:t>operations</w:t>
            </w:r>
          </w:p>
        </w:tc>
      </w:tr>
      <w:tr>
        <w:trPr>
          <w:trHeight w:val="196"/>
        </w:trPr>
        <w:tc>
          <w:tcPr>
            <w:tcW w:w="20" w:type="dxa"/>
            <w:vAlign w:val="bottom"/>
          </w:tcPr>
          <w:p>
            <w:pPr>
              <w:spacing w:after="0"/>
              <w:rPr>
                <w:sz w:val="17"/>
                <w:szCs w:val="17"/>
                <w:color w:val="auto"/>
              </w:rPr>
            </w:pPr>
          </w:p>
        </w:tc>
        <w:tc>
          <w:tcPr>
            <w:tcW w:w="6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(in thousands)</w:t>
            </w:r>
          </w:p>
        </w:tc>
        <w:tc>
          <w:tcPr>
            <w:tcW w:w="24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1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Elimination of historical depreciation expense for acquired property and</w:t>
            </w:r>
          </w:p>
        </w:tc>
        <w:tc>
          <w:tcPr>
            <w:tcW w:w="6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1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equipment</w:t>
            </w:r>
          </w:p>
        </w:tc>
        <w:tc>
          <w:tcPr>
            <w:tcW w:w="2360" w:type="dxa"/>
            <w:vAlign w:val="bottom"/>
            <w:gridSpan w:val="2"/>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(744)</w:t>
            </w:r>
          </w:p>
        </w:tc>
        <w:tc>
          <w:tcPr>
            <w:tcW w:w="2520" w:type="dxa"/>
            <w:vAlign w:val="bottom"/>
            <w:gridSpan w:val="2"/>
            <w:shd w:val="clear" w:color="auto" w:fill="CCEEFF"/>
          </w:tcPr>
          <w:p>
            <w:pPr>
              <w:ind w:left="300"/>
              <w:spacing w:after="0" w:line="200" w:lineRule="exact"/>
              <w:rPr>
                <w:sz w:val="20"/>
                <w:szCs w:val="20"/>
                <w:color w:val="auto"/>
              </w:rPr>
            </w:pPr>
            <w:r>
              <w:rPr>
                <w:rFonts w:ascii="Arial" w:cs="Arial" w:eastAsia="Arial" w:hAnsi="Arial"/>
                <w:sz w:val="18"/>
                <w:szCs w:val="18"/>
                <w:color w:val="auto"/>
                <w:w w:val="99"/>
              </w:rPr>
              <w:t>Research and development</w:t>
            </w:r>
          </w:p>
        </w:tc>
      </w:tr>
      <w:tr>
        <w:trPr>
          <w:trHeight w:val="210"/>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expense for acquired property and equipment</w:t>
            </w:r>
          </w:p>
        </w:tc>
        <w:tc>
          <w:tcPr>
            <w:tcW w:w="660" w:type="dxa"/>
            <w:vAlign w:val="bottom"/>
          </w:tcPr>
          <w:p>
            <w:pPr>
              <w:spacing w:after="0"/>
              <w:rPr>
                <w:sz w:val="18"/>
                <w:szCs w:val="18"/>
                <w:color w:val="auto"/>
              </w:rPr>
            </w:pPr>
          </w:p>
        </w:tc>
        <w:tc>
          <w:tcPr>
            <w:tcW w:w="170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rPr>
              <w:t>376</w:t>
            </w:r>
          </w:p>
        </w:tc>
        <w:tc>
          <w:tcPr>
            <w:tcW w:w="2460" w:type="dxa"/>
            <w:vAlign w:val="bottom"/>
            <w:tcBorders>
              <w:bottom w:val="single" w:sz="8" w:color="auto"/>
            </w:tcBorders>
          </w:tcPr>
          <w:p>
            <w:pPr>
              <w:ind w:left="300"/>
              <w:spacing w:after="0" w:line="202" w:lineRule="exact"/>
              <w:rPr>
                <w:sz w:val="20"/>
                <w:szCs w:val="20"/>
                <w:color w:val="auto"/>
              </w:rPr>
            </w:pPr>
            <w:r>
              <w:rPr>
                <w:rFonts w:ascii="Arial" w:cs="Arial" w:eastAsia="Arial" w:hAnsi="Arial"/>
                <w:sz w:val="18"/>
                <w:szCs w:val="18"/>
                <w:color w:val="auto"/>
                <w:w w:val="97"/>
              </w:rPr>
              <w:t>Research and development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depreciation expense adjustment</w:t>
            </w:r>
          </w:p>
        </w:tc>
        <w:tc>
          <w:tcPr>
            <w:tcW w:w="2360" w:type="dxa"/>
            <w:vAlign w:val="bottom"/>
            <w:tcBorders>
              <w:bottom w:val="single" w:sz="8" w:color="auto"/>
            </w:tcBorders>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(368)</w:t>
            </w:r>
          </w:p>
        </w:tc>
        <w:tc>
          <w:tcPr>
            <w:tcW w:w="24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bl>
    <w:p>
      <w:pPr>
        <w:spacing w:after="0" w:line="71" w:lineRule="exact"/>
        <w:rPr>
          <w:sz w:val="20"/>
          <w:szCs w:val="20"/>
          <w:color w:val="auto"/>
        </w:rPr>
      </w:pPr>
    </w:p>
    <w:p>
      <w:pPr>
        <w:ind w:left="640" w:right="80" w:hanging="436"/>
        <w:spacing w:after="0" w:line="238"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eliminate interest expense of $1.1 million and gain on the restructuring of debt of $5.1 million related to Warp Drive’s convertible note payable, which was converted into Warp Drive common stock immediately prior to the acquisition and subsequently converted into the Company’s Series B redeemable convertible preferred stock in connection with the acquisition.</w:t>
      </w:r>
    </w:p>
    <w:p>
      <w:pPr>
        <w:spacing w:after="0" w:line="59" w:lineRule="exact"/>
        <w:rPr>
          <w:rFonts w:ascii="Arial" w:cs="Arial" w:eastAsia="Arial" w:hAnsi="Arial"/>
          <w:sz w:val="18"/>
          <w:szCs w:val="18"/>
          <w:color w:val="auto"/>
        </w:rPr>
      </w:pPr>
    </w:p>
    <w:p>
      <w:pPr>
        <w:ind w:left="640" w:right="140" w:hanging="436"/>
        <w:spacing w:after="0" w:line="239"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eliminate severance costs of $1.4 million of certain Warp Drive employees recorded in the Company’s historical financial statements as a non-recurring charge directly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Severance</w:t>
            </w: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Line item in statement of operations</w:t>
            </w:r>
          </w:p>
        </w:tc>
        <w:tc>
          <w:tcPr>
            <w:tcW w:w="3380" w:type="dxa"/>
            <w:vAlign w:val="bottom"/>
          </w:tcPr>
          <w:p>
            <w:pPr>
              <w:spacing w:after="0"/>
              <w:rPr>
                <w:sz w:val="19"/>
                <w:szCs w:val="19"/>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costs</w:t>
            </w:r>
          </w:p>
        </w:tc>
      </w:tr>
      <w:tr>
        <w:trPr>
          <w:trHeight w:val="196"/>
        </w:trPr>
        <w:tc>
          <w:tcPr>
            <w:tcW w:w="20" w:type="dxa"/>
            <w:vAlign w:val="bottom"/>
          </w:tcPr>
          <w:p>
            <w:pPr>
              <w:spacing w:after="0"/>
              <w:rPr>
                <w:sz w:val="17"/>
                <w:szCs w:val="17"/>
                <w:color w:val="auto"/>
              </w:rPr>
            </w:pPr>
          </w:p>
        </w:tc>
        <w:tc>
          <w:tcPr>
            <w:tcW w:w="6360" w:type="dxa"/>
            <w:vAlign w:val="bottom"/>
            <w:tcBorders>
              <w:top w:val="single" w:sz="8" w:color="auto"/>
            </w:tcBorders>
          </w:tcPr>
          <w:p>
            <w:pPr>
              <w:spacing w:after="0"/>
              <w:rPr>
                <w:sz w:val="17"/>
                <w:szCs w:val="17"/>
                <w:color w:val="auto"/>
              </w:rPr>
            </w:pPr>
          </w:p>
        </w:tc>
        <w:tc>
          <w:tcPr>
            <w:tcW w:w="4660" w:type="dxa"/>
            <w:vAlign w:val="bottom"/>
            <w:tcBorders>
              <w:top w:val="single" w:sz="8" w:color="auto"/>
            </w:tcBorders>
            <w:gridSpan w:val="3"/>
          </w:tcPr>
          <w:p>
            <w:pPr>
              <w:jc w:val="center"/>
              <w:ind w:left="3232"/>
              <w:spacing w:after="0" w:line="196" w:lineRule="exact"/>
              <w:rPr>
                <w:sz w:val="20"/>
                <w:szCs w:val="20"/>
                <w:color w:val="auto"/>
              </w:rPr>
            </w:pPr>
            <w:r>
              <w:rPr>
                <w:rFonts w:ascii="Arial" w:cs="Arial" w:eastAsia="Arial" w:hAnsi="Arial"/>
                <w:sz w:val="18"/>
                <w:szCs w:val="18"/>
                <w:b w:val="1"/>
                <w:bCs w:val="1"/>
                <w:color w:val="auto"/>
                <w:w w:val="98"/>
              </w:rPr>
              <w:t>(in thousands)</w:t>
            </w: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4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c>
          <w:tcPr>
            <w:tcW w:w="60" w:type="dxa"/>
            <w:vAlign w:val="bottom"/>
            <w:shd w:val="clear" w:color="auto" w:fill="CCEEFF"/>
          </w:tcPr>
          <w:p>
            <w:pPr>
              <w:spacing w:after="0"/>
              <w:rPr>
                <w:sz w:val="17"/>
                <w:szCs w:val="17"/>
                <w:color w:val="auto"/>
              </w:rPr>
            </w:pPr>
          </w:p>
        </w:tc>
      </w:tr>
      <w:tr>
        <w:trPr>
          <w:trHeight w:val="210"/>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w:t>
            </w:r>
          </w:p>
        </w:tc>
        <w:tc>
          <w:tcPr>
            <w:tcW w:w="3380" w:type="dxa"/>
            <w:vAlign w:val="bottom"/>
          </w:tcPr>
          <w:p>
            <w:pPr>
              <w:spacing w:after="0"/>
              <w:rPr>
                <w:sz w:val="18"/>
                <w:szCs w:val="18"/>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severance costs</w:t>
            </w:r>
          </w:p>
        </w:tc>
        <w:tc>
          <w:tcPr>
            <w:tcW w:w="4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1,447</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1" w:lineRule="exact"/>
        <w:rPr>
          <w:sz w:val="20"/>
          <w:szCs w:val="20"/>
          <w:color w:val="auto"/>
        </w:rPr>
      </w:pPr>
    </w:p>
    <w:p>
      <w:pPr>
        <w:ind w:left="640" w:right="240" w:hanging="436"/>
        <w:spacing w:after="0" w:line="239"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pro forma adjustments have been made to the provision for income taxes as both the Company and Warp Drive have no provision for income taxes for the respective periods presented due to full valuation allowances.</w:t>
      </w:r>
    </w:p>
    <w:p>
      <w:pPr>
        <w:spacing w:after="0" w:line="60" w:lineRule="exact"/>
        <w:rPr>
          <w:rFonts w:ascii="Arial" w:cs="Arial" w:eastAsia="Arial" w:hAnsi="Arial"/>
          <w:sz w:val="18"/>
          <w:szCs w:val="18"/>
          <w:color w:val="auto"/>
        </w:rPr>
      </w:pPr>
    </w:p>
    <w:p>
      <w:pPr>
        <w:ind w:left="640" w:right="600" w:hanging="436"/>
        <w:spacing w:after="0" w:line="239"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record the redeemable convertible preferred stock dividends—undeclared and cumulative on Series B redeemable convertible preferred stock issued in connection with the acquisition as if the acquisition occurred on January 1, 2018.</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right="940"/>
        <w:spacing w:after="0" w:line="286"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line="9" w:lineRule="exact"/>
        <w:rPr>
          <w:sz w:val="20"/>
          <w:szCs w:val="20"/>
          <w:color w:val="auto"/>
        </w:rPr>
      </w:pPr>
    </w:p>
    <w:p>
      <w:pPr>
        <w:ind w:left="200" w:right="100"/>
        <w:spacing w:after="0" w:line="24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consolidated financial statements and the related notes included elsewhere in this prospectus. 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Overview</w:t>
      </w:r>
    </w:p>
    <w:p>
      <w:pPr>
        <w:spacing w:after="0" w:line="116"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 xml:space="preserve">We are a clinical-stage precision oncology company focused on developing novel targeted therapies to inhibit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within notorious growth and survival pathways, with particular emphasis on the RAS and mTOR signaling pathways. 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w:t>
      </w:r>
    </w:p>
    <w:p>
      <w:pPr>
        <w:spacing w:after="0" w:line="105" w:lineRule="exact"/>
        <w:rPr>
          <w:sz w:val="20"/>
          <w:szCs w:val="20"/>
          <w:color w:val="auto"/>
        </w:rPr>
      </w:pPr>
    </w:p>
    <w:p>
      <w:pPr>
        <w:ind w:left="200" w:right="20"/>
        <w:spacing w:after="0" w:line="267" w:lineRule="auto"/>
        <w:rPr>
          <w:sz w:val="20"/>
          <w:szCs w:val="20"/>
          <w:color w:val="auto"/>
        </w:rPr>
      </w:pPr>
      <w:r>
        <w:rPr>
          <w:rFonts w:ascii="Arial" w:cs="Arial" w:eastAsia="Arial" w:hAnsi="Arial"/>
          <w:sz w:val="16"/>
          <w:szCs w:val="16"/>
          <w:color w:val="auto"/>
        </w:rPr>
        <w:t>Our most advanced product candidate, RMC-4630, is a potent and selective inhibitor of SHP2, a central node in the RAS signaling pathway. In collaboration with Sanofi, we are evaluating RMC-4630 in a multi-cohort Phase 1/2 clinical program. This RMC-4630 Phase 1/2 program currently consists of two active clinical trials: RMC-4630-01, a Phase 1 study of RMC-4630 as a single agent, and RMC-4630-02, a Phase 1b/2 study of RMC-4630 in combination with the MEK inhibitor cobimetinib (Cotellic). In this prospectus, we report preliminary data from 63 patients who had enrolled in our Phase 1 study and received RMC-4630 as a monotherapy as of November 6, 2019 and from 8 patients who had enrolled in our Phase 1b/2 combination study and received RMC-4630 as of November 14, 2019. Leveraging our proprietary tri-complex technology platform, we are also developing a portfolio of mutant-selective RAS inhibitors that we believe are the first potent, selective, cell-active inhibitors of the active, GTP-bound form of RAS, or RAS(ON). Initially, we will prioritize four mutant RAS(ON) targets—KRAS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—and expect to nominate our first development candidate in 2020. Our pipeline also includes inhibitors of other key nodes within the RAS and mTOR signaling pathways, such as SOS1 and mTORC1.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28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we have two preclinical programs targeting other key nodes in the RAS and mTOR signaling pathways. Our program targeting SOS1, a protein that plays a key role in converting RAS(OFF) to RAS(ON) in cells, is currently 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0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We have incurred net losses in each year since inception in 2014. Our net losses were $31.1 million and $41.8 million for the years ended December 31, 2017 and 2018, respectively, and $30.5 million and $33.1 million for the nine months ended September 30, 2018 and 2019, respectively. As of September 30, 2019, we had an accumulated deficit of $142.8 million. Substantially all of our net losses have resulted from costs incurred in connection with our research and development programs and from general and administrative costs associated</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 our operations. We expect to continue to incur significant expenses and increasing operating losses over at least the next several years.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expect our expenses will increase in connection with our ongoing activities, as we:</w:t>
      </w:r>
    </w:p>
    <w:p>
      <w:pPr>
        <w:spacing w:after="0" w:line="117" w:lineRule="exact"/>
        <w:rPr>
          <w:sz w:val="20"/>
          <w:szCs w:val="20"/>
          <w:color w:val="auto"/>
        </w:rPr>
      </w:pPr>
    </w:p>
    <w:p>
      <w:pPr>
        <w:ind w:left="420" w:hanging="216"/>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 our platform research and drug discovery efforts to identify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advance product candidates through preclinical programs and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pursue regulatory approval of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operate as a public company following completion of this offering;</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maintain, protect and expand our portfolio of intellectual property rights, including patents, trade secrets and know-how;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hire additional personnel to support our development programs and secure additional facilities to support our operations.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Collaboration agreement with Sanofi</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07"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Under the Sanofi Agreement, we have primary responsibility for performing preclinical research on SHP2 inhibitors, pursuant to an initial research plan and budget directed toward the identification, validation and optimization of SHP2 inhibitors for 2018-2020. The research plan and budget beyond 2020 will be determined by a joint research and development committee, over which Sanofi has final decision-making power subject to certain exceptions. We have primary responsibility for early clinical development of RMC-4630 pursuant to an initial development plan. The joint research and development committee is responsible for preparing development plans for other SHP2 inhibitors approved by such committee for development, if any. Sanofi is responsible for 80% of all internal and external research costs and expenses incurred under the research plan for 2019 and 2020, and for all other internal and external costs and expenses incurred to perform activities under the research and development plans. We are responsible for 20% of all internal and external research costs incurred under the research plan for 2019 and 2020, in which our share of these costs is estimated to be approximately $2 million in total, representing less than three percent of the anticipated overall budget for the SHP2 program in 2019 and 2020. Sanofi is responsible for all costs under the development plan, and since our SHP2 program is in clinical development, the costs under the development plan are expected to be significantly greater than the costs under the research plan. We are responsible for the manufacture of SHP2 inhibitors for Phase 1 and non-registrational Phase 2 clinical trials at Sanofi’s cost, while Sanofi is responsible for manufacturing SHP2 inhibitors for all other clinical trials and commercial supply. Sanofi has the sole right and responsibility to perform all regulatory activities under the Sanofi</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 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 SHP2 inhibitor product candidate in certain major market countries. Sanofi agrees to provide us, and we agree to provide Sanofi, with research, development and commercialization updates through the joint committees.</w:t>
      </w:r>
    </w:p>
    <w:p>
      <w:pPr>
        <w:spacing w:after="0" w:line="100"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During the term of the Sanofi Agreement, we may not, alone or with any affiliate or third party, conduct certain research activities with respect to, or develop or commercialize, any product that contains a SHP2 inhibitor outside of the Sanofi Agreement.</w:t>
      </w:r>
    </w:p>
    <w:p>
      <w:pPr>
        <w:spacing w:after="0" w:line="101"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p>
    <w:p>
      <w:pPr>
        <w:spacing w:after="0" w:line="10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101" w:lineRule="exact"/>
        <w:rPr>
          <w:sz w:val="20"/>
          <w:szCs w:val="20"/>
          <w:color w:val="auto"/>
        </w:rPr>
      </w:pPr>
    </w:p>
    <w:p>
      <w:pPr>
        <w:ind w:left="200" w:right="20"/>
        <w:spacing w:after="0" w:line="267" w:lineRule="auto"/>
        <w:rPr>
          <w:sz w:val="20"/>
          <w:szCs w:val="20"/>
          <w:color w:val="auto"/>
        </w:rPr>
      </w:pPr>
      <w:r>
        <w:rPr>
          <w:rFonts w:ascii="Arial" w:cs="Arial" w:eastAsia="Arial" w:hAnsi="Arial"/>
          <w:sz w:val="16"/>
          <w:szCs w:val="16"/>
          <w:color w:val="auto"/>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w:t>
      </w: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based on the development and regulatory status of such reverted products, in each case subject to reductions in accordance with the terms of the Sanofi Agreement.</w:t>
      </w:r>
    </w:p>
    <w:p>
      <w:pPr>
        <w:spacing w:after="0" w:line="101"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Through September 30, 2019, we have received an aggregate of $83.5 million from Sanofi, including the upfront payment and research and development expense reimbursements.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Acquisition of Warp Drive</w:t>
      </w:r>
    </w:p>
    <w:p>
      <w:pPr>
        <w:spacing w:after="0" w:line="13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In October 2018, we acquired all outstanding shares of Warp Drive Bio, Inc., or Warp Drive. In connection with the acquisition, we issued 6,797,915 shares of our Series B preferred stock and $0.9 million in other consideration, for total consideration valued at $69.0 million. The operating results associated with Warp Drive programs are reflected in our consolidated financial statements beginning on the closing date of the transaction.</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the Warp Drive acquisition, we recorded $55.8 million of in-process research and development, or IPR&amp;D, and</w:t>
      </w:r>
    </w:p>
    <w:p>
      <w:pPr>
        <w:ind w:left="200" w:right="160"/>
        <w:spacing w:after="0" w:line="273" w:lineRule="auto"/>
        <w:rPr>
          <w:sz w:val="20"/>
          <w:szCs w:val="20"/>
          <w:color w:val="auto"/>
        </w:rPr>
      </w:pPr>
      <w:r>
        <w:rPr>
          <w:rFonts w:ascii="Arial" w:cs="Arial" w:eastAsia="Arial" w:hAnsi="Arial"/>
          <w:sz w:val="16"/>
          <w:szCs w:val="16"/>
          <w:color w:val="auto"/>
        </w:rPr>
        <w:t>$13.6 million of developed technology related to the tri-complex and genome mining platforms. Warp Drive’s RAS programs were accounted for as an IPR&amp;D asset. The IPR&amp;D asset is considered to be an indefinite-lived asset until the completion or abandonment of the associated research and development efforts. Warp Drive’s tri-complex development platform was accounted for as developed technology and is being amortized over seven years. Warp Drive’s genome mining platform was accounted for as held for sale developed technology and was divested in January 2019 when we sold this genome mining platform to Ginkgo Bioworks, Inc., or Ginkgo.</w:t>
      </w:r>
    </w:p>
    <w:p>
      <w:pPr>
        <w:spacing w:after="0" w:line="75"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In addition, we recorded $14.6 million in goodwill associated with the Warp Drive acquisition, which largely relates to the establishment of a deferred tax liability for the non-deductible IPR&amp;D intangible assets acquired. Goodwill will not be amortized. Goodwill and IPR&amp;D will be tested at least annually for impairment. No impairment has been recognized as of September 30, 2019.</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Components of results of operations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Collaboration revenue, related party, consists of revenue under the Sanofi Agreement for our SHP2 program. We entered into the Sanofi Agreement in June 2018 and Sanofi subsequently became a related party in October 2018 as it was a stockholder of Warp Drive to which we issued equity in connection with the acquisition. We received a $50.0 million upfront payment from Sanofi in July 2018, receive reimbursement for research and development services, and are entitled to future potential development and regulatory milestones.</w:t>
      </w:r>
    </w:p>
    <w:p>
      <w:pPr>
        <w:spacing w:after="0" w:line="101"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Collaboration revenue, other, consists of revenue under our collaboration agreement with F. Hoffmann-La Roche Ltd and Hoffmann-La Roche Inc. that we became a party to in October 2018 as part of the Warp Drive acquisition. This collaboration agreement was divested to Ginkgo in January 2019.</w:t>
      </w:r>
    </w:p>
    <w:p>
      <w:pPr>
        <w:spacing w:after="0" w:line="100"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For further information on our revenue recognition policies, see the section titled “Critical accounting policies, significant judgments, and use of estimates—Revenue recognition.”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4"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We substantially rely on third parties to conduct our preclinical studies, clinical trials and manufacturing. We estimate research and development expenses based on estimates of services performed, and rely on third party contractors and vendors to provide us with timely and accurate estimates of expenses of services performed to</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assist us in these estimates. Research and development expenses consist primarily of costs incurred for the development of our product candidates and costs associated with identifying compounds through our discovery platform, which include:</w:t>
      </w:r>
    </w:p>
    <w:p>
      <w:pPr>
        <w:spacing w:after="0" w:line="114" w:lineRule="exact"/>
        <w:rPr>
          <w:sz w:val="20"/>
          <w:szCs w:val="20"/>
          <w:color w:val="auto"/>
        </w:rPr>
      </w:pPr>
    </w:p>
    <w:p>
      <w:pPr>
        <w:ind w:left="420" w:right="340" w:hanging="216"/>
        <w:spacing w:after="0" w:line="239"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contract organizations, investigative clinical trial sites that conduct research and development activities on our behalf, and consultants;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discovery programs, preclinical and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 and</w:t>
      </w:r>
    </w:p>
    <w:p>
      <w:pPr>
        <w:spacing w:after="0" w:line="117" w:lineRule="exact"/>
        <w:rPr>
          <w:rFonts w:ascii="Arial" w:cs="Arial" w:eastAsia="Arial" w:hAnsi="Arial"/>
          <w:sz w:val="18"/>
          <w:szCs w:val="18"/>
          <w:color w:val="auto"/>
        </w:rPr>
      </w:pPr>
    </w:p>
    <w:p>
      <w:pPr>
        <w:ind w:left="420" w:right="500" w:hanging="216"/>
        <w:spacing w:after="0" w:line="239"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facilities and other expenses, which include allocated expenses for rent and maintenance of facilities, depreciation and amortization expense, information technology and other supplies.</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recorded as prepaid assets. The prepaid amounts are then expensed as the related goods are delivered or as services are performed.</w:t>
      </w:r>
    </w:p>
    <w:p>
      <w:pPr>
        <w:spacing w:after="0" w:line="103"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Under the Sanofi Agreement, all of our RMC-4630 research and development expenses incurred from June 2018 to December 2018 have been reimbursed by Sanofi. All RMC-4630 development expenses and 80% of RMC-4630 research expenses in 2019 are reimbursable by Sanofi. These reimbursements from Sanofi are recorded as collaboration revenue. We are responsible for early non-registrational clinical trials and Sanofi is responsible for conducting registrational clinical trials.</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discovering and developing product candidates and advancing product candidates into later stages of development, which may include conducting larger clinical trials. The process of conducting the necessary research and development and clinical trials to seek regulatory approval for product candidates is costly and time-consuming, and the successful development of our product candidates is highly uncertain. As a result, we are unable to determine the duration and completion costs of our research and development projects or clinical trials or if and to what extent we will generate revenue from the commercialization and sale of any of our product candidates.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ind w:left="200" w:right="20"/>
        <w:spacing w:after="0" w:line="270" w:lineRule="auto"/>
        <w:rPr>
          <w:sz w:val="20"/>
          <w:szCs w:val="20"/>
          <w:color w:val="auto"/>
        </w:rPr>
      </w:pPr>
      <w:r>
        <w:rPr>
          <w:rFonts w:ascii="Arial" w:cs="Arial" w:eastAsia="Arial" w:hAnsi="Arial"/>
          <w:sz w:val="16"/>
          <w:szCs w:val="16"/>
          <w:color w:val="auto"/>
        </w:rPr>
        <w:t>General and administrative expenses consist primarily of personnel-related costs, consultants and professional services expenses, including legal, audit, accounting and human resources services, allocated facilities and information technology costs, and other general operating expenses not otherwise classified as research and development expenses. Personnel-related costs consist of salaries, benefits and stock-based compensation. Facilities costs consist of rent, utilities and maintenance of facilities. We expect our general and administrative expenses to increase for the foreseeable future due to anticipated increases in headcount and as a result of operating as a public company, including expenses related to compliance with the rules and regulations of the Securities and Exchange Commission, the Nasdaq Global Select Market, additional insurance expenses, investor relations activities and other administrative and professional services.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income primarily consists of interest earned on our cash equivalents and marketable securities.</w:t>
      </w:r>
    </w:p>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240" w:top="459" w:right="5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and other expense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and other expense primarily consists of interest related to our capital lease and interest on other outstanding obligations.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fair value of redeemable convertible preferred stock liability</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Our March 2018 issuance and sale of Series B redeemable convertible preferred stock was tranched into two funding dates, a first closing in March 2018, and a second closing to purchase additional shares in June 2018. We classified the obligation for the future purchase of additional shares under the second closing as a liability on our consolidated balance sheets as the obligation met the definition of a freestanding financial instrument. This redeemable convertible preferred stock tranche liability was initially recorded at fair value upon the date of issuance and was subsequently remeasured to fair value at each reporting date. Changes in the fair value of the redeemable convertible preferred stock liability were recognized in the consolidated statements of operations and comprehensive loss until the obligation for the second tranche was fulfilled upon the second closing date in June 2018.</w:t>
      </w:r>
    </w:p>
    <w:p>
      <w:pPr>
        <w:spacing w:after="0" w:line="174"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Comparison of the results for the nine months ended September 30,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8"/>
              </w:rPr>
              <w:t>Nine months ended</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4"/>
          </w:tcPr>
          <w:p>
            <w:pPr>
              <w:jc w:val="center"/>
              <w:ind w:right="360"/>
              <w:spacing w:after="0" w:line="201" w:lineRule="exact"/>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90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w w:val="97"/>
              </w:rPr>
              <w:t>Increase/</w:t>
            </w:r>
          </w:p>
        </w:tc>
      </w:tr>
      <w:tr>
        <w:trPr>
          <w:trHeight w:val="223"/>
        </w:trPr>
        <w:tc>
          <w:tcPr>
            <w:tcW w:w="20" w:type="dxa"/>
            <w:vAlign w:val="bottom"/>
          </w:tcPr>
          <w:p>
            <w:pPr>
              <w:spacing w:after="0"/>
              <w:rPr>
                <w:sz w:val="19"/>
                <w:szCs w:val="19"/>
                <w:color w:val="auto"/>
              </w:rPr>
            </w:pPr>
          </w:p>
        </w:tc>
        <w:tc>
          <w:tcPr>
            <w:tcW w:w="6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(decrease)</w:t>
            </w:r>
          </w:p>
        </w:tc>
      </w:tr>
      <w:tr>
        <w:trPr>
          <w:trHeight w:val="226"/>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6"/>
              </w:rPr>
              <w:t>(in thousands)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
        </w:trPr>
        <w:tc>
          <w:tcPr>
            <w:tcW w:w="662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Collaboration revenue, related party</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9,818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37,953</w:t>
            </w:r>
          </w:p>
        </w:tc>
        <w:tc>
          <w:tcPr>
            <w:tcW w:w="24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28,135</w:t>
            </w:r>
          </w:p>
        </w:tc>
        <w:tc>
          <w:tcPr>
            <w:tcW w:w="120" w:type="dxa"/>
            <w:vAlign w:val="bottom"/>
          </w:tcPr>
          <w:p>
            <w:pPr>
              <w:spacing w:after="0"/>
              <w:rPr>
                <w:sz w:val="18"/>
                <w:szCs w:val="18"/>
                <w:color w:val="auto"/>
              </w:rPr>
            </w:pPr>
          </w:p>
        </w:tc>
      </w:tr>
      <w:tr>
        <w:trPr>
          <w:trHeight w:val="56"/>
        </w:trPr>
        <w:tc>
          <w:tcPr>
            <w:tcW w:w="6620" w:type="dxa"/>
            <w:vAlign w:val="bottom"/>
            <w:gridSpan w:val="2"/>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32,903</w:t>
            </w:r>
          </w:p>
        </w:tc>
        <w:tc>
          <w:tcPr>
            <w:tcW w:w="3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64,265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31,362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5,575</w:t>
            </w:r>
          </w:p>
        </w:tc>
        <w:tc>
          <w:tcPr>
            <w:tcW w:w="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8,244</w:t>
            </w:r>
          </w:p>
        </w:tc>
        <w:tc>
          <w:tcPr>
            <w:tcW w:w="2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38,478</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72,509</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34,031</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(28,660)</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(34,556)</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(5,896)</w:t>
            </w:r>
          </w:p>
        </w:tc>
      </w:tr>
      <w:tr>
        <w:trPr>
          <w:trHeight w:val="270"/>
        </w:trPr>
        <w:tc>
          <w:tcPr>
            <w:tcW w:w="66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414</w:t>
            </w: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1,571</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expense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(83)</w:t>
            </w:r>
          </w:p>
        </w:tc>
        <w:tc>
          <w:tcPr>
            <w:tcW w:w="36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(83)</w:t>
            </w:r>
          </w:p>
        </w:tc>
        <w:tc>
          <w:tcPr>
            <w:tcW w:w="30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10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(2,121)</w:t>
            </w: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2,121</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(1,790)</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(30,450)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(33,068)</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(2,618)</w:t>
            </w:r>
          </w:p>
        </w:tc>
      </w:tr>
      <w:tr>
        <w:trPr>
          <w:trHeight w:val="20"/>
        </w:trPr>
        <w:tc>
          <w:tcPr>
            <w:tcW w:w="20" w:type="dxa"/>
            <w:vAlign w:val="bottom"/>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Collaboration revenue, related party consists of revenue under the Sanofi Agreement, which was entered into in June 2018. Collaboration revenue, related party increased by $28.1 million, or 287%, during the nine months ended September 30, 2019 compared to the same period in 2018. The increase in collaboration revenue, related party during the nine months ended September 30, 2019 was primarily due to increased research and development costs incurred by us for our SHP2 program under the Sanofi Agreement, which are subject to reimbursement by Sanofi to us and which advanced into a Phase 1 clinical trial in the third quarter of 2018. Cash received from Sanofi during the nine months ended September 30, 2018 and 2019 was $51.6 million and $26.1</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million, respectively. Revenue is recognized based on actual costs incurred relative to total estimated costs expected to fulfill the performance obligation. Accordingly, the timing of revenue recognition is not directly correlated to the timing of cash receipts.</w:t>
      </w:r>
    </w:p>
    <w:p>
      <w:pPr>
        <w:spacing w:after="0" w:line="101"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We anticipate collaboration revenue, related party to increase in 2020 from 2019 due to increased development costs for our SHP2 program, which are subject to reimbursement by Sanofi to us.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Research and development expenses increased by $31.4 million, or 95%, during the nine months ended September 30, 2019 compared to the same period in 2018. The increase in research and development expenses during the nine months ended September 30, 2019 was primarily due to a $9.2 million increase in third party expenses for our SHP2 program, which advanced into a Phase 1 clinical trial in the third quarter of 2018; a $8.9 million increase in third party costs for our RAS programs, which was acquired as part of the Warp Drive acquisition in October 2018; a $4.5 million increase in third party costs for our SOS1 program, which commenced in 2019; a $4.5 million increase in facilities and other allocated expenses as a result of higher rent, lab supplies, utilities and information technology expenses associated with higher headcount in 2019; a $3.4 million increase in salaries and other employee-related expenses due to increased headcount to support our research and development programs; and a $0.8 million increase related to amortization of developed technology acquired as part of the Warp Drive acquisition.</w:t>
      </w:r>
    </w:p>
    <w:p>
      <w:pPr>
        <w:spacing w:after="0" w:line="107" w:lineRule="exact"/>
        <w:rPr>
          <w:sz w:val="20"/>
          <w:szCs w:val="20"/>
          <w:color w:val="auto"/>
        </w:rPr>
      </w:pPr>
    </w:p>
    <w:p>
      <w:pPr>
        <w:ind w:left="200" w:right="660"/>
        <w:spacing w:after="0" w:line="239" w:lineRule="auto"/>
        <w:rPr>
          <w:sz w:val="20"/>
          <w:szCs w:val="20"/>
          <w:color w:val="auto"/>
        </w:rPr>
      </w:pPr>
      <w:r>
        <w:rPr>
          <w:rFonts w:ascii="Arial" w:cs="Arial" w:eastAsia="Arial" w:hAnsi="Arial"/>
          <w:sz w:val="18"/>
          <w:szCs w:val="18"/>
          <w:color w:val="auto"/>
        </w:rPr>
        <w:t>We expect our research and development expenses to increase in the foreseeable future from 2019 levels as we continue to invest in discovering and developing product candidates and advancing product candidates into later stages of development.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General and administrative expenses increased by $2.7 million, or 48%, during the nine months ended September 30, 2019 compared to the same period in 2018. The increase was primarily due to an increase of personnel-related expenses of $1.0 million related to higher headcount in 2019; an increase of $0.6 million in stock-based compensation expense; an increase of $0.6 million in legal, accounting and consulting expenses; and an increase of $0.4 million in facilities and other allocated expenses as a result of higher rent, utilities and information technology expenses associated with higher headcount in 2019.</w:t>
      </w:r>
    </w:p>
    <w:p>
      <w:pPr>
        <w:spacing w:after="0" w:line="10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We expect our general and administrative expenses to increase in the foreseeable future from 2019 levels due to increased headcount and as a result of increased costs from operating as a public company.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ind w:left="200" w:right="300"/>
        <w:spacing w:after="0" w:line="281" w:lineRule="auto"/>
        <w:rPr>
          <w:sz w:val="20"/>
          <w:szCs w:val="20"/>
          <w:color w:val="auto"/>
        </w:rPr>
      </w:pPr>
      <w:r>
        <w:rPr>
          <w:rFonts w:ascii="Arial" w:cs="Arial" w:eastAsia="Arial" w:hAnsi="Arial"/>
          <w:sz w:val="16"/>
          <w:szCs w:val="16"/>
          <w:color w:val="auto"/>
        </w:rPr>
        <w:t>Interest income increased by $1.2 million the nine months ended September 30, 2019 compared to the same period in 2018. The increase was primarily due to interest income earned from higher average investment balances resulting from the net proceeds from our Series B preferred stock financing in 2018, the upfront payment from Sanofi received in 2018, and our Series C preferred stock financing in 2019.</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and other expense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and other expense was $0.1 million for both the nine months ended September 30, 2019 and 2018.</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fair value of redeemable convertible preferred stock liability</w:t>
      </w:r>
    </w:p>
    <w:p>
      <w:pPr>
        <w:spacing w:after="0" w:line="124"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The liability associated with our Series B redeemable convertible preferred stock was remeasured to fair value at each reporting date until it was settled in June 2018, and we recognized the changes in the fair value in our consolidated statements of operations and comprehensive loss during the nine months ended September 30, 2018. As the liability was settled in 2018, there were no amounts recorded to the consolidated statements of operations and comprehensive loss during the nine months ended September 30, 2019 associated with this liability.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Comparison of the results for the years ended December 31,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7"/>
              </w:rPr>
              <w:t>Year ended December 31,</w:t>
            </w:r>
          </w:p>
        </w:tc>
        <w:tc>
          <w:tcPr>
            <w:tcW w:w="118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Increase /</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42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Collaboration revenue, related party</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19,420</w:t>
            </w:r>
          </w:p>
        </w:tc>
        <w:tc>
          <w:tcPr>
            <w:tcW w:w="240" w:type="dxa"/>
            <w:vAlign w:val="bottom"/>
          </w:tcPr>
          <w:p>
            <w:pPr>
              <w:spacing w:after="0"/>
              <w:rPr>
                <w:sz w:val="17"/>
                <w:szCs w:val="17"/>
                <w:color w:val="auto"/>
              </w:rPr>
            </w:pPr>
          </w:p>
        </w:tc>
        <w:tc>
          <w:tcPr>
            <w:tcW w:w="36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19,420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Collaboration revenue, other</w:t>
            </w:r>
          </w:p>
        </w:tc>
        <w:tc>
          <w:tcPr>
            <w:tcW w:w="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2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20,165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642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26,586</w:t>
            </w:r>
          </w:p>
        </w:tc>
        <w:tc>
          <w:tcPr>
            <w:tcW w:w="5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51,084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24,498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4,543</w:t>
            </w:r>
          </w:p>
        </w:tc>
        <w:tc>
          <w:tcPr>
            <w:tcW w:w="5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9,410</w:t>
            </w:r>
          </w:p>
        </w:tc>
        <w:tc>
          <w:tcPr>
            <w:tcW w:w="2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31,129</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60,494</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(31,129)</w:t>
            </w: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(40,329)</w:t>
            </w: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105</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expense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(103)</w:t>
            </w:r>
          </w:p>
        </w:tc>
        <w:tc>
          <w:tcPr>
            <w:tcW w:w="5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(116)</w:t>
            </w:r>
          </w:p>
        </w:tc>
        <w:tc>
          <w:tcPr>
            <w:tcW w:w="36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(2,121)</w:t>
            </w: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(1,460)</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(31,127)</w:t>
            </w:r>
          </w:p>
        </w:tc>
        <w:tc>
          <w:tcPr>
            <w:tcW w:w="5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(41,789)</w:t>
            </w:r>
          </w:p>
        </w:tc>
        <w:tc>
          <w:tcPr>
            <w:tcW w:w="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Collaboration revenue, related party consists of revenue under the Sanofi Agreement, which was entered into in June 2018. Collaboration revenue, related party for the years ended December 31, 2017 and 2018 was zero and $19.4 million, respectively. Cash received from Sanofi during the years ended December 31, 2017 and 2018 was zero and $57.4 million, respectively. Revenue is recognized based on actual costs incurred relative to total estimated costs expected to fulfill the performance obligation. Accordingly, the timing of revenue recognition is not directly correlated to the timing of cash receipts.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Research and development expenses increased by $24.5 million, or 92%, during the year ended December 31, 2018 compared to the same period in 2017. The increase in research and development expenses in 2018 was primarily due to a $6.7 million increase in salaries and other employee-related expenses due to increased headcount to support our research and development programs; a $6.3 million increase in third party expenses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64" w:lineRule="auto"/>
        <w:rPr>
          <w:sz w:val="20"/>
          <w:szCs w:val="20"/>
          <w:color w:val="auto"/>
        </w:rPr>
      </w:pPr>
      <w:r>
        <w:rPr>
          <w:rFonts w:ascii="Arial" w:cs="Arial" w:eastAsia="Arial" w:hAnsi="Arial"/>
          <w:sz w:val="16"/>
          <w:szCs w:val="16"/>
          <w:color w:val="auto"/>
        </w:rPr>
        <w:t>for our SHP2 program, which advanced into a Phase 1 clinical trial in the third quarter of 2018; a $4.2 million increase in facilities and other allocated expenses as a result of higher rent, lab supplies, utilities and information technology expenses associated with higher headcount in 2018; a $3.4 million increase in third party expenses for our 4EBP1/mTORC1 program due to advancing the program into the lead optimization phase in 2018, which included increased pharmacology, chemistry CROs, and preliminary safety assessment costs; a</w:t>
      </w:r>
    </w:p>
    <w:p>
      <w:pPr>
        <w:spacing w:after="0" w:line="1"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$3.1 million increase in third party expenses related to our discovery programs; and a $0.5 million increase in stock-based compensation expense.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General and administrative expenses increased by $4.9 million, or 107%, during the year ended December 31, 2018 compared to 2017. The increase was primarily due to an increase of personnel-related expenses of $2.3 million related to higher headcount in 2018; an increase of $2.3 million in legal, accounting and consulting expenses primarily due to business development transactions and increased intellectual property activities; and an increase of $0.3 million in stock-based compensation expense.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Interest income increased by $0.7 million during the year ended December 31, 2018 compared to 2017. The increase was primarily due to interest income earned from higher average investment balances resulting from the net proceeds from our Series B preferred stock financing and the upfront payment from Sanofi received in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and other expense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and other expense was $0.1 million for both the years ended December 31, 2018 and December 31, 2017.</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fair value of redeemable convertible preferred stock liability</w:t>
      </w:r>
    </w:p>
    <w:p>
      <w:pPr>
        <w:spacing w:after="0" w:line="124" w:lineRule="exact"/>
        <w:rPr>
          <w:sz w:val="20"/>
          <w:szCs w:val="20"/>
          <w:color w:val="auto"/>
        </w:rPr>
      </w:pPr>
    </w:p>
    <w:p>
      <w:pPr>
        <w:jc w:val="both"/>
        <w:ind w:left="200" w:right="160"/>
        <w:spacing w:after="0" w:line="238" w:lineRule="auto"/>
        <w:rPr>
          <w:sz w:val="20"/>
          <w:szCs w:val="20"/>
          <w:color w:val="auto"/>
        </w:rPr>
      </w:pPr>
      <w:r>
        <w:rPr>
          <w:rFonts w:ascii="Arial" w:cs="Arial" w:eastAsia="Arial" w:hAnsi="Arial"/>
          <w:sz w:val="18"/>
          <w:szCs w:val="18"/>
          <w:color w:val="auto"/>
        </w:rPr>
        <w:t>The liability associated with our Series B redeemable convertible preferred stock was remeasured to fair value at each reporting date until it was settled in June 2018, and we recognized the changes in the fair value in our consolidated statements of operations and comprehensive loss during the year ended December 31, 2018.</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Liquidity and capital resources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ind w:left="200" w:right="360"/>
        <w:spacing w:after="0" w:line="238" w:lineRule="auto"/>
        <w:rPr>
          <w:sz w:val="20"/>
          <w:szCs w:val="20"/>
          <w:color w:val="auto"/>
        </w:rPr>
      </w:pPr>
      <w:r>
        <w:rPr>
          <w:rFonts w:ascii="Arial" w:cs="Arial" w:eastAsia="Arial" w:hAnsi="Arial"/>
          <w:sz w:val="18"/>
          <w:szCs w:val="18"/>
          <w:color w:val="auto"/>
        </w:rPr>
        <w:t>Since our inception through September 30, 2019, our operations have been financed primarily by net proceeds of $230.6 million from the issuance of our preferred stock and $83.5 million in proceeds received under the Sanofi Agreement. As of September 30, 2019, we had $136.3 million in cash, cash equivalents and marketable securities.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As of September 30, 2019, we had an accumulated deficit of $142.8 million. Our primary use of cash is to fund operating expenses, which consist primarily of research and development expenditures related to our product candidates and our discovery programs, and to a lesser extent, general and administrative expenditures. We expect our expenses to continue to increase in connection with our ongoing activities, in particular as we continue to advance our product candidates and our discovery programs. In addition, upon the completion of this offering, we expect to incur additional costs associated with operating as a public company.</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Based upon our current operating plan, we believe that the net proceeds from this offering, together with our existing cash, cash equivalents and marketable securities will enable us to fund our planned operations for at least 12 months following the date of this offering. We have based this estimate on assumptions that may prove to be inaccurate, and we could utilize our available capital resources sooner than we currently expect.</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timing and amount of future funding requirements will depend on many factors, including:</w:t>
      </w:r>
    </w:p>
    <w:p>
      <w:pPr>
        <w:spacing w:after="0" w:line="117" w:lineRule="exact"/>
        <w:rPr>
          <w:sz w:val="20"/>
          <w:szCs w:val="20"/>
          <w:color w:val="auto"/>
        </w:rPr>
      </w:pPr>
    </w:p>
    <w:p>
      <w:pPr>
        <w:ind w:left="420" w:right="160" w:hanging="216"/>
        <w:spacing w:after="0" w:line="239"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programs, and of conducting preclinical studies and clinical trials;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product candidates we develop if clinical trials are successful;</w:t>
      </w:r>
    </w:p>
    <w:p>
      <w:pPr>
        <w:spacing w:after="0" w:line="117"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success of our collaboration with Sanofi, including the continued reimbursement by Sanofi of substantially all of our research costs and all of our development costs for the SHP2 program under the Sanofi Agreement;</w:t>
      </w:r>
    </w:p>
    <w:p>
      <w:pPr>
        <w:spacing w:after="0" w:line="114" w:lineRule="exact"/>
        <w:rPr>
          <w:rFonts w:ascii="Arial" w:cs="Arial" w:eastAsia="Arial" w:hAnsi="Arial"/>
          <w:sz w:val="18"/>
          <w:szCs w:val="18"/>
          <w:color w:val="auto"/>
        </w:rPr>
      </w:pPr>
    </w:p>
    <w:p>
      <w:pPr>
        <w:ind w:left="420" w:right="180" w:hanging="216"/>
        <w:spacing w:after="0" w:line="239"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we achieve certain clinical and regulatory milestones under our collaboration agreement with Sanofi, each of which would trigger additional payments to us;</w:t>
      </w:r>
    </w:p>
    <w:p>
      <w:pPr>
        <w:spacing w:after="0" w:line="114" w:lineRule="exact"/>
        <w:rPr>
          <w:rFonts w:ascii="Arial" w:cs="Arial" w:eastAsia="Arial" w:hAnsi="Arial"/>
          <w:sz w:val="18"/>
          <w:szCs w:val="18"/>
          <w:color w:val="auto"/>
        </w:rPr>
      </w:pPr>
    </w:p>
    <w:p>
      <w:pPr>
        <w:ind w:left="420" w:hanging="216"/>
        <w:spacing w:after="0" w:line="238"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113" w:lineRule="exact"/>
        <w:rPr>
          <w:rFonts w:ascii="Arial" w:cs="Arial" w:eastAsia="Arial" w:hAnsi="Arial"/>
          <w:sz w:val="18"/>
          <w:szCs w:val="18"/>
          <w:color w:val="auto"/>
        </w:rPr>
      </w:pPr>
    </w:p>
    <w:p>
      <w:pPr>
        <w:ind w:left="420" w:right="860" w:hanging="216"/>
        <w:spacing w:after="0" w:line="239"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manufacturing our current and future product candidates for clinical trials in preparation for marketing approval and in preparation for commercialization;</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17"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timing, receipt and amount of sales of, profit share or royalties on, our future products, if any;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emergence of competing cancer therapies and other adverse market developments;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plans to acquire or in-license other programs or technologies.</w:t>
      </w:r>
    </w:p>
    <w:p>
      <w:pPr>
        <w:spacing w:after="0" w:line="104"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We expect to need to obtain substantial additional funding in the future for our research and development activities and continuing operations. Sanofi reimburses us for almost all of our research and development expenses associated with our SHP2 program, however Sanofi has the right to terminate the Sanofi Agreement for any reason, upon prior notice to us within certain specified time periods and upon any such termination by Sanofi with respect to any product or country, all licenses to Sanofi with respect to such product or country shall automatically terminate and all rights generally revert back to us. If we need to raise additional capital to fund our operations, funding may not be available to us on acceptable terms, or at all. If we are unable to obtain adequate financing when needed, we may have to delay, reduce the scope of or suspend one or more of our clinical trials, research and development programs or commercialization efforts.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take specific actions, such as incurring additional debt, making capital expenditures or declaring dividends. If we are unable to raise capital, we may need to delay, reduce or terminate planned activities to reduce costs. Doing so will likely harm our ability to execute our business plans.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Cash flows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our consolidated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8"/>
                <w:szCs w:val="18"/>
                <w:b w:val="1"/>
                <w:bCs w:val="1"/>
                <w:color w:val="auto"/>
                <w:w w:val="97"/>
              </w:rPr>
              <w:t>Year ended December 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6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(used in) operating activities</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(25,148)</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$12,989</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(37,964)</w:t>
            </w: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(1,575)</w:t>
            </w:r>
          </w:p>
        </w:tc>
        <w:tc>
          <w:tcPr>
            <w:tcW w:w="44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(1,339)</w:t>
            </w:r>
          </w:p>
        </w:tc>
        <w:tc>
          <w:tcPr>
            <w:tcW w:w="11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(1,283)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(109,990)</w:t>
            </w: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22,662</w:t>
            </w: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60,847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56,626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100,192</w:t>
            </w:r>
          </w:p>
        </w:tc>
        <w:tc>
          <w:tcPr>
            <w:tcW w:w="12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(4,061)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60,721</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68,332</w:t>
            </w:r>
          </w:p>
        </w:tc>
        <w:tc>
          <w:tcPr>
            <w:tcW w:w="26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(47,762)</w:t>
            </w: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(used in) operating activities</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the year ended December 31, 2018, cash provided by operating activities of $1.2 million was attributable to a net change of</w:t>
      </w:r>
    </w:p>
    <w:p>
      <w:pPr>
        <w:ind w:left="200"/>
        <w:spacing w:after="0" w:line="234" w:lineRule="auto"/>
        <w:rPr>
          <w:sz w:val="20"/>
          <w:szCs w:val="20"/>
          <w:color w:val="auto"/>
        </w:rPr>
      </w:pPr>
      <w:r>
        <w:rPr>
          <w:rFonts w:ascii="Arial" w:cs="Arial" w:eastAsia="Arial" w:hAnsi="Arial"/>
          <w:sz w:val="18"/>
          <w:szCs w:val="18"/>
          <w:color w:val="auto"/>
        </w:rPr>
        <w:t>$38.1 million in our operating assets and liabilities and $4.9 million in non-cash charges, partially offset by a net loss of $41.8 million. The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non-cash charges consisted of depreciation and amortization of $1.8 million, stock-based compensation expense of $0.9 million, a change in</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fair value of our redeemable convertible preferred stock liability of $2.1 million, and a loss on disposal of property and equipment of</w:t>
      </w:r>
    </w:p>
    <w:p>
      <w:pPr>
        <w:ind w:left="200"/>
        <w:spacing w:after="0"/>
        <w:rPr>
          <w:sz w:val="20"/>
          <w:szCs w:val="20"/>
          <w:color w:val="auto"/>
        </w:rPr>
      </w:pPr>
      <w:r>
        <w:rPr>
          <w:rFonts w:ascii="Arial" w:cs="Arial" w:eastAsia="Arial" w:hAnsi="Arial"/>
          <w:sz w:val="16"/>
          <w:szCs w:val="16"/>
          <w:color w:val="auto"/>
        </w:rPr>
        <w:t>$0.2 million. The change in operating assets and liabilities was primarily due to a $44.5 million increase in deferred revenue associated with</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Sanofi Agreement, a $2.0 million increase in accounts payable and accrued liabilities resulting from increases in spend for research and</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development, offset by a $7.3 million increase in receivable from a related party resulting from the Sanofi Agreement and a $0.9 million</w:t>
      </w:r>
    </w:p>
    <w:p>
      <w:pPr>
        <w:ind w:left="200"/>
        <w:spacing w:after="0"/>
        <w:rPr>
          <w:sz w:val="20"/>
          <w:szCs w:val="20"/>
          <w:color w:val="auto"/>
        </w:rPr>
      </w:pPr>
      <w:r>
        <w:rPr>
          <w:rFonts w:ascii="Arial" w:cs="Arial" w:eastAsia="Arial" w:hAnsi="Arial"/>
          <w:sz w:val="16"/>
          <w:szCs w:val="16"/>
          <w:color w:val="auto"/>
        </w:rPr>
        <w:t>increase in prepaid expenses and other current assets primarily resulting from the timing of prepayments made for research and development</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activities.</w:t>
      </w:r>
    </w:p>
    <w:p>
      <w:pPr>
        <w:spacing w:after="0" w:line="10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During the year ended December 31, 2017, cash used in operating activities of $25.1 million was attributable to a net loss of $31.1 million, partially offset by $1.3 million in non-cash charges and a net change of $4.7 million in our operating assets and liabilities. The non-cash charges consisted of depreciation and amortization of $1.2 million and stock-based compensation expense of $0.1 million. The change in operating assets and liabilities was primarily due to a $4.0 million increase in accounts payable and accrued liabilities resulting from increases in spend for research and development, and a $0.6 million decrease in prepaid expenses and other current assets resulting from the timing of prepayments made for research and development activities.</w:t>
      </w:r>
    </w:p>
    <w:p>
      <w:pPr>
        <w:spacing w:after="0" w:line="102"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During the nine months ended September 30, 2019, cash used in operating activities of $38.0 million was attributable to a net loss of $33.1 million and a net change of $9.5 million in our operating assets and liabilities, partially offset by $4.6 million in non-cash charges. The non-cash charges primarily consisted of depreciation and amortization of $2.5 million, stock-based compensation expense of $1.8 million, and a loss on disposal of held-for-sale assets of $0.6 million, offset by accretion of marketable securities of $0.3 million. The change in operating assets and liabilities was primarily due to a $10.1 million decrease in deferred revenue associated with the Sanofi Agreement, a $1.9 million increase in prepaid expenses and other current assets resulting from the timing of prepayments made for research and development activities, a $1.6 million increase in receivable from a related party resulting from the Sanofi Agreement, a $1.3 million increase in other noncurrent assets,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60"/>
        <w:spacing w:after="0" w:line="239" w:lineRule="auto"/>
        <w:rPr>
          <w:sz w:val="20"/>
          <w:szCs w:val="20"/>
          <w:color w:val="auto"/>
        </w:rPr>
      </w:pPr>
      <w:r>
        <w:rPr>
          <w:rFonts w:ascii="Arial" w:cs="Arial" w:eastAsia="Arial" w:hAnsi="Arial"/>
          <w:sz w:val="18"/>
          <w:szCs w:val="18"/>
          <w:color w:val="auto"/>
        </w:rPr>
        <w:t>offset by a $5.7 million increase in accounts payable and accrued liabilities primarily resulting from increases in spend for research and development.</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During the nine months ended September 30, 2018, cash provided by operating activities of $13.0 million was attributable to a net change of $39.7 million in our operating assets and liabilities and $3.8 million in non-cash charges, partially offset by a net loss of $30.5 million. The non-cash charges consisted of depreciation and amortization of $1.1 million, stock-based compensation expense of $0.6 million, and a change in the fair value of our redeemable convertible preferred stock liability of $2.1 million. The change in operating assets and liabilities was primarily due to a $47.6 million increase in deferred revenue associated with the Sanofi Agreement, offset by a $5.9 million increase in receivable from a related party resulting from the Sanofi Agreement and a $1.4 million increase in prepaid expenses and other current assets primarily resulting from the timing of prepayments made for research and development activities.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24" w:lineRule="exact"/>
        <w:rPr>
          <w:sz w:val="20"/>
          <w:szCs w:val="20"/>
          <w:color w:val="auto"/>
        </w:rPr>
      </w:pPr>
    </w:p>
    <w:p>
      <w:pPr>
        <w:ind w:left="200" w:right="440"/>
        <w:spacing w:after="0" w:line="239" w:lineRule="auto"/>
        <w:rPr>
          <w:sz w:val="20"/>
          <w:szCs w:val="20"/>
          <w:color w:val="auto"/>
        </w:rPr>
      </w:pPr>
      <w:r>
        <w:rPr>
          <w:rFonts w:ascii="Arial" w:cs="Arial" w:eastAsia="Arial" w:hAnsi="Arial"/>
          <w:sz w:val="18"/>
          <w:szCs w:val="18"/>
          <w:color w:val="auto"/>
        </w:rPr>
        <w:t>During the years ended December 31, 2018 and 2017, cash used in investing activities of $1.3 million and $1.6 million, respectively, was comprised primarily of purchases of property and equipment.</w:t>
      </w:r>
    </w:p>
    <w:p>
      <w:pPr>
        <w:spacing w:after="0" w:line="101"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During the nine months ended September 30, 2019, cash used in investing activities of $110.0 million was primarily comprised of purchases of marketable securities of $143.7 million and purchases of property and equipment of $2.1 million, offset by maturities of marketable securities of $29.6 million and proceeds from the sale of held-for-sale assets of $6.0 million.</w:t>
      </w:r>
    </w:p>
    <w:p>
      <w:pPr>
        <w:spacing w:after="0" w:line="100"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During the nine months ended September 30, 2018, cash used in investing activities of $1.3 million was comprised of purchases of property and equipment.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24" w:lineRule="exact"/>
        <w:rPr>
          <w:sz w:val="20"/>
          <w:szCs w:val="20"/>
          <w:color w:val="auto"/>
        </w:rPr>
      </w:pPr>
    </w:p>
    <w:p>
      <w:pPr>
        <w:ind w:left="200" w:right="220"/>
        <w:spacing w:after="0" w:line="281" w:lineRule="auto"/>
        <w:rPr>
          <w:sz w:val="20"/>
          <w:szCs w:val="20"/>
          <w:color w:val="auto"/>
        </w:rPr>
      </w:pPr>
      <w:r>
        <w:rPr>
          <w:rFonts w:ascii="Arial" w:cs="Arial" w:eastAsia="Arial" w:hAnsi="Arial"/>
          <w:sz w:val="16"/>
          <w:szCs w:val="16"/>
          <w:color w:val="auto"/>
        </w:rPr>
        <w:t>During the year ended December 31, 2018, cash provided by financing activities of $60.8 million was comprised primarily of $60.6 million in net cash proceeds received from the issuances of our Series B redeemable convertible preferred stock, $0.4 million in proceeds from the issuance of common stock upon the exercise of stock options, offset by $0.1 million in repurchases of early exercised stock options.</w:t>
      </w:r>
    </w:p>
    <w:p>
      <w:pPr>
        <w:spacing w:after="0" w:line="70" w:lineRule="exact"/>
        <w:rPr>
          <w:sz w:val="20"/>
          <w:szCs w:val="20"/>
          <w:color w:val="auto"/>
        </w:rPr>
      </w:pPr>
    </w:p>
    <w:p>
      <w:pPr>
        <w:jc w:val="both"/>
        <w:ind w:left="200" w:right="220"/>
        <w:spacing w:after="0" w:line="238" w:lineRule="auto"/>
        <w:rPr>
          <w:sz w:val="20"/>
          <w:szCs w:val="20"/>
          <w:color w:val="auto"/>
        </w:rPr>
      </w:pPr>
      <w:r>
        <w:rPr>
          <w:rFonts w:ascii="Arial" w:cs="Arial" w:eastAsia="Arial" w:hAnsi="Arial"/>
          <w:sz w:val="18"/>
          <w:szCs w:val="18"/>
          <w:color w:val="auto"/>
        </w:rPr>
        <w:t>During the year ended December 31, 2017, cash provided by financing activities of $22.7 million was comprised primarily of $22.6 million in net cash proceeds received from the issuances of our Series A preferred stock, and $0.1 million in proceeds from the issuance of common stock upon the exercise of stock options.</w:t>
      </w:r>
    </w:p>
    <w:p>
      <w:pPr>
        <w:spacing w:after="0" w:line="100"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During the nine months ended September 30, 2019, cash provided by financing activities of $100.2 million was comprised of $100.0 million in net cash proceeds received from the issuances of our Series C redeemable convertible preferred stock and $0.2 million in proceeds from the issuance of common stock upon the exercise of stock options.</w:t>
      </w:r>
    </w:p>
    <w:p>
      <w:pPr>
        <w:spacing w:after="0" w:line="100"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During the nine months ended September 30, 2018, cash provided by financing activities of $56.6 million was comprised of $56.2 million in net cash proceeds received from the issuances of our Series B redeemable convertible preferred stock and $0.4 million in proceeds from the issuance of common stock upon the exercise of stock options.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our commitments and contractual obligations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center"/>
              <w:ind w:left="292"/>
              <w:spacing w:after="0"/>
              <w:rPr>
                <w:sz w:val="20"/>
                <w:szCs w:val="20"/>
                <w:color w:val="auto"/>
              </w:rPr>
            </w:pPr>
            <w:r>
              <w:rPr>
                <w:rFonts w:ascii="Arial" w:cs="Arial" w:eastAsia="Arial" w:hAnsi="Arial"/>
                <w:sz w:val="18"/>
                <w:szCs w:val="18"/>
                <w:b w:val="1"/>
                <w:bCs w:val="1"/>
                <w:color w:val="auto"/>
                <w:w w:val="97"/>
              </w:rPr>
              <w:t>Payments Due By Period</w:t>
            </w: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Less than 1</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More than</w:t>
            </w:r>
          </w:p>
        </w:tc>
      </w:tr>
      <w:tr>
        <w:trPr>
          <w:trHeight w:val="221"/>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year</w:t>
            </w:r>
          </w:p>
        </w:tc>
        <w:tc>
          <w:tcPr>
            <w:tcW w:w="14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1-3 years</w:t>
            </w: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3-5 years</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5 years</w:t>
            </w:r>
          </w:p>
        </w:tc>
      </w:tr>
      <w:tr>
        <w:trPr>
          <w:trHeight w:val="196"/>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96"/>
              </w:rPr>
              <w:t>(in thousands)</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18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$15,881</w:t>
            </w:r>
          </w:p>
        </w:tc>
        <w:tc>
          <w:tcPr>
            <w:tcW w:w="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3,557</w:t>
            </w:r>
          </w:p>
        </w:tc>
        <w:tc>
          <w:tcPr>
            <w:tcW w:w="5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7,435</w:t>
            </w:r>
          </w:p>
        </w:tc>
        <w:tc>
          <w:tcPr>
            <w:tcW w:w="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4,889</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Capital lease obligations</w:t>
            </w:r>
          </w:p>
        </w:tc>
        <w:tc>
          <w:tcPr>
            <w:tcW w:w="340" w:type="dxa"/>
            <w:vAlign w:val="bottom"/>
          </w:tcPr>
          <w:p>
            <w:pPr>
              <w:spacing w:after="0"/>
              <w:rPr>
                <w:sz w:val="18"/>
                <w:szCs w:val="18"/>
                <w:color w:val="auto"/>
              </w:rPr>
            </w:pPr>
          </w:p>
        </w:tc>
        <w:tc>
          <w:tcPr>
            <w:tcW w:w="8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328</w:t>
            </w: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157</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color w:val="auto"/>
              </w:rPr>
              <w:t>171</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contractual obligations</w:t>
            </w:r>
          </w:p>
        </w:tc>
        <w:tc>
          <w:tcPr>
            <w:tcW w:w="118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$16,209</w:t>
            </w:r>
          </w:p>
        </w:tc>
        <w:tc>
          <w:tcPr>
            <w:tcW w:w="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3,714</w:t>
            </w:r>
          </w:p>
        </w:tc>
        <w:tc>
          <w:tcPr>
            <w:tcW w:w="5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7,606</w:t>
            </w:r>
          </w:p>
        </w:tc>
        <w:tc>
          <w:tcPr>
            <w:tcW w:w="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4,889</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Our contractual obligations reflect our minimum payments due for office and laboratory space leases in Redwood City, California and Cambridge, Massachusetts, which are our operating leases, and our equipment leases, which are our capital leases. Our primary Redwood City lease commenced in January 2015 and ends in April 2023. As part of the Warp Drive acquisition, we assumed Warp Drive’s office and laboratory space lease in Cambridge, which ends in February 2023. In March 2019, we fully subleased the Cambridge lease to Casma Therapeutics, Inc., or Casma, on financial terms substantially the same as the original lease. The amounts reflected in the table above include our lease payments for the Cambridge lease, but do not reflect any offset for the sublease payments we are entitled to receive from Casma. The sublease by Casma and related sublease payments by Casma to us are fully guaranteed by Third Rock Ventures, LLC.</w:t>
      </w:r>
    </w:p>
    <w:p>
      <w:pPr>
        <w:spacing w:after="0" w:line="77"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We enter into agreements in the normal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us upon 30 to 90 days prior written notice. These payments are not included in this table of contractual obligations.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Off-balance sheet arrangements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not entered into any off-balance sheet arrangements, as defined in Item 303 of Regulation S-K.</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Indemnification agreements</w:t>
      </w:r>
    </w:p>
    <w:p>
      <w:pPr>
        <w:spacing w:after="0" w:line="134" w:lineRule="exact"/>
        <w:rPr>
          <w:sz w:val="20"/>
          <w:szCs w:val="20"/>
          <w:color w:val="auto"/>
        </w:rPr>
      </w:pPr>
    </w:p>
    <w:p>
      <w:pPr>
        <w:ind w:left="200" w:right="100"/>
        <w:spacing w:after="0" w:line="271" w:lineRule="auto"/>
        <w:rPr>
          <w:sz w:val="20"/>
          <w:szCs w:val="20"/>
          <w:color w:val="auto"/>
        </w:rPr>
      </w:pPr>
      <w:r>
        <w:rPr>
          <w:rFonts w:ascii="Arial" w:cs="Arial" w:eastAsia="Arial" w:hAnsi="Arial"/>
          <w:sz w:val="16"/>
          <w:szCs w:val="16"/>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Qualitative and quantitative disclosures about market risk</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4" w:lineRule="exact"/>
        <w:rPr>
          <w:sz w:val="20"/>
          <w:szCs w:val="20"/>
          <w:color w:val="auto"/>
        </w:rPr>
      </w:pPr>
    </w:p>
    <w:p>
      <w:pPr>
        <w:jc w:val="both"/>
        <w:ind w:left="200" w:right="320"/>
        <w:spacing w:after="0" w:line="238"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achieve our objectives, we maintain a portfolio of investments in a variety of securities of high credit quality and short-term duration, invested in compliance with our policy.</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held cash and cash equivalents of $69.6 million as of December 31, 2018, which consisted of bank deposits and money market funds. We held cash, cash equivalents and marketable securities of $136.3 million as of September 30, 2019, which consisted of bank deposits, money market funds, U.S. government debt securities, U.S. government agency bonds, commercial paper and corporate bonds. Such interest-earning instruments carry a degree of interest rate risk; however, historical fluctuations in interest income have not been significant for us. Due to the short-term maturities of our cash equivalents, an immediate one percent change in interest rates would not have a material effect on the fair value of our cash equivalents and marketable securities.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Our expenses are generally denominated in U.S. dollars. However, we have entered into a limited number of contracts with vendors for research and development services with payments denominated in foreign currencies, including the Euro, British Pound and Chinese Yuan.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 increase or decrease in current exchange rates would not have a material effect on our financial results.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Critical accounting policies, significant judgments, and use of estimates</w:t>
      </w:r>
    </w:p>
    <w:p>
      <w:pPr>
        <w:spacing w:after="0" w:line="134"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United States generally accepted accounting principles, or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 xml:space="preserve">Effective January 1, 2018, we adopted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full retrospective transition method. We did not have any effective contracts within the scope of this guidance prior to January 1, 2018, and the adoption of ASC 606 had no impact on our consolidated financial statements. Under ASC 606, an entity recognizes revenue when its customer obtains control of promised goods or services, in an amount that reflects the consideration which such entity expects to receive in exchange for those goods or services. In determining the appropriate amount of revenue to be recognized as we fulfill our obligations under arrangements, we perform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 At contract inception, once the contract is determined to be within the scope of ASC 606, we assess the goods or services promised within</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00"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We enter into collaboration agreements under which we may obtain upfront license fees, research and development funding, and development, regulatory and commercial milestone payments and royalty payments. Our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8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our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we recognize revenue from upfront license fees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We evaluate the measure of proportional performance each reporting period and, if necessary, adjust the measure of performance and related revenue recognition.</w:t>
      </w:r>
    </w:p>
    <w:p>
      <w:pPr>
        <w:spacing w:after="0" w:line="83" w:lineRule="exact"/>
        <w:rPr>
          <w:sz w:val="20"/>
          <w:szCs w:val="20"/>
          <w:color w:val="auto"/>
        </w:rPr>
      </w:pPr>
    </w:p>
    <w:p>
      <w:pPr>
        <w:ind w:left="200" w:right="20"/>
        <w:spacing w:after="0" w:line="278" w:lineRule="auto"/>
        <w:rPr>
          <w:sz w:val="20"/>
          <w:szCs w:val="20"/>
          <w:color w:val="auto"/>
        </w:rPr>
      </w:pPr>
      <w:r>
        <w:rPr>
          <w:rFonts w:ascii="Arial" w:cs="Arial" w:eastAsia="Arial" w:hAnsi="Arial"/>
          <w:sz w:val="16"/>
          <w:szCs w:val="16"/>
          <w:i w:val="1"/>
          <w:iCs w:val="1"/>
          <w:color w:val="auto"/>
        </w:rPr>
        <w:t xml:space="preserve">Research, development and regulatory milestone payments: </w:t>
      </w:r>
      <w:r>
        <w:rPr>
          <w:rFonts w:ascii="Arial" w:cs="Arial" w:eastAsia="Arial" w:hAnsi="Arial"/>
          <w:sz w:val="16"/>
          <w:szCs w:val="16"/>
          <w:color w:val="auto"/>
        </w:rPr>
        <w:t>At the inception of each arrangement that includes research,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milestone payments, we evaluate whether the milestones are considered probable of being reached and estimate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55" w:lineRule="exact"/>
        <w:rPr>
          <w:sz w:val="20"/>
          <w:szCs w:val="20"/>
          <w:color w:val="auto"/>
        </w:rPr>
      </w:pPr>
    </w:p>
    <w:p>
      <w:pPr>
        <w:ind w:left="200" w:right="20"/>
        <w:spacing w:after="0" w:line="283" w:lineRule="auto"/>
        <w:rPr>
          <w:sz w:val="20"/>
          <w:szCs w:val="20"/>
          <w:color w:val="auto"/>
        </w:rPr>
      </w:pPr>
      <w:r>
        <w:rPr>
          <w:rFonts w:ascii="Arial" w:cs="Arial" w:eastAsia="Arial" w:hAnsi="Arial"/>
          <w:sz w:val="16"/>
          <w:szCs w:val="16"/>
          <w:i w:val="1"/>
          <w:iCs w:val="1"/>
          <w:color w:val="auto"/>
        </w:rPr>
        <w:t xml:space="preserve">Sales-based milestones and royalties: </w:t>
      </w:r>
      <w:r>
        <w:rPr>
          <w:rFonts w:ascii="Arial" w:cs="Arial" w:eastAsia="Arial" w:hAnsi="Arial"/>
          <w:sz w:val="16"/>
          <w:szCs w:val="16"/>
          <w:color w:val="auto"/>
        </w:rPr>
        <w:t>For arrangements that include sales-based milestone or royalty payments based on the level of sales,</w:t>
      </w:r>
      <w:r>
        <w:rPr>
          <w:rFonts w:ascii="Arial" w:cs="Arial" w:eastAsia="Arial" w:hAnsi="Arial"/>
          <w:sz w:val="16"/>
          <w:szCs w:val="16"/>
          <w:i w:val="1"/>
          <w:iCs w:val="1"/>
          <w:color w:val="auto"/>
        </w:rPr>
        <w:t xml:space="preserve"> </w:t>
      </w:r>
      <w:r>
        <w:rPr>
          <w:rFonts w:ascii="Arial" w:cs="Arial" w:eastAsia="Arial" w:hAnsi="Arial"/>
          <w:sz w:val="16"/>
          <w:szCs w:val="16"/>
          <w:color w:val="auto"/>
        </w:rPr>
        <w:t>and in which the license is deemed to be the predominant item to which the sales-based milestone or royalties relate to, we recognize revenue in the period in which the sales-based milestone is achieved and in the period in which the sales associated with the royalty occur. To date, we have not recognized any sales-based milestone or royalty revenue resulting from our collaboration arrangements.</w:t>
      </w:r>
    </w:p>
    <w:p>
      <w:pPr>
        <w:spacing w:after="0" w:line="69" w:lineRule="exact"/>
        <w:rPr>
          <w:sz w:val="20"/>
          <w:szCs w:val="20"/>
          <w:color w:val="auto"/>
        </w:rPr>
      </w:pPr>
    </w:p>
    <w:p>
      <w:pPr>
        <w:jc w:val="both"/>
        <w:ind w:left="200" w:right="440"/>
        <w:spacing w:after="0" w:line="275" w:lineRule="auto"/>
        <w:rPr>
          <w:sz w:val="20"/>
          <w:szCs w:val="20"/>
          <w:color w:val="auto"/>
        </w:rPr>
      </w:pPr>
      <w:r>
        <w:rPr>
          <w:rFonts w:ascii="Arial" w:cs="Arial" w:eastAsia="Arial" w:hAnsi="Arial"/>
          <w:sz w:val="16"/>
          <w:szCs w:val="16"/>
          <w:color w:val="auto"/>
        </w:rPr>
        <w:t>The transaction price for each collaboration agreement is determined based on the amount of consideration we expect to be entitled for satisfying all performance obligations within the agreement. Significant judgment may be required in determining the amount of variable consideration to be included in the transaction price. We use the most likely amount method to determine variable consideration and will re-evaluate the transaction price in each reporting period and as uncertain events are resolved or other changes in circumstances occur.</w:t>
      </w:r>
    </w:p>
    <w:p>
      <w:pPr>
        <w:spacing w:after="0" w:line="7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Revenue is recognized based on actual costs incurred as a percentage of total estimated costs to be incurred over the performance obligation as we fulfill our performance obligations. A cost-based input method of revenue recognition requires management to make estimates of costs to complete our performance obligations. In making such estimates, significant judgment is required to evaluate assumptions related to cost estimates. The cumulative effect of revisions to estimated costs to fulfill our performance obligations will be recorded in the period in which changes are identified and amounts can be reasonably estimated.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4" w:lineRule="exact"/>
        <w:rPr>
          <w:sz w:val="20"/>
          <w:szCs w:val="20"/>
          <w:color w:val="auto"/>
        </w:rPr>
      </w:pPr>
    </w:p>
    <w:p>
      <w:pPr>
        <w:ind w:left="200" w:right="480"/>
        <w:spacing w:after="0" w:line="239"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with respect to tangible and intangible assets acquired and liabilities assumed and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60"/>
        <w:spacing w:after="0" w:line="264" w:lineRule="auto"/>
        <w:rPr>
          <w:sz w:val="20"/>
          <w:szCs w:val="20"/>
          <w:color w:val="auto"/>
        </w:rPr>
      </w:pPr>
      <w:r>
        <w:rPr>
          <w:rFonts w:ascii="Arial" w:cs="Arial" w:eastAsia="Arial" w:hAnsi="Arial"/>
          <w:sz w:val="16"/>
          <w:szCs w:val="16"/>
          <w:color w:val="auto"/>
        </w:rPr>
        <w:t>pre-acquisition contingencies. We use our best estimates and assumptions to accurately assign fair value to the tangible and intangible assets acquired and liabilities assumed at the acquisition date as well as the useful lives of those acquired intangible assets. Examples of critical estimates in valuing certain of the intangible assets we have acquired include but are not limited to developed technologies</w:t>
      </w:r>
    </w:p>
    <w:p>
      <w:pPr>
        <w:spacing w:after="0" w:line="1" w:lineRule="exact"/>
        <w:rPr>
          <w:sz w:val="20"/>
          <w:szCs w:val="20"/>
          <w:color w:val="auto"/>
        </w:rPr>
      </w:pPr>
    </w:p>
    <w:p>
      <w:pPr>
        <w:ind w:left="200" w:right="540"/>
        <w:spacing w:after="0" w:line="299" w:lineRule="auto"/>
        <w:rPr>
          <w:sz w:val="20"/>
          <w:szCs w:val="20"/>
          <w:color w:val="auto"/>
        </w:rPr>
      </w:pPr>
      <w:r>
        <w:rPr>
          <w:rFonts w:ascii="Arial" w:cs="Arial" w:eastAsia="Arial" w:hAnsi="Arial"/>
          <w:sz w:val="16"/>
          <w:szCs w:val="16"/>
          <w:color w:val="auto"/>
        </w:rPr>
        <w:t>and in-process research and development. Our estimates may also impact our deferred income tax assets and liabilities. Unanticipated events and circumstances may occur that may affect the accuracy or validity of such assumptions, estimates or actual results.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record accrued expenses for estimated preclinical study and clinical trial expenses. Estimates are based on the services performed pursuant to contracts with research institutions and contract research organizations and clinical manufacturing organizations that conduct and manage preclinical studies and clinical trials on our behalf based on actual time and expenses incurred by them. Further, we accrue expenses related to clinical trials based on the level of patient enrollment and activity according to the related agreement. We monitor patient enrollment levels and related activity to the extent reasonably possible and make judgments and estimates in determining the accrued balance in each reporting period. If we underestimate or overestimate the level of services performed or the costs of these services, our actual expenses could differ from our estimates. To date, we have not experienced significant changes in our estimates of preclinical studies and clinical trial accruals.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We maintain an equity incentive plan as a long-term incentive for employees, consultants and members of our board of directors. The plan allows for the issuance of non-statutory options, or NSOs, incentive stock options to employees and NSOs to nonemployees.</w:t>
      </w:r>
    </w:p>
    <w:p>
      <w:pPr>
        <w:spacing w:after="0" w:line="101"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Stock-based compensation is measured using estimated grant date fair value and recognized as compensation expense over the service period in which the awards are expected to vest. We estimate the grant date fair value, and the resulting stock-based compensation, using the Black-Scholes option-pricing model, and we use the straight-line method for expense attribution. The fair-value-based measurements of options granted to nonemployees are remeasured at each period end until the options vest and are amortized to expense as earned. The valuation model used for calculating the estimated fair value of stock awards is the Black-Scholes option-pricing model. The Black-Scholes model requires us to make assumptions and judgments about the variables used in the calculations, including the expected term (weighted-average period of time that the options granted are expected to be outstanding), the expected volatility of our common stock, the related risk-free interest rate and the expected dividend. We have elected to recognize forfeitures of stock-based awards as they occur.</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Black-Scholes option-pricing model requires the use of highly subjective assumptions to determine the fair value of stock-based awards.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assumptions include:</w:t>
      </w:r>
    </w:p>
    <w:p>
      <w:pPr>
        <w:spacing w:after="0" w:line="99" w:lineRule="exact"/>
        <w:rPr>
          <w:sz w:val="20"/>
          <w:szCs w:val="20"/>
          <w:color w:val="auto"/>
        </w:rPr>
      </w:pPr>
    </w:p>
    <w:p>
      <w:pPr>
        <w:ind w:left="420" w:right="160" w:hanging="216"/>
        <w:spacing w:after="0" w:line="247" w:lineRule="auto"/>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weighted-average period the stock options are expected to remain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options’ vesting terms, contractual terms and industry peers, as we did not have sufficient historical information to develop reasonable expectations about future exercise patterns and post-vesting employment termination behavior.</w:t>
      </w:r>
    </w:p>
    <w:p>
      <w:pPr>
        <w:spacing w:after="0" w:line="90" w:lineRule="exact"/>
        <w:rPr>
          <w:rFonts w:ascii="Arial" w:cs="Arial" w:eastAsia="Arial" w:hAnsi="Arial"/>
          <w:sz w:val="18"/>
          <w:szCs w:val="18"/>
          <w:color w:val="auto"/>
        </w:rPr>
      </w:pPr>
    </w:p>
    <w:p>
      <w:pPr>
        <w:ind w:left="420" w:right="60" w:hanging="216"/>
        <w:spacing w:after="0" w:line="243" w:lineRule="auto"/>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have been privately held and do not have any trading history for our common stock, the expected volatility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based on the average volatility for comparable publicly traded biotechnology companies over a period equal to the expected term of the stock option grants. The comparable companies are chosen based on their similar size, stage in the life cycle or area of specialty.</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 w:right="480" w:hanging="216"/>
        <w:spacing w:after="0" w:line="260" w:lineRule="auto"/>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78" w:lineRule="exact"/>
        <w:rPr>
          <w:rFonts w:ascii="Arial" w:cs="Arial" w:eastAsia="Arial" w:hAnsi="Arial"/>
          <w:sz w:val="18"/>
          <w:szCs w:val="18"/>
          <w:color w:val="auto"/>
        </w:rPr>
      </w:pPr>
    </w:p>
    <w:p>
      <w:pPr>
        <w:ind w:left="420" w:right="480" w:hanging="216"/>
        <w:spacing w:after="0" w:line="260" w:lineRule="auto"/>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Historically, for all periods prior to this initial public offering, the fair values of the shares of common stock underlying our stock-based awards were estimated on each grant date by our board of directors. In order to determine the fair value of our common stock underlying option grants, our board of directors considered, among other things, valuations of our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 Issued as Compensation.</w:t>
      </w:r>
    </w:p>
    <w:p>
      <w:pPr>
        <w:spacing w:after="0" w:line="103"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For our valuations performed on or prior to December 31, 2018, we used the discounted cash flow model to estimate the value of equity, and allocated the equity value to the various classes of equity using an option pricing method, or OPM. The OPM uses option theory to value the various classes of a company’s securities in light of their respective claims to the enterprise value. For our valuations performed in 2019, we utilized a multi-scenario OPM utilizing two scenarios, an initial public offering, or IPO, scenario and a non-IPO scenario. The IPO scenario value was based on management’s estimated IPO valuation and IPO timing, discounted back to the valuation date. The non-IPO scenario per share value was based on the discounted cash flow model to estimate the value of equity, allocating the equity value to the various classes of equity using an OPM. Under a multi-scenario OPM, the per share values calculated under each scenario of the OPM are weighted based on the probability of expected outcomes and the quality of the information specific to each allocation methodology to arrive at a final estimated fair value per share of the common stock before a discount for lack of marketability is applied.</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Given the absence of a public trading market for our common stock, our board of directors exercised their judgment and considered a number of objective and subjective factors to determine the best estimate of the fair value of our common stock, including important developments in our operations, valuations performed by an independent third party, sales of preferred stock, actual operating results and financial performance, the conditions in the biotechnology industry and the economy in general, the stock price performance and volatility of comparable public companies, and the lack of liquidity of our common stock, among other factors. After the closing of this offering, our board of directors will determine the fair value of each share of underlying common stock based on the closing price of our common stock as reported on the date of the grant. Our board of directors intends all options granted to be exercisable at a price per share not less than the per share fair value of our common stock underlying those options on the grant date.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Emerging growth company status</w:t>
      </w:r>
    </w:p>
    <w:p>
      <w:pPr>
        <w:spacing w:after="0" w:line="134"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an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early adopted ASC 606 as the JOBS Act does not preclude an EGC from early adopting a new or revised accounting standard earlier than the time that such standard applies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Recent accounting pronouncements</w:t>
      </w:r>
    </w:p>
    <w:p>
      <w:pPr>
        <w:spacing w:after="0" w:line="13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See the sections titled “Summary of significant accounting policies—recently issued and adopted accounting Pronouncements” and “Recent accounting pronouncements not yet adopted” in Note 2 to our audited consolidated financial statements and Note 2 to our unaudited condensed consolidated financial statements included elsewhere in this prospectus for additional information.</w:t>
      </w:r>
    </w:p>
    <w:p>
      <w:pPr>
        <w:spacing w:after="0" w:line="1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40"/>
          </w:cols>
          <w:pgMar w:left="240" w:top="459" w:right="6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Business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Overview</w:t>
      </w:r>
    </w:p>
    <w:p>
      <w:pPr>
        <w:spacing w:after="0" w:line="116"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color w:val="auto"/>
        </w:rPr>
        <w:t xml:space="preserve">We are a clinical-stage precision oncology company focused on developing novel targeted therapies to inhibit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within notorious growth and survival pathways, with particular emphasis on the RAS and mTOR signaling pathways. We define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as proteins that play an important role in cancer and for which there is either: (1) no approved drug that directly </w:t>
      </w:r>
      <w:r>
        <w:rPr>
          <w:rFonts w:ascii="Arial" w:cs="Arial" w:eastAsia="Arial" w:hAnsi="Arial"/>
          <w:sz w:val="18"/>
          <w:szCs w:val="18"/>
          <w:b w:val="1"/>
          <w:bCs w:val="1"/>
          <w:color w:val="auto"/>
        </w:rPr>
        <w:t>inhibits</w:t>
      </w:r>
      <w:r>
        <w:rPr>
          <w:rFonts w:ascii="Arial" w:cs="Arial" w:eastAsia="Arial" w:hAnsi="Arial"/>
          <w:sz w:val="18"/>
          <w:szCs w:val="18"/>
          <w:color w:val="auto"/>
        </w:rPr>
        <w:t xml:space="preserve"> it, or (2) one or more approved drugs that directly inhibit it but through a mechanism of action that may not enable </w:t>
      </w:r>
      <w:r>
        <w:rPr>
          <w:rFonts w:ascii="Arial" w:cs="Arial" w:eastAsia="Arial" w:hAnsi="Arial"/>
          <w:sz w:val="18"/>
          <w:szCs w:val="18"/>
          <w:b w:val="1"/>
          <w:bCs w:val="1"/>
          <w:color w:val="auto"/>
        </w:rPr>
        <w:t>suppression of the full range of its</w:t>
      </w:r>
      <w:r>
        <w:rPr>
          <w:rFonts w:ascii="Arial" w:cs="Arial" w:eastAsia="Arial" w:hAnsi="Arial"/>
          <w:sz w:val="18"/>
          <w:szCs w:val="18"/>
          <w:color w:val="auto"/>
        </w:rPr>
        <w:t xml:space="preserve"> </w:t>
      </w:r>
      <w:r>
        <w:rPr>
          <w:rFonts w:ascii="Arial" w:cs="Arial" w:eastAsia="Arial" w:hAnsi="Arial"/>
          <w:sz w:val="18"/>
          <w:szCs w:val="18"/>
          <w:b w:val="1"/>
          <w:bCs w:val="1"/>
          <w:color w:val="auto"/>
        </w:rPr>
        <w:t>biologic contributions to cancer</w:t>
      </w:r>
      <w:r>
        <w:rPr>
          <w:rFonts w:ascii="Arial" w:cs="Arial" w:eastAsia="Arial" w:hAnsi="Arial"/>
          <w:sz w:val="18"/>
          <w:szCs w:val="18"/>
          <w:color w:val="auto"/>
        </w:rPr>
        <w:t>.</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 xml:space="preserve">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 Our most advanced product candidate, RMC-4630, is a potent and selective inhibitor of SHP2, based on preclinical evidence described in this prospectus. SHP2 is a central node in the RAS signaling pathway. In collaboration with Sanofi, we are evaluating RMC-4630 in a multi-cohort Phase 1/2 clinical program. This RMC-4630 Phase 1/2 program currently consists of two active clinical trials: RMC-4630-01, a Phase 1 study of RMC-4630 as a single agent, and RMC-4630-02, a Phase 1b/2 study of RMC-4630 in combination with the MEK inhibitor cobimetinib (Cotellic). In this prospectus, we report preliminary data from 63 patients who had enrolled in our Phase 1 study and received RMC-4630 as a monotherapy as of November 6, 2019 and from eight patients who had enrolled in our Phase 1b/2 combination study and received RMC-4630 as of November 14, 2019. Leveraging our proprietary tri-complex technology platform, we are also developing a portfolio of mutant-selective RAS inhibitors that we believe are the first potent, selective, cell-active inhibitors of the active, GTP-bound form of RAS, or RAS(ON). These inhibitors also have exhibited anti-tumor activity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preclinical models. Initially, we will prioritize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—and expect to nominate our first development candidate in 2020. Our pipeline also includes inhibitors of other key nodes within the RAS and mTOR signaling pathways, such as SOS1 and mTORC1. Our pipeline includes one product candidate that is in clinical development and all of our other programs are in the preclinical stage.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106"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The RAS and mTOR signaling cascades are among the most frequently exploited by human cancers, where mutations in key nodes in these pathways cause excessive or aberrant signaling and cell growth. For example, mutations in RAS proteins account for approximately 30% of all human cancers in the United States, many of which are fatal. According to the National Cancer Institute, KRAS protein mutations occur in up to 35% of lung, 45% of colon and 95% of pancreatic cancers. Cancers caused by RAS-pathway mutations exhibit a phenomenon called “oncogene addiction,” in which tumor cells become highly dependent on signaling through the RAS pathway to survive. The importance of the RAS pathway in cancer has led to the development of several targeted therapies that can profoundly inhibit tumor growth and cause regressions in some instances. However, cancer cells can eventually develop adaptive resistance, losing sensitivity to treatment by hijacking other cell signaling circuitry to circumvent the inhibition and restore RAS-dependent signaling. The need to overcome this resistance in treating RAS-dependent tumors has led to the use of combination regimens designed to inhibit the RAS signaling pathway at multiple nodes simultaneously in an attempt to prolong the depth and durability of clinical benefit.</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 xml:space="preserve">Despite recent progress in targeted therapies, we believe there is a significant need and opportunity to further improve the treatment of certain cancers. We have built an innovation engine consisting of three complementary drivers that enable us to discover and develop targeted therapies for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targets within notorious growth and survival pathways:</w:t>
      </w:r>
    </w:p>
    <w:p>
      <w:pPr>
        <w:spacing w:after="0" w:line="92" w:lineRule="exact"/>
        <w:rPr>
          <w:sz w:val="20"/>
          <w:szCs w:val="20"/>
          <w:color w:val="auto"/>
        </w:rPr>
      </w:pPr>
    </w:p>
    <w:p>
      <w:pPr>
        <w:ind w:left="420" w:right="260" w:hanging="216"/>
        <w:spacing w:after="0" w:line="264"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Deep </w:t>
      </w:r>
      <w:r>
        <w:rPr>
          <w:rFonts w:ascii="Arial" w:cs="Arial" w:eastAsia="Arial" w:hAnsi="Arial"/>
          <w:sz w:val="18"/>
          <w:szCs w:val="18"/>
          <w:b w:val="1"/>
          <w:bCs w:val="1"/>
          <w:color w:val="auto"/>
        </w:rPr>
        <w:t>chemical biology and cancer pharmacology know-how</w:t>
      </w:r>
      <w:r>
        <w:rPr>
          <w:rFonts w:ascii="Arial" w:cs="Arial" w:eastAsia="Arial" w:hAnsi="Arial"/>
          <w:sz w:val="18"/>
          <w:szCs w:val="18"/>
          <w:color w:val="auto"/>
        </w:rPr>
        <w:t>, including assays and proprietary tool compounds, to define the critical vulnerabilities of “frontier” RAS and mTOR pathway targets and associated signaling circuits in cancer cells;</w:t>
      </w:r>
    </w:p>
    <w:p>
      <w:pPr>
        <w:spacing w:after="0" w:line="71" w:lineRule="exact"/>
        <w:rPr>
          <w:rFonts w:ascii="Arial" w:cs="Arial" w:eastAsia="Arial" w:hAnsi="Arial"/>
          <w:sz w:val="18"/>
          <w:szCs w:val="18"/>
          <w:color w:val="auto"/>
        </w:rPr>
      </w:pPr>
    </w:p>
    <w:p>
      <w:pPr>
        <w:ind w:left="420" w:right="540" w:hanging="216"/>
        <w:spacing w:after="0" w:line="264"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Sophisticated </w:t>
      </w:r>
      <w:r>
        <w:rPr>
          <w:rFonts w:ascii="Arial" w:cs="Arial" w:eastAsia="Arial" w:hAnsi="Arial"/>
          <w:sz w:val="18"/>
          <w:szCs w:val="18"/>
          <w:b w:val="1"/>
          <w:bCs w:val="1"/>
          <w:color w:val="auto"/>
        </w:rPr>
        <w:t>structure-based drug discovery capabilities</w:t>
      </w:r>
      <w:r>
        <w:rPr>
          <w:rFonts w:ascii="Arial" w:cs="Arial" w:eastAsia="Arial" w:hAnsi="Arial"/>
          <w:sz w:val="18"/>
          <w:szCs w:val="18"/>
          <w:color w:val="auto"/>
        </w:rPr>
        <w:t xml:space="preserve">, including proven </w:t>
      </w:r>
      <w:r>
        <w:rPr>
          <w:rFonts w:ascii="Arial" w:cs="Arial" w:eastAsia="Arial" w:hAnsi="Arial"/>
          <w:sz w:val="18"/>
          <w:szCs w:val="18"/>
          <w:b w:val="1"/>
          <w:bCs w:val="1"/>
          <w:color w:val="auto"/>
        </w:rPr>
        <w:t>access to complex chemical space</w:t>
      </w:r>
      <w:r>
        <w:rPr>
          <w:rFonts w:ascii="Arial" w:cs="Arial" w:eastAsia="Arial" w:hAnsi="Arial"/>
          <w:sz w:val="18"/>
          <w:szCs w:val="18"/>
          <w:color w:val="auto"/>
        </w:rPr>
        <w:t>, to create drug candidates tailored to unconventional binding sites on elusive cancer targets; and</w:t>
      </w:r>
    </w:p>
    <w:p>
      <w:pPr>
        <w:spacing w:after="0" w:line="71" w:lineRule="exact"/>
        <w:rPr>
          <w:rFonts w:ascii="Arial" w:cs="Arial" w:eastAsia="Arial" w:hAnsi="Arial"/>
          <w:sz w:val="18"/>
          <w:szCs w:val="18"/>
          <w:color w:val="auto"/>
        </w:rPr>
      </w:pPr>
    </w:p>
    <w:p>
      <w:pPr>
        <w:ind w:left="420" w:right="540" w:hanging="216"/>
        <w:spacing w:after="0" w:line="328" w:lineRule="auto"/>
        <w:tabs>
          <w:tab w:leader="none" w:pos="4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32"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Focusing these drivers on a cohesive set of related disease targets provides biological, chemical and translational insights that can be leveraged to maximize the efficiency and effectiveness of our discovery and development efforts. We have built a portfolio of compounds that inhibit select signaling nodes within these pathways, including clinical targets that previously have been difficult or impossible to drug. We believe our current and future product candidates, when used in specialized dosing paradigms and rational in-pathway combinations, will have the potential to promote profound and sustainable clinical benefit, combat adaptive resistance mechanisms and, in some cases, supplant the current standard of care for patients with tumors driven by these pathways.</w:t>
      </w:r>
    </w:p>
    <w:p>
      <w:pPr>
        <w:spacing w:after="0" w:line="102"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Our most advanced product candidate, RMC-4630, is a potent and selective inhibitor of SHP2, based on preclinical evidence described in this prospectus. SHP2 is a protein that plays a central role in modulating cell survival and growth by transmitting signals from upstream receptor tyrosine kinases, or RTKs, to RAS. In collaboration with Sanofi, we are evaluating RMC-4630 in a multi-cohort Phase 1/2 clinical program, which includes our ongoing Phase 1 study of RMC-4630 as monotherapy in patients with advanced cancers, including those with tumors harboring genetically defined mutations in the RAS signaling pathway and our ongoing Phase 1b/2 study of RMC-4630 in combination with the MEK inhibitor cobimetinib. Based on our own data, and supported by observations by others, we are evaluating intermittent dosing schedules in our clinical program to allow us to maximize dose intensity in order to achieve the greatest depth of response. We also plan to explore the potential clinical benefit of RMC-4630 in combination with other in-pathway agents such as RTK (initially epidermal growth factor receptor, or EGFR) and KRAS</w:t>
      </w:r>
      <w:r>
        <w:rPr>
          <w:rFonts w:ascii="Arial" w:cs="Arial" w:eastAsia="Arial" w:hAnsi="Arial"/>
          <w:sz w:val="11"/>
          <w:szCs w:val="11"/>
          <w:color w:val="auto"/>
        </w:rPr>
        <w:t>G12C</w:t>
      </w:r>
      <w:r>
        <w:rPr>
          <w:rFonts w:ascii="Arial" w:cs="Arial" w:eastAsia="Arial" w:hAnsi="Arial"/>
          <w:sz w:val="18"/>
          <w:szCs w:val="18"/>
          <w:color w:val="auto"/>
        </w:rPr>
        <w:t xml:space="preserve"> inhibitors, as well as in combination with PD-1 inhibitors. In November 2019, we entered into an agreement with Amgen to evaluate the combination of RMC-4630 and Amgen’s KRAS</w:t>
      </w:r>
      <w:r>
        <w:rPr>
          <w:rFonts w:ascii="Arial" w:cs="Arial" w:eastAsia="Arial" w:hAnsi="Arial"/>
          <w:sz w:val="11"/>
          <w:szCs w:val="11"/>
          <w:color w:val="auto"/>
        </w:rPr>
        <w:t>G12C</w:t>
      </w:r>
      <w:r>
        <w:rPr>
          <w:rFonts w:ascii="Arial" w:cs="Arial" w:eastAsia="Arial" w:hAnsi="Arial"/>
          <w:sz w:val="18"/>
          <w:szCs w:val="18"/>
          <w:color w:val="auto"/>
        </w:rPr>
        <w:t>(OFF) inhibitor AMG 510 in a Phase 1b trial that will be conducted by Amgen. Although we are at an early stage of clinical testing and product candidate development, we believe RMC-4630 is well-positioned to become the backbone of targeted therapy combinations for the treatment of various RAS-dependent tumors. Under our collaboration with Sanofi on our SHP2 program,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w:t>
      </w:r>
    </w:p>
    <w:p>
      <w:pPr>
        <w:spacing w:after="0" w:line="10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are also developing a portfolio of what we believe to be the first potent, selective and cell-active inhibitors of mutant RAS(ON) proteins. Historically, direct inhibition of any RAS protein has been challenging due to a lack of tractable, or “druggable,” binding pockets. Recently, selective inhibitors of inactive, GDP-bound forms of RAS, or RAS(OFF), have demonstrated encouraging preliminary anti-tumor effects and thus provide clinical validation for targeting mutant RAS in cancer. Our small molecule inhibitors of mutant RAS(ON) are derived from our proprietary tri-complex technology platform, which enables us to target proteins lacking intrinsic drug binding sites by inducing new druggable pockets. Initially, we will prioritize four mutant RAS(ON)</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75" w:lineRule="auto"/>
        <w:rPr>
          <w:sz w:val="20"/>
          <w:szCs w:val="20"/>
          <w:color w:val="auto"/>
        </w:rPr>
      </w:pPr>
      <w:r>
        <w:rPr>
          <w:rFonts w:ascii="Arial" w:cs="Arial" w:eastAsia="Arial" w:hAnsi="Arial"/>
          <w:sz w:val="16"/>
          <w:szCs w:val="16"/>
          <w:color w:val="auto"/>
        </w:rPr>
        <w:t>targets—KRAS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—and expect to nominate our first development candidate in 2020. We plan to evaluate our RAS(ON) inhibitors alone and in combination with other drugs and investigational new drugs, particularly in-pathway agents. We believe that targeted inhibition of various oncogenic RAS(ON) mutants represents a highly differentiated approach for treating the large population of patients with diverse RAS mutations, including non-small cell lung cancer, or NSCLC, colorectal, pancreatic and other cancers.</w:t>
      </w:r>
    </w:p>
    <w:p>
      <w:pPr>
        <w:spacing w:after="0" w:line="75"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have two preclinical programs targeting other key nodes in the RAS and mTOR signaling pathways. Our program targeting SOS1, a protein that plays a key role in converting RAS(OFF) to RAS(ON) in cells, is currently 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0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management team has significant experience in oncology and in progressing products from early stage research to clinical trials, and ultimately to regulatory approval and commercialization. Dr. Steve Kelsey, our President of Research and Development, was previously President of Onkaido Therapeutics, a Moderna venture focused on oncology mRNA therapeutics, and has held senior positions at Medivation, Geron and Genentech, where he played a significant role in the development of Perjeta, Kadcyla and Erivedge. Our President and Chief Executive Officer, Dr. Mark Goldsmith, served as Chief Executive Officer of Constellation Pharmaceuticals, where he led the creation of its oncology pipeline and drove the development of a strategic alliance with Genentech. He also has led four other companies spanning early discovery through development, including Global Blood Therapeutics, where he led the discovery and early development of voxelotor. We are also supported by a leading syndicate of investors, which include our founding investor, Third Rock Ventures, and BVF, Casdin Capital, Cormorant, Deerfield, Fidelity, Nextech, Tavistock, The Column Group and Vivo Ventures.</w:t>
      </w:r>
    </w:p>
    <w:p>
      <w:pPr>
        <w:spacing w:after="0" w:line="10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Our company was founded and continues to be supported by three world-class scientific advisors: Dr. Kevan Shokat (Professor and Chair of the Department of Cellular and Molecular Pharmacology at University of California, San Francisco, Professor of Chemistry at the University of California, Berkeley and an investigator at the Howard Hughes Medical Institute), Dr. Martin Burke (Professor of Chemistry at the University of Illinois at Urbana-Champaign) and Dr. Michael Fischbach (Associate Professor in the Department of Bioengineering at Stanford University and a Stanford ChEM-H Institute Scholar). Dr. Shokat is widely recognized for his seminal contributions to the field of kinase biology, using chemistry, protein engineering and genetic tools to pioneer novel therapeutic approaches to target key signaling pathways in cancer. He led the discovery of the first KRAS</w:t>
      </w:r>
      <w:r>
        <w:rPr>
          <w:rFonts w:ascii="Arial" w:cs="Arial" w:eastAsia="Arial" w:hAnsi="Arial"/>
          <w:sz w:val="11"/>
          <w:szCs w:val="11"/>
          <w:color w:val="auto"/>
        </w:rPr>
        <w:t>G12C</w:t>
      </w:r>
      <w:r>
        <w:rPr>
          <w:rFonts w:ascii="Arial" w:cs="Arial" w:eastAsia="Arial" w:hAnsi="Arial"/>
          <w:sz w:val="18"/>
          <w:szCs w:val="18"/>
          <w:color w:val="auto"/>
        </w:rPr>
        <w:t>(OFF) inhibitor.</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strategy</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goal is to develop novel targeted therapies to outsmart cancer for the benefit of patients. We plan to pursue the following strategies:</w:t>
      </w:r>
    </w:p>
    <w:p>
      <w:pPr>
        <w:spacing w:after="0" w:line="97" w:lineRule="exact"/>
        <w:rPr>
          <w:sz w:val="20"/>
          <w:szCs w:val="20"/>
          <w:color w:val="auto"/>
        </w:rPr>
      </w:pPr>
    </w:p>
    <w:p>
      <w:pPr>
        <w:ind w:left="420" w:right="40" w:hanging="216"/>
        <w:spacing w:after="0"/>
        <w:tabs>
          <w:tab w:leader="none" w:pos="42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Deploy our innovation engine against frontier oncology targets. </w:t>
      </w:r>
      <w:r>
        <w:rPr>
          <w:rFonts w:ascii="Arial" w:cs="Arial" w:eastAsia="Arial" w:hAnsi="Arial"/>
          <w:sz w:val="18"/>
          <w:szCs w:val="18"/>
          <w:color w:val="auto"/>
        </w:rPr>
        <w:t>We use our chemical biology and cancer pharmacology know-how,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structure-based drug discovery capabilities, and precision medicine approach to discover and develop compounds designed to overcome the complex molecular circuitry of cancer. We focus on a cohesive set of genetically-defined targets in the RAS signaling pathway to create compounds that may be used alone and in combination with other targeted therapies. We evaluate in-pathway proprietary mechanism-based combination therapies and innovative dosing paradigms. Collectively, these are designed to maximize the depth and durability of clinical benefit and improve the lives of patients with cancer.</w:t>
      </w:r>
    </w:p>
    <w:p>
      <w:pPr>
        <w:spacing w:after="0" w:line="95" w:lineRule="exact"/>
        <w:rPr>
          <w:rFonts w:ascii="Arial" w:cs="Arial" w:eastAsia="Arial" w:hAnsi="Arial"/>
          <w:sz w:val="18"/>
          <w:szCs w:val="18"/>
          <w:color w:val="auto"/>
        </w:rPr>
      </w:pPr>
    </w:p>
    <w:p>
      <w:pPr>
        <w:ind w:left="420" w:right="560" w:hanging="216"/>
        <w:spacing w:after="0" w:line="262" w:lineRule="auto"/>
        <w:tabs>
          <w:tab w:leader="none" w:pos="42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our proprietary SHP2 inhibitor, RMC-4630, as the backbone of targeted therapy combinations for the treatment of RAS-dependent tumors. </w:t>
      </w:r>
      <w:r>
        <w:rPr>
          <w:rFonts w:ascii="Arial" w:cs="Arial" w:eastAsia="Arial" w:hAnsi="Arial"/>
          <w:sz w:val="18"/>
          <w:szCs w:val="18"/>
          <w:color w:val="auto"/>
        </w:rPr>
        <w:t>As SHP2 is a convergent node within the oncogenic RAS-signaling</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spacing w:after="0" w:line="271" w:lineRule="auto"/>
        <w:rPr>
          <w:sz w:val="20"/>
          <w:szCs w:val="20"/>
          <w:color w:val="auto"/>
        </w:rPr>
      </w:pPr>
      <w:r>
        <w:rPr>
          <w:rFonts w:ascii="Arial" w:cs="Arial" w:eastAsia="Arial" w:hAnsi="Arial"/>
          <w:sz w:val="16"/>
          <w:szCs w:val="16"/>
          <w:color w:val="auto"/>
        </w:rPr>
        <w:t>pathway, we plan to evaluate RMC-4630 in combination with other in-pathway agents targeting RTK (initially EGFR), and KRAS</w:t>
      </w:r>
      <w:r>
        <w:rPr>
          <w:rFonts w:ascii="Arial" w:cs="Arial" w:eastAsia="Arial" w:hAnsi="Arial"/>
          <w:sz w:val="10"/>
          <w:szCs w:val="10"/>
          <w:color w:val="auto"/>
        </w:rPr>
        <w:t>G12C</w:t>
      </w:r>
      <w:r>
        <w:rPr>
          <w:rFonts w:ascii="Arial" w:cs="Arial" w:eastAsia="Arial" w:hAnsi="Arial"/>
          <w:sz w:val="16"/>
          <w:szCs w:val="16"/>
          <w:color w:val="auto"/>
        </w:rPr>
        <w:t>. We have initiated a Phase 1b/2 trial of RMC-4630 with cobimetinib (a MEK inhibitor) and we plan to evaluate RMC-4630 in combination with osimertinib (an EGFR inhibitor). We also intend to study RMC-4630 in combination with Amgen’s AMG 510, a KRAS</w:t>
      </w:r>
      <w:r>
        <w:rPr>
          <w:rFonts w:ascii="Arial" w:cs="Arial" w:eastAsia="Arial" w:hAnsi="Arial"/>
          <w:sz w:val="10"/>
          <w:szCs w:val="10"/>
          <w:color w:val="auto"/>
        </w:rPr>
        <w:t>G12C</w:t>
      </w:r>
      <w:r>
        <w:rPr>
          <w:rFonts w:ascii="Arial" w:cs="Arial" w:eastAsia="Arial" w:hAnsi="Arial"/>
          <w:sz w:val="16"/>
          <w:szCs w:val="16"/>
          <w:color w:val="auto"/>
        </w:rPr>
        <w:t>(OFF) inhibitor, in a Phase 1b trial that will be conducted by Amgen and subsequently in combination with our proprietary KRAS</w:t>
      </w:r>
      <w:r>
        <w:rPr>
          <w:rFonts w:ascii="Arial" w:cs="Arial" w:eastAsia="Arial" w:hAnsi="Arial"/>
          <w:sz w:val="10"/>
          <w:szCs w:val="10"/>
          <w:color w:val="auto"/>
        </w:rPr>
        <w:t>G12C</w:t>
      </w:r>
      <w:r>
        <w:rPr>
          <w:rFonts w:ascii="Arial" w:cs="Arial" w:eastAsia="Arial" w:hAnsi="Arial"/>
          <w:sz w:val="16"/>
          <w:szCs w:val="16"/>
          <w:color w:val="auto"/>
        </w:rPr>
        <w:t>(ON) inhibitor once a clinical candidate has been selected for development. As many patients with tumors carrying mutations that are potentially SHP2-dependent are currently treated with immune checkpoint inhibitors, we also plan to study RMC-4630 in combination with a PD-1 inhibitor.</w:t>
      </w:r>
    </w:p>
    <w:p>
      <w:pPr>
        <w:spacing w:after="0" w:line="71" w:lineRule="exact"/>
        <w:rPr>
          <w:sz w:val="20"/>
          <w:szCs w:val="20"/>
          <w:color w:val="auto"/>
        </w:rPr>
      </w:pPr>
    </w:p>
    <w:p>
      <w:pPr>
        <w:ind w:left="420" w:right="40" w:hanging="216"/>
        <w:spacing w:after="0" w:line="239" w:lineRule="auto"/>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Pioneer mutant selective RAS(ON) inhibition across multiple genetically defined cancers. </w:t>
      </w:r>
      <w:r>
        <w:rPr>
          <w:rFonts w:ascii="Arial" w:cs="Arial" w:eastAsia="Arial" w:hAnsi="Arial"/>
          <w:sz w:val="18"/>
          <w:szCs w:val="18"/>
          <w:color w:val="auto"/>
        </w:rPr>
        <w:t>There are dozens of RAS mutants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been implicated as molecular drivers of cancer. We are developing a pipeline of small molecules targeting multiple oncogenic forms of RAS(ON) that are derived from our proprietary tri-complex technology platform. Initially, we will prioritize four mutant RAS(ON) targets— 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—and expect to nominate our first development candidate in 2020. We plan to evaluate our RAS(ON) inhibitors alone and in combination with other drugs and investigational new drugs, particularly in-pathway agents. We believe that targeted inhibition of various oncogenic RAS(ON) mutants represents a highly differentiated approach for treating the large population of patients with diverse RAS mutations, including NSCLC, colorectal, pancreatic and other cancers.</w:t>
      </w:r>
    </w:p>
    <w:p>
      <w:pPr>
        <w:spacing w:after="0" w:line="96" w:lineRule="exact"/>
        <w:rPr>
          <w:rFonts w:ascii="Arial" w:cs="Arial" w:eastAsia="Arial" w:hAnsi="Arial"/>
          <w:sz w:val="18"/>
          <w:szCs w:val="18"/>
          <w:color w:val="auto"/>
        </w:rPr>
      </w:pPr>
    </w:p>
    <w:p>
      <w:pPr>
        <w:ind w:left="420" w:right="80" w:hanging="216"/>
        <w:spacing w:after="0"/>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global value of our programs by continuing to execute synergistic and value-creating transactions. </w:t>
      </w:r>
      <w:r>
        <w:rPr>
          <w:rFonts w:ascii="Arial" w:cs="Arial" w:eastAsia="Arial" w:hAnsi="Arial"/>
          <w:sz w:val="18"/>
          <w:szCs w:val="18"/>
          <w:color w:val="auto"/>
        </w:rPr>
        <w:t>We have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organizational capabilities and resources to enable us to continue to complete value-creating transactions, such as our collaboration with Sanofi on SHP2 and our acquisition of Warp Drive. In the future, we may enter into other collaborations where we believe there is an opportunity to accelerate the development and commercialization of our product candidates while allowing us to retain meaningful rights in major markets. We may also seek to acquire or in-license product candidates or technologies opportunistically that are synergistic with our drug discovery and development efforts.</w:t>
      </w:r>
    </w:p>
    <w:p>
      <w:pPr>
        <w:spacing w:after="0" w:line="93" w:lineRule="exact"/>
        <w:rPr>
          <w:rFonts w:ascii="Arial" w:cs="Arial" w:eastAsia="Arial" w:hAnsi="Arial"/>
          <w:sz w:val="18"/>
          <w:szCs w:val="18"/>
          <w:color w:val="auto"/>
        </w:rPr>
      </w:pPr>
    </w:p>
    <w:p>
      <w:pPr>
        <w:ind w:left="420" w:right="180" w:hanging="216"/>
        <w:spacing w:after="0" w:line="244" w:lineRule="auto"/>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Maintain our culture of tireless commitment to patients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 grow our business, we will continue to apply transformative science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development of novel targeted therapies for patients suffering from cancers with limited therapeutic options. To accomplish this, we intend to continue building our team of qualified individuals who share our commitment to collaboration and scientific rigor in the development of novel therapies to outsmart cancer and improve the lives of patients.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Our opportunity: unmet needs in cancers with driver mutations in notorious growth and survival pathways</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w:t>
      </w:r>
    </w:p>
    <w:p>
      <w:pPr>
        <w:spacing w:after="0" w:line="12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The RAS and mTOR signaling cascades are among the most frequently exploited by human cancers. Cancer cells often carry mutations in proteins in these pathways that subvert normal cell growth and survival by causing excessive or aberrant signal transduction. These proteins can be directly or indirectly involved in signal transduction. For example, many tumors of different types exhibit excessive activation of the RAS signaling cascade as a result of mutations in RTKs, RAS, NF1 and/or 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70485</wp:posOffset>
            </wp:positionV>
            <wp:extent cx="4716780" cy="39706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16780" cy="397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200" w:right="220"/>
        <w:spacing w:after="0" w:line="299" w:lineRule="auto"/>
        <w:rPr>
          <w:sz w:val="20"/>
          <w:szCs w:val="20"/>
          <w:color w:val="auto"/>
        </w:rPr>
      </w:pPr>
      <w:r>
        <w:rPr>
          <w:rFonts w:ascii="Arial" w:cs="Arial" w:eastAsia="Arial" w:hAnsi="Arial"/>
          <w:sz w:val="16"/>
          <w:szCs w:val="16"/>
          <w:color w:val="auto"/>
        </w:rPr>
        <w:t>We have built a portfolio of compounds that inhibit select signaling nodes within the RAS and mTOR pathways. To date, our discovery and development efforts have focused on SHP2, RAS, SOS1 and mTORC1 (these targets are shaded dark green or blue in the figure above).</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SHP2</w:t>
      </w:r>
    </w:p>
    <w:p>
      <w:pPr>
        <w:spacing w:after="0" w:line="122"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SHP2 is a protein tyrosine phosphatase that plays a critical role in the transduction of intracellular signals downstream of a wide variety of RTK growth factor receptors to promote cell survival and growth. SHP2 acts as a central signaling node that regulates growth signals within normal cells and, in certain circumstances, cancer cells. Some mutant forms of RAS, such as KRAS</w:t>
      </w:r>
      <w:r>
        <w:rPr>
          <w:rFonts w:ascii="Arial" w:cs="Arial" w:eastAsia="Arial" w:hAnsi="Arial"/>
          <w:sz w:val="11"/>
          <w:szCs w:val="11"/>
          <w:color w:val="auto"/>
        </w:rPr>
        <w:t>G12C</w:t>
      </w:r>
      <w:r>
        <w:rPr>
          <w:rFonts w:ascii="Arial" w:cs="Arial" w:eastAsia="Arial" w:hAnsi="Arial"/>
          <w:sz w:val="18"/>
          <w:szCs w:val="18"/>
          <w:color w:val="auto"/>
        </w:rPr>
        <w:t xml:space="preserve"> and KRAS</w:t>
      </w:r>
      <w:r>
        <w:rPr>
          <w:rFonts w:ascii="Arial" w:cs="Arial" w:eastAsia="Arial" w:hAnsi="Arial"/>
          <w:sz w:val="11"/>
          <w:szCs w:val="11"/>
          <w:color w:val="auto"/>
        </w:rPr>
        <w:t>G12A</w:t>
      </w:r>
      <w:r>
        <w:rPr>
          <w:rFonts w:ascii="Arial" w:cs="Arial" w:eastAsia="Arial" w:hAnsi="Arial"/>
          <w:sz w:val="18"/>
          <w:szCs w:val="18"/>
          <w:color w:val="auto"/>
        </w:rPr>
        <w:t>, exert their oncogenic effects by amplifying or exaggerating normal RTK-mediated growth signals transmitted via SHP2, and as a result they can be</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240" w:top="459"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suppressed by inhibiting SHP2. There are other cancer-causing mutations that result in, or are dependent upon, activation of wild-type RAS and are likewise dependent on SHP2, including amplification of wild-type RAS or mutations in the gene encoding the GTPase-activating protein (GAP) neurofibromin 1 (NF1) which reduce activity of NF1 (so called NF1 loss-of-function or NF1</w:t>
      </w:r>
      <w:r>
        <w:rPr>
          <w:rFonts w:ascii="Arial" w:cs="Arial" w:eastAsia="Arial" w:hAnsi="Arial"/>
          <w:sz w:val="11"/>
          <w:szCs w:val="11"/>
          <w:color w:val="auto"/>
        </w:rPr>
        <w:t>LOF</w:t>
      </w:r>
      <w:r>
        <w:rPr>
          <w:rFonts w:ascii="Arial" w:cs="Arial" w:eastAsia="Arial" w:hAnsi="Arial"/>
          <w:sz w:val="18"/>
          <w:szCs w:val="18"/>
          <w:color w:val="auto"/>
        </w:rPr>
        <w:t>), and class 3 mutations in the downstream effector BRAF (BRAF</w:t>
      </w:r>
      <w:r>
        <w:rPr>
          <w:rFonts w:ascii="Arial" w:cs="Arial" w:eastAsia="Arial" w:hAnsi="Arial"/>
          <w:sz w:val="11"/>
          <w:szCs w:val="11"/>
          <w:color w:val="auto"/>
        </w:rPr>
        <w:t>Class3</w:t>
      </w:r>
      <w:r>
        <w:rPr>
          <w:rFonts w:ascii="Arial" w:cs="Arial" w:eastAsia="Arial" w:hAnsi="Arial"/>
          <w:sz w:val="18"/>
          <w:szCs w:val="18"/>
          <w:color w:val="auto"/>
        </w:rPr>
        <w: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RAS</w:t>
      </w:r>
    </w:p>
    <w:p>
      <w:pPr>
        <w:spacing w:after="0" w:line="12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RAS proteins drive normal cell proliferation, differentiation and survival in response to growth factors acting through RTKs, and they can also be direct drivers of cancer. Normally RAS proteins cycle between an inactive form (RAS(OFF)), which is bound to GDP and unable to transmit signals, and an active conformation (RAS(ON)), which is induced upon binding GTP in response to growth factor receptor stimulation, causing it to become competent to interact physically with downstream effector proteins such as RAF. The magnitude of cell signals transmitted by the RAS activation cycle is proportional to the intracellular level of RAS(ON). In a healthy, normal cell RAS(ON) represents a small fraction of the total RAS pool within a cell. Signals arising from RTKs upstream of the RAS cycle act through SHP2 to promote the substitution of GTP for GDP in association with RAS, thereby increasing RAS(ON) levels. In cancers with abnormally elevated RTK activity, increased signaling via the RAS activation cycle is a major driver of tumor cell growth. Likewise, oncogenic mutations of RAS itself result in a significant slowing of the enzymatic conversion of RAS-bound GTP to GDP and thus drive cancer by raising RAS(ON) significantly above normal levels. In some cells harboring a KRAS</w:t>
      </w:r>
      <w:r>
        <w:rPr>
          <w:rFonts w:ascii="Arial" w:cs="Arial" w:eastAsia="Arial" w:hAnsi="Arial"/>
          <w:sz w:val="11"/>
          <w:szCs w:val="11"/>
          <w:color w:val="auto"/>
        </w:rPr>
        <w:t>G12C</w:t>
      </w:r>
      <w:r>
        <w:rPr>
          <w:rFonts w:ascii="Arial" w:cs="Arial" w:eastAsia="Arial" w:hAnsi="Arial"/>
          <w:sz w:val="18"/>
          <w:szCs w:val="18"/>
          <w:color w:val="auto"/>
        </w:rPr>
        <w:t xml:space="preserve"> mutation, 80% or more of cellular KRAS</w:t>
      </w:r>
      <w:r>
        <w:rPr>
          <w:rFonts w:ascii="Arial" w:cs="Arial" w:eastAsia="Arial" w:hAnsi="Arial"/>
          <w:sz w:val="11"/>
          <w:szCs w:val="11"/>
          <w:color w:val="auto"/>
        </w:rPr>
        <w:t>G12C</w:t>
      </w:r>
      <w:r>
        <w:rPr>
          <w:rFonts w:ascii="Arial" w:cs="Arial" w:eastAsia="Arial" w:hAnsi="Arial"/>
          <w:sz w:val="18"/>
          <w:szCs w:val="18"/>
          <w:color w:val="auto"/>
        </w:rPr>
        <w:t xml:space="preserve"> is in the GTP-bound state (RAS(ON)), representing a &gt;15-fold increase compared to wild-type KRAS. As a general principle, RAS-dependent cancer cells exploit a high level of RAS(ON) for continued survival and growth.</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SOS1</w:t>
      </w:r>
    </w:p>
    <w:p>
      <w:pPr>
        <w:spacing w:after="0" w:line="122"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SOS1 is a member of a family of proteins that activate RAS. SOS1 directly activates RAS proteins by promoting the release of tightly bound GDP and facilitating the binding of GTP, which is present at a much higher intracellular concentrations than GDP, to generate RAS(ON). SOS1 itself is activated by RAS through the binding of RAS(ON) to an allosteric site on the SOS1 protein. As a result, there is a positive feedback loop between SOS1 and RAS that increases RAS signaling. The activation of RAS by SOS1 is ‘processive’; that is, once a single molecule of SOS1 is activated it can sequentially activate multiple RAS molecules until it eventually becomes inactive.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4EBP1/mTORC1</w:t>
      </w:r>
    </w:p>
    <w:p>
      <w:pPr>
        <w:spacing w:after="0" w:line="122"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mTORC1 and mTORC2 are large protein complexes that share mTOR kinase but contain distinct additional components and cellular functions. mTORC1 is a critical regulator of metabolism, growth and proliferation within cells, including cancer cells. Two of the main substrates of mTORC1 are eukaryotic initiation factor 4E-binding protein 1 (4EBP1) and ribosomal S6 kinase (S6K). Under resting conditions non-phosphorylated 4EBP1 functions as a suppressor of the translation of proteins that are required for cell growth, proliferation and survival. Phosphorylation of 4EBP1 by activated mTORC1 inhibits this suppressive regulatory function and thereby upregulates translation of these proteins. One of the most important proteins regulated by 4EBP1 is the oncogenic protein C-MYC, which for many years has been thought to be central to cancer cell growth and survival. The abnormal activation of mTORC1, and subsequent inactivation of the tumor suppressor 4EBP1, is a mechanism that is frequently harnessed by cancer cells to gain a growth and proliferation advantage over normal cells. A number of upstream proteins in the mTOR signaling pathway that regulate mTORC1 activity are frequently mutated, or deleted, in cancer cells, resulting in increased activation of mTORC1 and upregulation of translation; these targets of mutation include PTEN, PI3 kinase (PI3K) and hamartin (TSC1) and tuberin (TSC2).</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RAS mutant epidemiology in the United States</w:t>
      </w:r>
    </w:p>
    <w:p>
      <w:pPr>
        <w:spacing w:after="0" w:line="122"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Mutations in RAS proteins account for approximately 30% of all human cancers in the United States, many of which are fatal. Diverse oncogenic RAS mutations in three different RAS isoforms (KRAS, NRAS and HRAS) drive distinct human cancers. KRAS mutations are commonly found in NSCLC and account for approximately 85% of RAS-mutant cancers. NRAS mutations are commonly found in melanoma and account for approximately 11% of RAS-mutant cancers. HRAS mutations are commonly found in bladder cancer and account for 4% of RAS-mutant cancers. The table below summarizes the frequency of RAS cancer mutations in the United States. There continues to be a high unmet medical need for patients bearing tumors with these mutations. We believe our programs, including our SHP2, RAS and SOS1 inhibitors, may be useful in addressing this unmet medical need.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Projected number of new cases in 2019 in the United States (frequency % shown in parentheses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83820</wp:posOffset>
            </wp:positionV>
            <wp:extent cx="5196840" cy="17240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9684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 w:hanging="316"/>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NSCLC = Non-small cell lung cancer; Adeno = adenocarcinoma; AML = Acute myeloid leukemia.</w:t>
      </w:r>
    </w:p>
    <w:p>
      <w:pPr>
        <w:spacing w:after="0" w:line="55" w:lineRule="exact"/>
        <w:rPr>
          <w:sz w:val="20"/>
          <w:szCs w:val="20"/>
          <w:color w:val="auto"/>
        </w:rPr>
      </w:pPr>
    </w:p>
    <w:p>
      <w:pPr>
        <w:ind w:left="520" w:right="180" w:hanging="316"/>
        <w:spacing w:after="0" w:line="231" w:lineRule="auto"/>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Data are based on projections from the National Cancer Institute’s SEER Program for new cases of lung cancer, colorectal cancer, pancreatic cancer, AML and other cancers in 2019 and estimates from the American Cancer Society of the incidence of NSCLC and adenocarcinoma in lung cancer cases.</w:t>
      </w:r>
    </w:p>
    <w:p>
      <w:pPr>
        <w:spacing w:after="0" w:line="55" w:lineRule="exact"/>
        <w:rPr>
          <w:sz w:val="20"/>
          <w:szCs w:val="20"/>
          <w:color w:val="auto"/>
        </w:rPr>
      </w:pPr>
    </w:p>
    <w:p>
      <w:pPr>
        <w:ind w:left="520" w:hanging="316"/>
        <w:spacing w:after="0" w:line="231" w:lineRule="auto"/>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Reflects our estimate of projected number of cases in 2019 by RAS protein mutation for each cancer histotype indicated. Estimated frequency percentages (shown in parentheses) of RAS protein mutation in applicable histotype are based on data obtained from Foundation Medicine, Inc., applied to data described in footnote † above.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Limitations of approved drugs treating RAS-dependent cancers and our opportunity</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 major goal in contemporary oncology treatment is to replace relatively unselective chemotherapy regimens—which in many cases remain the standard of care today but provide only partial benefit with many side effects—with more effective and better tolerated targeted therapeutic options. Targeted therapies directed against RAS-dependent cancers, which include drugs that inhibit RTKs, RAF and MEK, have been approved for use in lung cancer, melanoma and colorectal cancer. These targeted therapies have shown the capacity to drive deeper and more durable responses than conventional chemotherapy regimens while minimizing unwanted side effects and damage to normal tissues.</w:t>
      </w:r>
    </w:p>
    <w:p>
      <w:pPr>
        <w:spacing w:after="0" w:line="102"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Two treatment gaps remain in RAS-dependent cancers. First, several oncogenic proteins are not addressed by current targeted therapies. Second, cancers driven by oncogenic proteins that are addressed by current targeted therapies often progress in the face of drug therapy due to adaptive resistance mechanisms.</w:t>
      </w:r>
    </w:p>
    <w:p>
      <w:pPr>
        <w:spacing w:after="0" w:line="82" w:lineRule="exact"/>
        <w:rPr>
          <w:sz w:val="20"/>
          <w:szCs w:val="20"/>
          <w:color w:val="auto"/>
        </w:rPr>
      </w:pPr>
    </w:p>
    <w:p>
      <w:pPr>
        <w:ind w:left="200" w:right="220"/>
        <w:spacing w:after="0" w:line="243" w:lineRule="auto"/>
        <w:rPr>
          <w:sz w:val="20"/>
          <w:szCs w:val="20"/>
          <w:color w:val="auto"/>
        </w:rPr>
      </w:pPr>
      <w:r>
        <w:rPr>
          <w:rFonts w:ascii="Arial" w:cs="Arial" w:eastAsia="Arial" w:hAnsi="Arial"/>
          <w:sz w:val="18"/>
          <w:szCs w:val="18"/>
          <w:color w:val="auto"/>
        </w:rPr>
        <w:t xml:space="preserve">Specific examples of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drivers are RAS, NF1, and selected RAF mutants (BRAF</w:t>
      </w:r>
      <w:r>
        <w:rPr>
          <w:rFonts w:ascii="Arial" w:cs="Arial" w:eastAsia="Arial" w:hAnsi="Arial"/>
          <w:sz w:val="11"/>
          <w:szCs w:val="11"/>
          <w:color w:val="auto"/>
        </w:rPr>
        <w:t>Class3</w:t>
      </w:r>
      <w:r>
        <w:rPr>
          <w:rFonts w:ascii="Arial" w:cs="Arial" w:eastAsia="Arial" w:hAnsi="Arial"/>
          <w:sz w:val="18"/>
          <w:szCs w:val="18"/>
          <w:color w:val="auto"/>
        </w:rPr>
        <w:t>). Historically, direct inhibition of any RAS protein has been challenging due to a lack of tractable, or “druggable,” binding pockets. Recently reported initial clinical results from two RAS(OFF) inhibitors targeting mutant KRAS</w:t>
      </w:r>
      <w:r>
        <w:rPr>
          <w:rFonts w:ascii="Arial" w:cs="Arial" w:eastAsia="Arial" w:hAnsi="Arial"/>
          <w:sz w:val="11"/>
          <w:szCs w:val="11"/>
          <w:color w:val="auto"/>
        </w:rPr>
        <w:t>G12C</w:t>
      </w:r>
      <w:r>
        <w:rPr>
          <w:rFonts w:ascii="Arial" w:cs="Arial" w:eastAsia="Arial" w:hAnsi="Arial"/>
          <w:sz w:val="18"/>
          <w:szCs w:val="18"/>
          <w:color w:val="auto"/>
        </w:rPr>
        <w:t xml:space="preserve"> suggest significant clinical benefit and provide strong pharmacologic validation of this oncoprotein as a cancer</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driver. These results, along with other preclinical data, provide a compelling basis for our commitment to targeting oncogenic mutant forms of RAS(ON). We are using our innovation engine to develop a portfolio of mutant-selective RAS(ON) inhibitors and, initially, we will prioritize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 common source of treatment failure with existing targeted therapies is that cancer cells exhibiting “oncogene addiction” exploit cell signaling circuitry to bypass the drug’s effect and sustain growth and survival. This phenomenon is particularly well recognized in RAS-dependent cancers, and may be especially active in certain tumor histotypes, making them less sensitive to a drug from the outset and/or more likely to progress over time. Certain RAS-dependent cancers have been treated with two RAS pathway targeted agents to achieve combinatorial benefit by attenuating adaptive resistance mechanisms. For example, melanomas driven by BRAF</w:t>
      </w:r>
      <w:r>
        <w:rPr>
          <w:rFonts w:ascii="Arial" w:cs="Arial" w:eastAsia="Arial" w:hAnsi="Arial"/>
          <w:sz w:val="11"/>
          <w:szCs w:val="11"/>
          <w:color w:val="auto"/>
        </w:rPr>
        <w:t>Class1</w:t>
      </w:r>
      <w:r>
        <w:rPr>
          <w:rFonts w:ascii="Arial" w:cs="Arial" w:eastAsia="Arial" w:hAnsi="Arial"/>
          <w:sz w:val="18"/>
          <w:szCs w:val="18"/>
          <w:color w:val="auto"/>
        </w:rPr>
        <w:t xml:space="preserve"> mutations can be treated with a combination of a BRAF inhibitor and a MEK inhibitor. SHP2 is believed to be a central node that can be targeted to disrupt bypass signaling pathways that may involve activation of multiple RTKs. Therefore, although we are at an early stage of clinical testing and product candidate development, we believe RMC-4630, a potent and selective inhibitor of SHP2, is well positioned to become the backbone of targeted therapy combinations for the treatment of various RAS-dependent tumors, and plan to explore this paradigm in our ongoing RMC-4630 clinical program.</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using our innovation engine to develop novel targeted therapies and combination regimens to address these treatment gaps.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innovation engine</w:t>
      </w:r>
    </w:p>
    <w:p>
      <w:pPr>
        <w:spacing w:after="0" w:line="116"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color w:val="auto"/>
        </w:rPr>
        <w:t xml:space="preserve">We have built an innovation engine that enables us to discover and develop novel targeted therapies for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targets with particular focus on a cohesive set of disease targets within notorious growth and survival pathways. This engine consists of three complementary drivers:</w:t>
      </w:r>
    </w:p>
    <w:p>
      <w:pPr>
        <w:spacing w:after="0" w:line="86" w:lineRule="exact"/>
        <w:rPr>
          <w:sz w:val="20"/>
          <w:szCs w:val="20"/>
          <w:color w:val="auto"/>
        </w:rPr>
      </w:pPr>
    </w:p>
    <w:p>
      <w:pPr>
        <w:ind w:left="420" w:right="220" w:hanging="216"/>
        <w:spacing w:after="0" w:line="264"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Deep </w:t>
      </w:r>
      <w:r>
        <w:rPr>
          <w:rFonts w:ascii="Arial" w:cs="Arial" w:eastAsia="Arial" w:hAnsi="Arial"/>
          <w:sz w:val="18"/>
          <w:szCs w:val="18"/>
          <w:b w:val="1"/>
          <w:bCs w:val="1"/>
          <w:color w:val="auto"/>
        </w:rPr>
        <w:t>chemical biology and cancer pharmacology know-how</w:t>
      </w:r>
      <w:r>
        <w:rPr>
          <w:rFonts w:ascii="Arial" w:cs="Arial" w:eastAsia="Arial" w:hAnsi="Arial"/>
          <w:sz w:val="18"/>
          <w:szCs w:val="18"/>
          <w:color w:val="auto"/>
        </w:rPr>
        <w:t>, including assays and proprietary tool compounds, to define the critical vulnerabilities of “frontier” RAS and mTOR pathway targets and associated signaling circuits in cancer cells;</w:t>
      </w:r>
    </w:p>
    <w:p>
      <w:pPr>
        <w:spacing w:after="0" w:line="71" w:lineRule="exact"/>
        <w:rPr>
          <w:rFonts w:ascii="Arial" w:cs="Arial" w:eastAsia="Arial" w:hAnsi="Arial"/>
          <w:sz w:val="18"/>
          <w:szCs w:val="18"/>
          <w:color w:val="auto"/>
        </w:rPr>
      </w:pPr>
    </w:p>
    <w:p>
      <w:pPr>
        <w:ind w:left="420" w:right="500" w:hanging="216"/>
        <w:spacing w:after="0" w:line="264"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Sophisticated </w:t>
      </w:r>
      <w:r>
        <w:rPr>
          <w:rFonts w:ascii="Arial" w:cs="Arial" w:eastAsia="Arial" w:hAnsi="Arial"/>
          <w:sz w:val="18"/>
          <w:szCs w:val="18"/>
          <w:b w:val="1"/>
          <w:bCs w:val="1"/>
          <w:color w:val="auto"/>
        </w:rPr>
        <w:t>structure-based drug discovery capabilities</w:t>
      </w:r>
      <w:r>
        <w:rPr>
          <w:rFonts w:ascii="Arial" w:cs="Arial" w:eastAsia="Arial" w:hAnsi="Arial"/>
          <w:sz w:val="18"/>
          <w:szCs w:val="18"/>
          <w:color w:val="auto"/>
        </w:rPr>
        <w:t xml:space="preserve">, including proven </w:t>
      </w:r>
      <w:r>
        <w:rPr>
          <w:rFonts w:ascii="Arial" w:cs="Arial" w:eastAsia="Arial" w:hAnsi="Arial"/>
          <w:sz w:val="18"/>
          <w:szCs w:val="18"/>
          <w:b w:val="1"/>
          <w:bCs w:val="1"/>
          <w:color w:val="auto"/>
        </w:rPr>
        <w:t>access to complex chemical space</w:t>
      </w:r>
      <w:r>
        <w:rPr>
          <w:rFonts w:ascii="Arial" w:cs="Arial" w:eastAsia="Arial" w:hAnsi="Arial"/>
          <w:sz w:val="18"/>
          <w:szCs w:val="18"/>
          <w:color w:val="auto"/>
        </w:rPr>
        <w:t>, to create drug candidates tailored to unconventional binding sites on elusive cancer targets; and</w:t>
      </w:r>
    </w:p>
    <w:p>
      <w:pPr>
        <w:spacing w:after="0" w:line="71" w:lineRule="exact"/>
        <w:rPr>
          <w:rFonts w:ascii="Arial" w:cs="Arial" w:eastAsia="Arial" w:hAnsi="Arial"/>
          <w:sz w:val="18"/>
          <w:szCs w:val="18"/>
          <w:color w:val="auto"/>
        </w:rPr>
      </w:pPr>
    </w:p>
    <w:p>
      <w:pPr>
        <w:ind w:left="420" w:right="500" w:hanging="216"/>
        <w:spacing w:after="0" w:line="328" w:lineRule="auto"/>
        <w:tabs>
          <w:tab w:leader="none" w:pos="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chemical biology and cancer pharmacology know-how</w:t>
      </w:r>
    </w:p>
    <w:p>
      <w:pPr>
        <w:spacing w:after="0" w:line="106" w:lineRule="exact"/>
        <w:rPr>
          <w:sz w:val="20"/>
          <w:szCs w:val="20"/>
          <w:color w:val="auto"/>
        </w:rPr>
      </w:pPr>
    </w:p>
    <w:p>
      <w:pPr>
        <w:ind w:left="200" w:right="20"/>
        <w:spacing w:after="0" w:line="275" w:lineRule="auto"/>
        <w:rPr>
          <w:sz w:val="20"/>
          <w:szCs w:val="20"/>
          <w:color w:val="auto"/>
        </w:rPr>
      </w:pPr>
      <w:r>
        <w:rPr>
          <w:rFonts w:ascii="Arial" w:cs="Arial" w:eastAsia="Arial" w:hAnsi="Arial"/>
          <w:sz w:val="16"/>
          <w:szCs w:val="16"/>
          <w:color w:val="auto"/>
        </w:rPr>
        <w:t xml:space="preserve">We test our inhibitors across a diverse set of human cancer cell and patient-derived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of cancer. This is complemented by targeted implementation of bioinformatics and functional genomics. The biological insights we generate help us to unravel the complex molecular circuitry in human cancers. We also explore mechanisms of adaptive resistance that RAS-addicted cancer cells use to circumvent inhibition of the pathway, and develop innovative mechanism-based dosing paradigms and rational in-pathway combinations with our proprietary compounds and/or other agents. We evaluate such dosing and combination approaches in our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to define their pharmacologic opportunities and limitations, and to prioritize therapeutic strategies for translation to the clinic.</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structure-based drug discovery capabilities</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enlist various technologies and capabilities that give us chemical access to challenging sites that are generally not accessible using conventional small molecule drug discovery approaches. For each target, we consider the specific structural, physico-chemical, functional and dynamic properties of the target and deploy the approach(es) that appears most likely to yield viable development candidates. In some instances the compounds we discover and develop are small molecules (e.g., less than 500 mw) with properties that generally satisfy conventional pharmaceutical “Rule of 5” criteria, while in other cases, they are larger (e.g., 500-1000 mw) “Beyond Rule of 5” compounds. In either case, we use various structure-based design tools to discover the initial chemical matter, drive optimization using iterative medicinal chemistry, and generate structure-activity and structure-property relationships to identify development candidates. In order to prosecute effective medicinal chemistry campaigns within complex chemical space, we use our deep experience and make the necessary investments to design and develop scalable modular chemical synthesis, purification and analytical methods for selected scaffolds to routinely and efficiently analogue our “Beyond Rule of 5” chemical series.</w:t>
      </w:r>
    </w:p>
    <w:p>
      <w:pPr>
        <w:spacing w:after="0" w:line="10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 xml:space="preserve">Although we are at an early stage of clinical testing and product candidate development, we believe our differentiated chemical approaches to discovering inhibitors for challenging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targets is exemplified by our current portfolio. Each of our current programs takes advantage of allosteric regulation to inhibit the target of interest by exploiting one or more of three distinct mechanisms. We use the term allosteric inhibitors to describe those that “act at a distance,” meaning that the inhibitory effect occurs at a protein site or domain distinct from the compound’s binding site.</w:t>
      </w:r>
    </w:p>
    <w:p>
      <w:pPr>
        <w:spacing w:after="0" w:line="41" w:lineRule="exact"/>
        <w:rPr>
          <w:sz w:val="20"/>
          <w:szCs w:val="20"/>
          <w:color w:val="auto"/>
        </w:rPr>
      </w:pPr>
    </w:p>
    <w:p>
      <w:pPr>
        <w:ind w:left="640" w:right="100" w:hanging="436"/>
        <w:spacing w:after="0" w:line="280" w:lineRule="auto"/>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Intra-Molecular Allosteric Inhibitors</w:t>
      </w:r>
      <w:r>
        <w:rPr>
          <w:rFonts w:ascii="Arial" w:cs="Arial" w:eastAsia="Arial" w:hAnsi="Arial"/>
          <w:sz w:val="16"/>
          <w:szCs w:val="16"/>
          <w:color w:val="auto"/>
        </w:rPr>
        <w:t>: Our SHP2 inhibitors, including RMC-4630, act by binding to a site in the protein that is distinct</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catalytic “active site” but nonetheless inhibit the phosphatase activity of SHP2. The inhibitors bind to a pocket within SHP2 that is formed when the protein is folded back onto itself in its basal, “autoinhibited” state; by binding to this pocket, these compounds stabilize the inactive conformation of SHP2 and therefore inhibit its overall function. We refer to this mechanism as “intra-molecular allostery” since it involves inhibitory actions entirely within the target protein itself. RMC-4630 is a traditional “Rule of 5” compound.</w:t>
      </w:r>
    </w:p>
    <w:p>
      <w:pPr>
        <w:spacing w:after="0" w:line="7" w:lineRule="exact"/>
        <w:rPr>
          <w:rFonts w:ascii="Arial" w:cs="Arial" w:eastAsia="Arial" w:hAnsi="Arial"/>
          <w:sz w:val="16"/>
          <w:szCs w:val="16"/>
          <w:color w:val="auto"/>
        </w:rPr>
      </w:pPr>
    </w:p>
    <w:p>
      <w:pPr>
        <w:ind w:left="640" w:right="20" w:hanging="436"/>
        <w:spacing w:after="0" w:line="273" w:lineRule="auto"/>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Tri-Complex Inhibitors</w:t>
      </w:r>
      <w:r>
        <w:rPr>
          <w:rFonts w:ascii="Arial" w:cs="Arial" w:eastAsia="Arial" w:hAnsi="Arial"/>
          <w:sz w:val="16"/>
          <w:szCs w:val="16"/>
          <w:color w:val="auto"/>
        </w:rPr>
        <w:t>: Our targeted mutant RAS(ON) portfolio takes advantage of our proprietary tri-complex technology that enables</w:t>
      </w:r>
      <w:r>
        <w:rPr>
          <w:rFonts w:ascii="Arial" w:cs="Arial" w:eastAsia="Arial" w:hAnsi="Arial"/>
          <w:sz w:val="16"/>
          <w:szCs w:val="16"/>
          <w:b w:val="1"/>
          <w:bCs w:val="1"/>
          <w:color w:val="auto"/>
        </w:rPr>
        <w:t xml:space="preserve"> </w:t>
      </w:r>
      <w:r>
        <w:rPr>
          <w:rFonts w:ascii="Arial" w:cs="Arial" w:eastAsia="Arial" w:hAnsi="Arial"/>
          <w:sz w:val="16"/>
          <w:szCs w:val="16"/>
          <w:color w:val="auto"/>
        </w:rPr>
        <w:t>us to discover small molecule inhibitors of targets lacking intrinsic drug binding sites by inducing new druggable pockets. Our RAS inhibitors induce a new binding pocket on RAS(ON) by driving formation of a high affinity ternary complex (tri-complex) between the mutant RAS protein and a widely expressed cytosolic protein called a chaperone (e.g., FKPB12 or cyclophilin A). The inhibitory effect on RAS is mediated by steric occlusion of the interaction site between the mutant RAS and downstream effector molecules, such as RAF, which are required for propagating the oncogenic signal. We refer to this mechanism as “inter-molecular allostery” since it involves indirect inhibitory effects of a second protein (the chaperone) on the target in the presence of our tri-complex inhibitors. Our RAS(ON) inhibitors, which are inspired by natural products that act through this type of mechanism, are “Beyond Rule of 5” compounds.</w:t>
      </w:r>
    </w:p>
    <w:p>
      <w:pPr>
        <w:spacing w:after="0" w:line="13" w:lineRule="exact"/>
        <w:rPr>
          <w:rFonts w:ascii="Arial" w:cs="Arial" w:eastAsia="Arial" w:hAnsi="Arial"/>
          <w:sz w:val="16"/>
          <w:szCs w:val="16"/>
          <w:color w:val="auto"/>
        </w:rPr>
      </w:pPr>
    </w:p>
    <w:p>
      <w:pPr>
        <w:ind w:left="640" w:hanging="436"/>
        <w:spacing w:after="0" w:line="277" w:lineRule="auto"/>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Bi-Steric Inhibitors</w:t>
      </w:r>
      <w:r>
        <w:rPr>
          <w:rFonts w:ascii="Arial" w:cs="Arial" w:eastAsia="Arial" w:hAnsi="Arial"/>
          <w:sz w:val="16"/>
          <w:szCs w:val="16"/>
          <w:color w:val="auto"/>
        </w:rPr>
        <w:t>: Our mTORC1 inhibitors comprise two pharmacophores in a single compound. One pharmacophore binds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well-known FRB (FKBP12-rapamycin binding) site on mTORC1 and the other binds to the mTOR kinase active site. As a result of these two binding interactions, such compounds exhibit two biologically useful features: (1) selectivity for mTORC1 over mTORC2, which is characteristic of the natural compound rapamycin, and (2) deep inhibition of mTORC1, which is characteristic of known active site inhibitors. These properties enable selective inhibition of phosphorylation of mTORC1 substrates, including 4EBP1. We refer to this type of inhibition as a “bi-steric mode.” These mTORC1 inhibitors, which are inspired by natural products, are “Beyond Rule of 5” compounds.</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80"/>
        <w:spacing w:after="0"/>
        <w:tabs>
          <w:tab w:leader="none" w:pos="5340" w:val="left"/>
          <w:tab w:leader="none" w:pos="8120" w:val="left"/>
        </w:tabs>
        <w:rPr>
          <w:sz w:val="20"/>
          <w:szCs w:val="20"/>
          <w:color w:val="auto"/>
        </w:rPr>
      </w:pPr>
      <w:r>
        <w:rPr>
          <w:rFonts w:ascii="Arial" w:cs="Arial" w:eastAsia="Arial" w:hAnsi="Arial"/>
          <w:sz w:val="18"/>
          <w:szCs w:val="18"/>
          <w:b w:val="1"/>
          <w:bCs w:val="1"/>
          <w:color w:val="auto"/>
        </w:rPr>
        <w:t xml:space="preserve">SHP2: </w:t>
      </w:r>
      <w:r>
        <w:rPr>
          <w:rFonts w:ascii="Arial" w:cs="Arial" w:eastAsia="Arial" w:hAnsi="Arial"/>
          <w:sz w:val="18"/>
          <w:szCs w:val="18"/>
          <w:b w:val="1"/>
          <w:bCs w:val="1"/>
          <w:i w:val="1"/>
          <w:iCs w:val="1"/>
          <w:color w:val="auto"/>
        </w:rPr>
        <w:t>Intra-Molecular Allosteric</w:t>
      </w:r>
      <w:r>
        <w:rPr>
          <w:sz w:val="20"/>
          <w:szCs w:val="20"/>
          <w:color w:val="auto"/>
        </w:rPr>
        <w:tab/>
      </w:r>
      <w:r>
        <w:rPr>
          <w:rFonts w:ascii="Arial" w:cs="Arial" w:eastAsia="Arial" w:hAnsi="Arial"/>
          <w:sz w:val="18"/>
          <w:szCs w:val="18"/>
          <w:b w:val="1"/>
          <w:bCs w:val="1"/>
          <w:color w:val="auto"/>
        </w:rPr>
        <w:t xml:space="preserve">RAS: </w:t>
      </w:r>
      <w:r>
        <w:rPr>
          <w:rFonts w:ascii="Arial" w:cs="Arial" w:eastAsia="Arial" w:hAnsi="Arial"/>
          <w:sz w:val="18"/>
          <w:szCs w:val="18"/>
          <w:b w:val="1"/>
          <w:bCs w:val="1"/>
          <w:i w:val="1"/>
          <w:iCs w:val="1"/>
          <w:color w:val="auto"/>
        </w:rPr>
        <w:t>Tri-Complex</w:t>
      </w:r>
      <w:r>
        <w:rPr>
          <w:sz w:val="20"/>
          <w:szCs w:val="20"/>
          <w:color w:val="auto"/>
        </w:rPr>
        <w:tab/>
      </w:r>
      <w:r>
        <w:rPr>
          <w:rFonts w:ascii="Arial" w:cs="Arial" w:eastAsia="Arial" w:hAnsi="Arial"/>
          <w:sz w:val="16"/>
          <w:szCs w:val="16"/>
          <w:b w:val="1"/>
          <w:bCs w:val="1"/>
          <w:color w:val="auto"/>
        </w:rPr>
        <w:t xml:space="preserve">mTORC1: </w:t>
      </w:r>
      <w:r>
        <w:rPr>
          <w:rFonts w:ascii="Arial" w:cs="Arial" w:eastAsia="Arial" w:hAnsi="Arial"/>
          <w:sz w:val="16"/>
          <w:szCs w:val="16"/>
          <w:b w:val="1"/>
          <w:bCs w:val="1"/>
          <w:i w:val="1"/>
          <w:iCs w:val="1"/>
          <w:color w:val="auto"/>
        </w:rPr>
        <w:t>Bi-Steric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precision medicine approach</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interrogate the biology of different cancers and their associated mutational drivers to help inform patient selection, therapeutic treatment regimens, and appropriate outcome measures. To identify patient subsets that may benefit most from our treatment strategies, we use genomics, transcriptomics and proteomics data from human tumor samples and/or broad panels of human cancer cell lines. We also pursue development of drug combinations where combinatorial benefits are predicted and confirmed in preclinical models. Innovative, mechanism-based dosing paradigms are explored for each combination and refined using pharmacokinetic and pharmacodynamic modeling techniques and sophisticated continuous reassessment dosing methodology. We also identify and monitor pharmacodynamic biomarkers and surrogates of clinical activity to help measure target inhibition.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pipeline</w:t>
      </w:r>
    </w:p>
    <w:p>
      <w:pPr>
        <w:spacing w:after="0" w:line="116"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 xml:space="preserve">We are using our innovation engine to develop a deep pipeline of novel targeted therapies to inhibit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within the notorious RAS and mTOR signaling pathways. Our pipeline includes one product candidate that is in clinical development and all of our other programs are in the preclinical stage. Under our collaboration with Sanofi on our SHP2 program,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 For all other programs, we retain worldwide commercial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150495</wp:posOffset>
            </wp:positionV>
            <wp:extent cx="5188585" cy="22383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8858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240" w:top="459"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SHP2 inhibitor, RMC-4630</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Our most advanced product candidate, RMC-4630, is a potent and selective inhibitor of SHP2, based on preclinical evidence described in this prospectus. SHP2 is a protein that plays a central role in modulating cell survival and growth by transmitting signals from upstream RTKs to RAS. In collaboration with Sanofi, we are evaluating RMC-4630 in a multi-cohort Phase 1/2 clinical program, which includes our ongoing Phase 1 study of RMC-4630 as monotherapy in patients with advanced cancers, including those with tumors harboring genetically defined mutations in the RAS signaling pathway, and our ongoing Phase 1b/2 study of RMC-4630 in combination with the MEK inhibitor cobimetinib. Based on our own data, and supported by observations by others, we are evaluating intermittent dosing schedules in our clinical program to allow us to maximize dose intensity in order to achieve the greatest depth of response. We also plan to explore the potential clinical benefit of RMC-4630 in combination with other in-pathway agents targeting RTK (initially EGFR), and KRAS</w:t>
      </w:r>
      <w:r>
        <w:rPr>
          <w:rFonts w:ascii="Arial" w:cs="Arial" w:eastAsia="Arial" w:hAnsi="Arial"/>
          <w:sz w:val="10"/>
          <w:szCs w:val="10"/>
          <w:color w:val="auto"/>
        </w:rPr>
        <w:t>G12C</w:t>
      </w:r>
      <w:r>
        <w:rPr>
          <w:rFonts w:ascii="Arial" w:cs="Arial" w:eastAsia="Arial" w:hAnsi="Arial"/>
          <w:sz w:val="16"/>
          <w:szCs w:val="16"/>
          <w:color w:val="auto"/>
        </w:rPr>
        <w:t>, as well as in combination with PD-1 inhibitors. Although we are at an early stage of clinical testing and product candidate development, we believe RMC-4630 is well-positioned to become the backbone of targeted therapy combinations for the treatment of various RAS-dependent tumors.</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profile of RMC-4630</w:t>
      </w:r>
    </w:p>
    <w:p>
      <w:pPr>
        <w:spacing w:after="0" w:line="53" w:lineRule="exact"/>
        <w:rPr>
          <w:sz w:val="20"/>
          <w:szCs w:val="20"/>
          <w:color w:val="auto"/>
        </w:rPr>
      </w:pPr>
    </w:p>
    <w:p>
      <w:pPr>
        <w:ind w:left="200" w:right="60"/>
        <w:spacing w:after="0" w:line="233" w:lineRule="auto"/>
        <w:rPr>
          <w:sz w:val="20"/>
          <w:szCs w:val="20"/>
          <w:color w:val="auto"/>
        </w:rPr>
      </w:pPr>
      <w:r>
        <w:rPr>
          <w:rFonts w:ascii="Arial" w:cs="Arial" w:eastAsia="Arial" w:hAnsi="Arial"/>
          <w:sz w:val="18"/>
          <w:szCs w:val="18"/>
          <w:color w:val="auto"/>
        </w:rPr>
        <w:t>RMC-4630 potently inhibits SHP2 phosphatase activity in a biochemical assay that monitored dephosphorylation of a probe substrate (IC</w:t>
      </w:r>
      <w:r>
        <w:rPr>
          <w:rFonts w:ascii="Arial" w:cs="Arial" w:eastAsia="Arial" w:hAnsi="Arial"/>
          <w:sz w:val="22"/>
          <w:szCs w:val="22"/>
          <w:color w:val="auto"/>
          <w:vertAlign w:val="subscript"/>
        </w:rPr>
        <w:t>50</w:t>
      </w:r>
      <w:r>
        <w:rPr>
          <w:rFonts w:ascii="Arial" w:cs="Arial" w:eastAsia="Arial" w:hAnsi="Arial"/>
          <w:sz w:val="18"/>
          <w:szCs w:val="18"/>
          <w:color w:val="auto"/>
        </w:rPr>
        <w:t xml:space="preserve"> 1.29 nM, range 0.9 nM to 2.2 nM, number of experiments = 13) and SHP2 function in cellular assays, as measured by inhibition of ERK1/2 phosphorylation at Thr202/Tyr204, a read out for RAS pathway activation (IC</w:t>
      </w:r>
      <w:r>
        <w:rPr>
          <w:rFonts w:ascii="Arial" w:cs="Arial" w:eastAsia="Arial" w:hAnsi="Arial"/>
          <w:sz w:val="22"/>
          <w:szCs w:val="22"/>
          <w:color w:val="auto"/>
          <w:vertAlign w:val="subscript"/>
        </w:rPr>
        <w:t>50</w:t>
      </w:r>
      <w:r>
        <w:rPr>
          <w:rFonts w:ascii="Arial" w:cs="Arial" w:eastAsia="Arial" w:hAnsi="Arial"/>
          <w:sz w:val="18"/>
          <w:szCs w:val="18"/>
          <w:color w:val="auto"/>
        </w:rPr>
        <w:t xml:space="preserve"> values of 14 nM in PC9</w:t>
      </w:r>
      <w:r>
        <w:rPr>
          <w:rFonts w:ascii="Arial" w:cs="Arial" w:eastAsia="Arial" w:hAnsi="Arial"/>
          <w:sz w:val="11"/>
          <w:szCs w:val="11"/>
          <w:color w:val="auto"/>
        </w:rPr>
        <w:t>EGFRex19del</w:t>
      </w:r>
      <w:r>
        <w:rPr>
          <w:rFonts w:ascii="Arial" w:cs="Arial" w:eastAsia="Arial" w:hAnsi="Arial"/>
          <w:sz w:val="18"/>
          <w:szCs w:val="18"/>
          <w:color w:val="auto"/>
        </w:rPr>
        <w:t xml:space="preserve"> cells, range 5.3 nM to 63 nM, number of experiments = 11; and 20 nM in NCI-H358 KRAS</w:t>
      </w:r>
      <w:r>
        <w:rPr>
          <w:rFonts w:ascii="Arial" w:cs="Arial" w:eastAsia="Arial" w:hAnsi="Arial"/>
          <w:sz w:val="11"/>
          <w:szCs w:val="11"/>
          <w:color w:val="auto"/>
        </w:rPr>
        <w:t>G12C</w:t>
      </w:r>
      <w:r>
        <w:rPr>
          <w:rFonts w:ascii="Arial" w:cs="Arial" w:eastAsia="Arial" w:hAnsi="Arial"/>
          <w:sz w:val="18"/>
          <w:szCs w:val="18"/>
          <w:color w:val="auto"/>
        </w:rPr>
        <w:t xml:space="preserve"> cells, range 14.5 nM to 27.5 nM, number of experiments = 4). In standard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assays of target selectivity, no significant interaction with kinases or other phosphatases was observed. RMC-4630 (up to a test</w:t>
      </w:r>
      <w:r>
        <w:rPr>
          <w:rFonts w:ascii="Arial" w:cs="Arial" w:eastAsia="Arial" w:hAnsi="Arial"/>
          <w:sz w:val="18"/>
          <w:szCs w:val="18"/>
          <w:i w:val="1"/>
          <w:iCs w:val="1"/>
          <w:color w:val="auto"/>
        </w:rPr>
        <w:t xml:space="preserve"> </w:t>
      </w:r>
      <w:r>
        <w:rPr>
          <w:rFonts w:ascii="Arial" w:cs="Arial" w:eastAsia="Arial" w:hAnsi="Arial"/>
          <w:sz w:val="18"/>
          <w:szCs w:val="18"/>
          <w:color w:val="auto"/>
        </w:rPr>
        <w:t>concentration of 10 µM) exhibited no inhibition of full length SHP1 phosphatase (number of experiments = 3), or the catalytic domains of SHP1 and thirteen other phosphatase enzymes (single experiment conducted in duplicate). RMC-4630 exhibited over 3,000-fold (range 7054 to &gt;19,000, single experiment conducted in duplicate) selectivity for SHP2 (as measured by biochemical potency) over a panel of over 450 kinases (as measured by displacement of probe binding).</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anti-tumor activity</w:t>
      </w:r>
    </w:p>
    <w:p>
      <w:pPr>
        <w:spacing w:after="0" w:line="122"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Consistent with the role of SHP2 as a regulator of the RAS cycle, we observed that RMC-4630 suppresses tumor growth in a dose-dependent manner in human cell-line or patient-derived preclinical xenograft models of tumors harboring KRAS</w:t>
      </w:r>
      <w:r>
        <w:rPr>
          <w:rFonts w:ascii="Arial" w:cs="Arial" w:eastAsia="Arial" w:hAnsi="Arial"/>
          <w:sz w:val="11"/>
          <w:szCs w:val="11"/>
          <w:color w:val="auto"/>
        </w:rPr>
        <w:t>G12C</w:t>
      </w:r>
      <w:r>
        <w:rPr>
          <w:rFonts w:ascii="Arial" w:cs="Arial" w:eastAsia="Arial" w:hAnsi="Arial"/>
          <w:sz w:val="18"/>
          <w:szCs w:val="18"/>
          <w:color w:val="auto"/>
        </w:rPr>
        <w:t>, NF1</w:t>
      </w:r>
      <w:r>
        <w:rPr>
          <w:rFonts w:ascii="Arial" w:cs="Arial" w:eastAsia="Arial" w:hAnsi="Arial"/>
          <w:sz w:val="11"/>
          <w:szCs w:val="11"/>
          <w:color w:val="auto"/>
        </w:rPr>
        <w:t>LOF</w:t>
      </w:r>
      <w:r>
        <w:rPr>
          <w:rFonts w:ascii="Arial" w:cs="Arial" w:eastAsia="Arial" w:hAnsi="Arial"/>
          <w:sz w:val="18"/>
          <w:szCs w:val="18"/>
          <w:color w:val="auto"/>
        </w:rPr>
        <w:t>, or BRAF</w:t>
      </w:r>
      <w:r>
        <w:rPr>
          <w:rFonts w:ascii="Arial" w:cs="Arial" w:eastAsia="Arial" w:hAnsi="Arial"/>
          <w:sz w:val="11"/>
          <w:szCs w:val="11"/>
          <w:color w:val="auto"/>
        </w:rPr>
        <w:t>Class3</w:t>
      </w:r>
      <w:r>
        <w:rPr>
          <w:rFonts w:ascii="Arial" w:cs="Arial" w:eastAsia="Arial" w:hAnsi="Arial"/>
          <w:sz w:val="18"/>
          <w:szCs w:val="18"/>
          <w:color w:val="auto"/>
        </w:rPr>
        <w:t xml:space="preserve"> mutations or wild-type KRAS amplifications (Figure 1). Moreover, RMC-4630 at 30 mg/kg daily administered orally induced regression in some tumor models.</w:t>
      </w:r>
    </w:p>
    <w:p>
      <w:pPr>
        <w:spacing w:after="0" w:line="79" w:lineRule="exact"/>
        <w:rPr>
          <w:sz w:val="20"/>
          <w:szCs w:val="20"/>
          <w:color w:val="auto"/>
        </w:rPr>
      </w:pPr>
    </w:p>
    <w:p>
      <w:pPr>
        <w:ind w:left="200" w:right="780"/>
        <w:spacing w:after="0" w:line="264" w:lineRule="auto"/>
        <w:rPr>
          <w:sz w:val="20"/>
          <w:szCs w:val="20"/>
          <w:color w:val="auto"/>
        </w:rPr>
      </w:pPr>
      <w:r>
        <w:rPr>
          <w:rFonts w:ascii="Arial" w:cs="Arial" w:eastAsia="Arial" w:hAnsi="Arial"/>
          <w:sz w:val="18"/>
          <w:szCs w:val="18"/>
          <w:b w:val="1"/>
          <w:bCs w:val="1"/>
          <w:color w:val="auto"/>
        </w:rPr>
        <w:t>Figure 1</w:t>
      </w:r>
      <w:r>
        <w:rPr>
          <w:rFonts w:ascii="Arial" w:cs="Arial" w:eastAsia="Arial" w:hAnsi="Arial"/>
          <w:sz w:val="18"/>
          <w:szCs w:val="18"/>
          <w:color w:val="auto"/>
        </w:rPr>
        <w:t>: RMC-4630 suppresses tumor growth in preclinical xenograft models of tumors harboring KRAS</w:t>
      </w:r>
      <w:r>
        <w:rPr>
          <w:rFonts w:ascii="Arial" w:cs="Arial" w:eastAsia="Arial" w:hAnsi="Arial"/>
          <w:sz w:val="11"/>
          <w:szCs w:val="11"/>
          <w:color w:val="auto"/>
        </w:rPr>
        <w:t>G12C</w:t>
      </w:r>
      <w:r>
        <w:rPr>
          <w:rFonts w:ascii="Arial" w:cs="Arial" w:eastAsia="Arial" w:hAnsi="Arial"/>
          <w:sz w:val="18"/>
          <w:szCs w:val="18"/>
          <w:color w:val="auto"/>
        </w:rPr>
        <w:t>, NF1</w:t>
      </w:r>
      <w:r>
        <w:rPr>
          <w:rFonts w:ascii="Arial" w:cs="Arial" w:eastAsia="Arial" w:hAnsi="Arial"/>
          <w:sz w:val="11"/>
          <w:szCs w:val="11"/>
          <w:color w:val="auto"/>
        </w:rPr>
        <w:t>LOF</w:t>
      </w:r>
      <w:r>
        <w:rPr>
          <w:rFonts w:ascii="Arial" w:cs="Arial" w:eastAsia="Arial" w:hAnsi="Arial"/>
          <w:sz w:val="18"/>
          <w:szCs w:val="18"/>
          <w:color w:val="auto"/>
        </w:rPr>
        <w:t>, or BRAF</w:t>
      </w:r>
      <w:r>
        <w:rPr>
          <w:rFonts w:ascii="Arial" w:cs="Arial" w:eastAsia="Arial" w:hAnsi="Arial"/>
          <w:sz w:val="11"/>
          <w:szCs w:val="11"/>
          <w:color w:val="auto"/>
        </w:rPr>
        <w:t>Class3</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 or wild-type KRAS amplifications.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57150</wp:posOffset>
            </wp:positionV>
            <wp:extent cx="4399280" cy="2813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9928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Daily oral administration (po qd) of RMC-4630 at 10 mg/kg (red) or 30 mg/kg (green) produces a dose-dependent inhibition of tumor growth in multiple solid human tumor cell line-</w:t>
      </w:r>
    </w:p>
    <w:p>
      <w:pPr>
        <w:spacing w:after="0" w:line="11" w:lineRule="exact"/>
        <w:rPr>
          <w:sz w:val="20"/>
          <w:szCs w:val="20"/>
          <w:color w:val="auto"/>
        </w:rPr>
      </w:pPr>
    </w:p>
    <w:p>
      <w:pPr>
        <w:ind w:left="200" w:right="240"/>
        <w:spacing w:after="0" w:line="186" w:lineRule="auto"/>
        <w:rPr>
          <w:sz w:val="20"/>
          <w:szCs w:val="20"/>
          <w:color w:val="auto"/>
        </w:rPr>
      </w:pPr>
      <w:r>
        <w:rPr>
          <w:rFonts w:ascii="Arial" w:cs="Arial" w:eastAsia="Arial" w:hAnsi="Arial"/>
          <w:sz w:val="12"/>
          <w:szCs w:val="12"/>
          <w:color w:val="auto"/>
        </w:rPr>
        <w:t xml:space="preserve">derived or patient-derived xenograft (CDX or PDX, respectively) models bearing RAS pathway activating mutations of interest. All human xenograft models implanted in immune-deficient mice: </w:t>
      </w:r>
      <w:r>
        <w:rPr>
          <w:rFonts w:ascii="Arial" w:cs="Arial" w:eastAsia="Arial" w:hAnsi="Arial"/>
          <w:sz w:val="12"/>
          <w:szCs w:val="12"/>
          <w:b w:val="1"/>
          <w:bCs w:val="1"/>
          <w:color w:val="auto"/>
        </w:rPr>
        <w:t>(a)</w:t>
      </w:r>
      <w:r>
        <w:rPr>
          <w:rFonts w:ascii="Arial" w:cs="Arial" w:eastAsia="Arial" w:hAnsi="Arial"/>
          <w:sz w:val="12"/>
          <w:szCs w:val="12"/>
          <w:color w:val="auto"/>
        </w:rPr>
        <w:t xml:space="preserve"> non-small cell lung cancer (NSCLC) PDX LUN#092 KRAS</w:t>
      </w:r>
      <w:r>
        <w:rPr>
          <w:rFonts w:ascii="Arial" w:cs="Arial" w:eastAsia="Arial" w:hAnsi="Arial"/>
          <w:sz w:val="19"/>
          <w:szCs w:val="19"/>
          <w:color w:val="auto"/>
          <w:vertAlign w:val="superscript"/>
        </w:rPr>
        <w:t>G12C</w:t>
      </w:r>
      <w:r>
        <w:rPr>
          <w:rFonts w:ascii="Arial" w:cs="Arial" w:eastAsia="Arial" w:hAnsi="Arial"/>
          <w:sz w:val="12"/>
          <w:szCs w:val="12"/>
          <w:color w:val="auto"/>
        </w:rPr>
        <w:t xml:space="preserve">, </w:t>
      </w:r>
      <w:r>
        <w:rPr>
          <w:rFonts w:ascii="Arial" w:cs="Arial" w:eastAsia="Arial" w:hAnsi="Arial"/>
          <w:sz w:val="12"/>
          <w:szCs w:val="12"/>
          <w:b w:val="1"/>
          <w:bCs w:val="1"/>
          <w:color w:val="auto"/>
        </w:rPr>
        <w:t>(b)</w:t>
      </w:r>
      <w:r>
        <w:rPr>
          <w:rFonts w:ascii="Arial" w:cs="Arial" w:eastAsia="Arial" w:hAnsi="Arial"/>
          <w:sz w:val="12"/>
          <w:szCs w:val="12"/>
          <w:color w:val="auto"/>
        </w:rPr>
        <w:t xml:space="preserve"> NSCLC BRAF</w:t>
      </w:r>
      <w:r>
        <w:rPr>
          <w:rFonts w:ascii="Arial" w:cs="Arial" w:eastAsia="Arial" w:hAnsi="Arial"/>
          <w:sz w:val="19"/>
          <w:szCs w:val="19"/>
          <w:color w:val="auto"/>
          <w:vertAlign w:val="superscript"/>
        </w:rPr>
        <w:t>Class 3</w:t>
      </w:r>
      <w:r>
        <w:rPr>
          <w:rFonts w:ascii="Arial" w:cs="Arial" w:eastAsia="Arial" w:hAnsi="Arial"/>
          <w:sz w:val="12"/>
          <w:szCs w:val="12"/>
          <w:color w:val="auto"/>
        </w:rPr>
        <w:t xml:space="preserve"> PDX LUN#023 (BRAF</w:t>
      </w:r>
      <w:r>
        <w:rPr>
          <w:rFonts w:ascii="Arial" w:cs="Arial" w:eastAsia="Arial" w:hAnsi="Arial"/>
          <w:sz w:val="19"/>
          <w:szCs w:val="19"/>
          <w:color w:val="auto"/>
          <w:vertAlign w:val="superscript"/>
        </w:rPr>
        <w:t>D594N</w:t>
      </w:r>
      <w:r>
        <w:rPr>
          <w:rFonts w:ascii="Arial" w:cs="Arial" w:eastAsia="Arial" w:hAnsi="Arial"/>
          <w:sz w:val="12"/>
          <w:szCs w:val="12"/>
          <w:color w:val="auto"/>
        </w:rPr>
        <w:t xml:space="preserve">), </w:t>
      </w:r>
      <w:r>
        <w:rPr>
          <w:rFonts w:ascii="Arial" w:cs="Arial" w:eastAsia="Arial" w:hAnsi="Arial"/>
          <w:sz w:val="12"/>
          <w:szCs w:val="12"/>
          <w:b w:val="1"/>
          <w:bCs w:val="1"/>
          <w:color w:val="auto"/>
        </w:rPr>
        <w:t>(c)</w:t>
      </w:r>
      <w:r>
        <w:rPr>
          <w:rFonts w:ascii="Arial" w:cs="Arial" w:eastAsia="Arial" w:hAnsi="Arial"/>
          <w:sz w:val="12"/>
          <w:szCs w:val="12"/>
          <w:color w:val="auto"/>
        </w:rPr>
        <w:t xml:space="preserve"> gastric cancer PDX STO#332 wild-type KRAS amplification (KRAS Amp, copy number, CN = 4) and </w:t>
      </w:r>
      <w:r>
        <w:rPr>
          <w:rFonts w:ascii="Arial" w:cs="Arial" w:eastAsia="Arial" w:hAnsi="Arial"/>
          <w:sz w:val="12"/>
          <w:szCs w:val="12"/>
          <w:b w:val="1"/>
          <w:bCs w:val="1"/>
          <w:color w:val="auto"/>
        </w:rPr>
        <w:t>(d)</w:t>
      </w:r>
      <w:r>
        <w:rPr>
          <w:rFonts w:ascii="Arial" w:cs="Arial" w:eastAsia="Arial" w:hAnsi="Arial"/>
          <w:sz w:val="12"/>
          <w:szCs w:val="12"/>
          <w:color w:val="auto"/>
        </w:rPr>
        <w:t xml:space="preserve"> NSCLC CDX NCI-H1838 NF1</w:t>
      </w:r>
      <w:r>
        <w:rPr>
          <w:rFonts w:ascii="Arial" w:cs="Arial" w:eastAsia="Arial" w:hAnsi="Arial"/>
          <w:sz w:val="19"/>
          <w:szCs w:val="19"/>
          <w:color w:val="auto"/>
          <w:vertAlign w:val="superscript"/>
        </w:rPr>
        <w:t>LOF</w:t>
      </w:r>
      <w:r>
        <w:rPr>
          <w:rFonts w:ascii="Arial" w:cs="Arial" w:eastAsia="Arial" w:hAnsi="Arial"/>
          <w:sz w:val="12"/>
          <w:szCs w:val="12"/>
          <w:color w:val="auto"/>
        </w:rPr>
        <w:t xml:space="preserve"> (NF1</w:t>
      </w:r>
      <w:r>
        <w:rPr>
          <w:rFonts w:ascii="Arial" w:cs="Arial" w:eastAsia="Arial" w:hAnsi="Arial"/>
          <w:sz w:val="19"/>
          <w:szCs w:val="19"/>
          <w:color w:val="auto"/>
          <w:vertAlign w:val="superscript"/>
        </w:rPr>
        <w:t>I184fs</w:t>
      </w:r>
      <w:r>
        <w:rPr>
          <w:rFonts w:ascii="Arial" w:cs="Arial" w:eastAsia="Arial" w:hAnsi="Arial"/>
          <w:sz w:val="12"/>
          <w:szCs w:val="12"/>
          <w:color w:val="auto"/>
        </w:rPr>
        <w:t>). Control animals are shown in black. Data represent waterfall plots of</w:t>
      </w:r>
    </w:p>
    <w:p>
      <w:pPr>
        <w:jc w:val="both"/>
        <w:ind w:left="200" w:right="20"/>
        <w:spacing w:after="0" w:line="279" w:lineRule="auto"/>
        <w:rPr>
          <w:sz w:val="20"/>
          <w:szCs w:val="20"/>
          <w:color w:val="auto"/>
        </w:rPr>
      </w:pPr>
      <w:r>
        <w:rPr>
          <w:rFonts w:ascii="Arial" w:cs="Arial" w:eastAsia="Arial" w:hAnsi="Arial"/>
          <w:sz w:val="12"/>
          <w:szCs w:val="12"/>
          <w:color w:val="auto"/>
        </w:rPr>
        <w:t>individual end of study tumor responses, with tumor volume expressed as a percentage of initial tumor volume at time of study start (truncated at 400%). Each animal is represented as a separate bar (number of mice per group = 9 to 10). Numbers indicate number of regressions (defined as &gt; 10% reduction in tumor volume from starting volume) in each group. Dotted line references 50% reduction in tumor volume. The duration of treatment with RMC-4630 or vehicle control was within a range of 30 days to 50 days across the four models.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Optimizing dosing and scheduling</w:t>
      </w:r>
    </w:p>
    <w:p>
      <w:pPr>
        <w:spacing w:after="0" w:line="122" w:lineRule="exact"/>
        <w:rPr>
          <w:sz w:val="20"/>
          <w:szCs w:val="20"/>
          <w:color w:val="auto"/>
        </w:rPr>
      </w:pPr>
    </w:p>
    <w:p>
      <w:pPr>
        <w:ind w:left="200" w:right="560"/>
        <w:spacing w:after="0" w:line="238" w:lineRule="auto"/>
        <w:rPr>
          <w:sz w:val="20"/>
          <w:szCs w:val="20"/>
          <w:color w:val="auto"/>
        </w:rPr>
      </w:pPr>
      <w:r>
        <w:rPr>
          <w:rFonts w:ascii="Arial" w:cs="Arial" w:eastAsia="Arial" w:hAnsi="Arial"/>
          <w:sz w:val="18"/>
          <w:szCs w:val="18"/>
          <w:color w:val="auto"/>
        </w:rPr>
        <w:t>Using an intermittent dosing schedule, which permits deep but discontinuous inhibition of the SHP2 target, significantly higher doses of RMC-4630 were tolerated than could be delivered with daily dosing. These higher doses of RMC-4630 led to increased tumor growth inhibition and resulted in more frequent and deeper tumor regressions (Figure 2).</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540"/>
        <w:spacing w:after="0" w:line="264" w:lineRule="auto"/>
        <w:rPr>
          <w:sz w:val="20"/>
          <w:szCs w:val="20"/>
          <w:color w:val="auto"/>
        </w:rPr>
      </w:pPr>
      <w:r>
        <w:rPr>
          <w:rFonts w:ascii="Arial" w:cs="Arial" w:eastAsia="Arial" w:hAnsi="Arial"/>
          <w:sz w:val="18"/>
          <w:szCs w:val="18"/>
          <w:b w:val="1"/>
          <w:bCs w:val="1"/>
          <w:color w:val="auto"/>
        </w:rPr>
        <w:t>Figure 2</w:t>
      </w:r>
      <w:r>
        <w:rPr>
          <w:rFonts w:ascii="Arial" w:cs="Arial" w:eastAsia="Arial" w:hAnsi="Arial"/>
          <w:sz w:val="18"/>
          <w:szCs w:val="18"/>
          <w:color w:val="auto"/>
        </w:rPr>
        <w:t>: Intermittent dose regimens of RMC-4630 produce deeper and more frequent tumor regressions than daily dosing at maximal</w:t>
      </w:r>
      <w:r>
        <w:rPr>
          <w:rFonts w:ascii="Arial" w:cs="Arial" w:eastAsia="Arial" w:hAnsi="Arial"/>
          <w:sz w:val="18"/>
          <w:szCs w:val="18"/>
          <w:b w:val="1"/>
          <w:bCs w:val="1"/>
          <w:color w:val="auto"/>
        </w:rPr>
        <w:t xml:space="preserve"> </w:t>
      </w:r>
      <w:r>
        <w:rPr>
          <w:rFonts w:ascii="Arial" w:cs="Arial" w:eastAsia="Arial" w:hAnsi="Arial"/>
          <w:sz w:val="18"/>
          <w:szCs w:val="18"/>
          <w:color w:val="auto"/>
        </w:rPr>
        <w:t>tolerated dose in a preclinical xenograft model of NSCLC tumors harboring 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spacing w:after="0" w:line="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86360</wp:posOffset>
            </wp:positionV>
            <wp:extent cx="3738880" cy="26498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38880"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0"/>
        <w:spacing w:after="0" w:line="204" w:lineRule="auto"/>
        <w:rPr>
          <w:sz w:val="20"/>
          <w:szCs w:val="20"/>
          <w:color w:val="auto"/>
        </w:rPr>
      </w:pPr>
      <w:r>
        <w:rPr>
          <w:rFonts w:ascii="Arial" w:cs="Arial" w:eastAsia="Arial" w:hAnsi="Arial"/>
          <w:sz w:val="14"/>
          <w:szCs w:val="14"/>
          <w:color w:val="auto"/>
        </w:rPr>
        <w:t>Anti-tumor activity of daily (qd) and intermittent, every other day, (q2d) oral (po) dose regimens for RMC-4630 in NSCLC NCI-H358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cell line-derived xenograft model in mice. Graphs show tumor volume data for individual animals, expressed as a percentage of initial tumor volume at time of study start, for </w:t>
      </w:r>
      <w:r>
        <w:rPr>
          <w:rFonts w:ascii="Arial" w:cs="Arial" w:eastAsia="Arial" w:hAnsi="Arial"/>
          <w:sz w:val="14"/>
          <w:szCs w:val="14"/>
          <w:b w:val="1"/>
          <w:bCs w:val="1"/>
          <w:color w:val="auto"/>
        </w:rPr>
        <w:t>(a)</w:t>
      </w:r>
      <w:r>
        <w:rPr>
          <w:rFonts w:ascii="Arial" w:cs="Arial" w:eastAsia="Arial" w:hAnsi="Arial"/>
          <w:sz w:val="14"/>
          <w:szCs w:val="14"/>
          <w:color w:val="auto"/>
        </w:rPr>
        <w:t xml:space="preserve"> 30 mg/kg qd, </w:t>
      </w:r>
      <w:r>
        <w:rPr>
          <w:rFonts w:ascii="Arial" w:cs="Arial" w:eastAsia="Arial" w:hAnsi="Arial"/>
          <w:sz w:val="14"/>
          <w:szCs w:val="14"/>
          <w:b w:val="1"/>
          <w:bCs w:val="1"/>
          <w:color w:val="auto"/>
        </w:rPr>
        <w:t>(b)</w:t>
      </w:r>
      <w:r>
        <w:rPr>
          <w:rFonts w:ascii="Arial" w:cs="Arial" w:eastAsia="Arial" w:hAnsi="Arial"/>
          <w:sz w:val="14"/>
          <w:szCs w:val="14"/>
          <w:color w:val="auto"/>
        </w:rPr>
        <w:t xml:space="preserve"> 60 mg/kg q2d, </w:t>
      </w:r>
      <w:r>
        <w:rPr>
          <w:rFonts w:ascii="Arial" w:cs="Arial" w:eastAsia="Arial" w:hAnsi="Arial"/>
          <w:sz w:val="14"/>
          <w:szCs w:val="14"/>
          <w:b w:val="1"/>
          <w:bCs w:val="1"/>
          <w:color w:val="auto"/>
        </w:rPr>
        <w:t>(c)</w:t>
      </w:r>
      <w:r>
        <w:rPr>
          <w:rFonts w:ascii="Arial" w:cs="Arial" w:eastAsia="Arial" w:hAnsi="Arial"/>
          <w:sz w:val="14"/>
          <w:szCs w:val="14"/>
          <w:color w:val="auto"/>
        </w:rPr>
        <w:t xml:space="preserve"> 120 mg/kg q2d and </w:t>
      </w:r>
      <w:r>
        <w:rPr>
          <w:rFonts w:ascii="Arial" w:cs="Arial" w:eastAsia="Arial" w:hAnsi="Arial"/>
          <w:sz w:val="14"/>
          <w:szCs w:val="14"/>
          <w:b w:val="1"/>
          <w:bCs w:val="1"/>
          <w:color w:val="auto"/>
        </w:rPr>
        <w:t>(d)</w:t>
      </w:r>
      <w:r>
        <w:rPr>
          <w:rFonts w:ascii="Arial" w:cs="Arial" w:eastAsia="Arial" w:hAnsi="Arial"/>
          <w:sz w:val="14"/>
          <w:szCs w:val="14"/>
          <w:color w:val="auto"/>
        </w:rPr>
        <w:t xml:space="preserve"> 200 mg/kg q2d dose regimens (number of animals per group = 9 to 10). Changes in tumor volume of greater than 10% (grey zone) are considered significant. Dotted line references 50% reduction in tumor volume. All dose regimens were well-tolerated.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Rationale for combining with other targeted agents</w:t>
      </w:r>
    </w:p>
    <w:p>
      <w:pPr>
        <w:spacing w:after="0" w:line="122"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Certain cancer treatments that inhibit components of the RAS signaling pathway are often unable to achieve the desired clinical effect as single agents due to the rapid development of adaptive resistance. These resistance mechanisms often involve hyperactivation of various RTKs that drive oncogenic signals via SHP2. Given that SHP2 is required for RAS signaling pathway activation by many RTKs, it might represent a viable target to limit potential resistance to other single-agent treatments. Inhibition of SHP2 in cell culture experiments abrogated RTK signaling and, in preclinical studies, RMC-4630 demonstrated combinatorial activity when given with other RAS signaling pathway inhibitors, such as MEK, KRAS</w:t>
      </w:r>
      <w:r>
        <w:rPr>
          <w:rFonts w:ascii="Arial" w:cs="Arial" w:eastAsia="Arial" w:hAnsi="Arial"/>
          <w:sz w:val="11"/>
          <w:szCs w:val="11"/>
          <w:color w:val="auto"/>
        </w:rPr>
        <w:t>G12C</w:t>
      </w:r>
      <w:r>
        <w:rPr>
          <w:rFonts w:ascii="Arial" w:cs="Arial" w:eastAsia="Arial" w:hAnsi="Arial"/>
          <w:sz w:val="18"/>
          <w:szCs w:val="18"/>
          <w:color w:val="auto"/>
        </w:rPr>
        <w:t xml:space="preserve"> or EGFR.</w:t>
      </w:r>
    </w:p>
    <w:p>
      <w:pPr>
        <w:spacing w:after="0" w:line="102"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MEK inhibitors, such as cobimetinib, are approved for the treatment of certain types of melanoma but only in combination therapy. As single agents they have shown limited clinical effect, particularly in lung cancers carrying RAS mutations, which is believed to be due in part to adaptive resistance mechanisms.</w:t>
      </w:r>
    </w:p>
    <w:p>
      <w:pPr>
        <w:spacing w:after="0" w:line="100" w:lineRule="exact"/>
        <w:rPr>
          <w:sz w:val="20"/>
          <w:szCs w:val="20"/>
          <w:color w:val="auto"/>
        </w:rPr>
      </w:pPr>
    </w:p>
    <w:p>
      <w:pPr>
        <w:ind w:left="200" w:right="380"/>
        <w:spacing w:after="0" w:line="281" w:lineRule="auto"/>
        <w:rPr>
          <w:sz w:val="20"/>
          <w:szCs w:val="20"/>
          <w:color w:val="auto"/>
        </w:rPr>
      </w:pPr>
      <w:r>
        <w:rPr>
          <w:rFonts w:ascii="Arial" w:cs="Arial" w:eastAsia="Arial" w:hAnsi="Arial"/>
          <w:sz w:val="16"/>
          <w:szCs w:val="16"/>
          <w:color w:val="auto"/>
        </w:rPr>
        <w:t>In several preclinical tumor xenograft models either RMC-4630 or cobimetinib, dosed as single agents at doses lower than the maximally tolerated dose for each agent, inhibited tumor growth but induced few tumor regressions. However, the number and depth of tumor regressions was markedly increased upon treatment with a combination of these low-doses of RMC-4630 and cobimetinib (Figure 3).</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80"/>
          </w:cols>
          <w:pgMar w:left="24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color w:val="auto"/>
        </w:rPr>
        <w:t>Figure 3</w:t>
      </w:r>
      <w:r>
        <w:rPr>
          <w:rFonts w:ascii="Arial" w:cs="Arial" w:eastAsia="Arial" w:hAnsi="Arial"/>
          <w:sz w:val="18"/>
          <w:szCs w:val="18"/>
          <w:color w:val="auto"/>
        </w:rPr>
        <w:t>: Combination benefit for RMC-4630 and cobimetinib in preclinical xenograft models of tumors harboring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 or wild-type KRAS amplifications.</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86360</wp:posOffset>
            </wp:positionV>
            <wp:extent cx="4305300" cy="16122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0530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Wild-Type KRAS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86360</wp:posOffset>
            </wp:positionV>
            <wp:extent cx="4322445" cy="13633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2244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Anti-tumor activity of RMC-4630 (10 mg/kg, red) and cobimetinib (2.5 mg/kg, blue) dosed daily by oral administration (po, qd) as single agents or in combination (purple) in </w:t>
      </w:r>
      <w:r>
        <w:rPr>
          <w:rFonts w:ascii="Arial" w:cs="Arial" w:eastAsia="Arial" w:hAnsi="Arial"/>
          <w:sz w:val="12"/>
          <w:szCs w:val="12"/>
          <w:b w:val="1"/>
          <w:bCs w:val="1"/>
          <w:color w:val="auto"/>
        </w:rPr>
        <w:t>(a</w:t>
      </w:r>
      <w:r>
        <w:rPr>
          <w:rFonts w:ascii="Arial" w:cs="Arial" w:eastAsia="Arial" w:hAnsi="Arial"/>
          <w:sz w:val="12"/>
          <w:szCs w:val="12"/>
          <w:color w:val="auto"/>
        </w:rPr>
        <w:t xml:space="preserve"> and </w:t>
      </w:r>
      <w:r>
        <w:rPr>
          <w:rFonts w:ascii="Arial" w:cs="Arial" w:eastAsia="Arial" w:hAnsi="Arial"/>
          <w:sz w:val="12"/>
          <w:szCs w:val="12"/>
          <w:b w:val="1"/>
          <w:bCs w:val="1"/>
          <w:color w:val="auto"/>
        </w:rPr>
        <w:t>b)</w:t>
      </w:r>
    </w:p>
    <w:p>
      <w:pPr>
        <w:spacing w:after="0" w:line="6" w:lineRule="exact"/>
        <w:rPr>
          <w:sz w:val="20"/>
          <w:szCs w:val="20"/>
          <w:color w:val="auto"/>
        </w:rPr>
      </w:pPr>
    </w:p>
    <w:p>
      <w:pPr>
        <w:ind w:left="200"/>
        <w:spacing w:after="0" w:line="207" w:lineRule="auto"/>
        <w:rPr>
          <w:sz w:val="20"/>
          <w:szCs w:val="20"/>
          <w:color w:val="auto"/>
        </w:rPr>
      </w:pPr>
      <w:r>
        <w:rPr>
          <w:rFonts w:ascii="Arial" w:cs="Arial" w:eastAsia="Arial" w:hAnsi="Arial"/>
          <w:sz w:val="14"/>
          <w:szCs w:val="14"/>
          <w:color w:val="auto"/>
        </w:rPr>
        <w:t>NSCLC CDX NCI-H358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and </w:t>
      </w:r>
      <w:r>
        <w:rPr>
          <w:rFonts w:ascii="Arial" w:cs="Arial" w:eastAsia="Arial" w:hAnsi="Arial"/>
          <w:sz w:val="14"/>
          <w:szCs w:val="14"/>
          <w:b w:val="1"/>
          <w:bCs w:val="1"/>
          <w:color w:val="auto"/>
        </w:rPr>
        <w:t>(c</w:t>
      </w:r>
      <w:r>
        <w:rPr>
          <w:rFonts w:ascii="Arial" w:cs="Arial" w:eastAsia="Arial" w:hAnsi="Arial"/>
          <w:sz w:val="14"/>
          <w:szCs w:val="14"/>
          <w:color w:val="auto"/>
        </w:rPr>
        <w:t xml:space="preserve"> and </w:t>
      </w:r>
      <w:r>
        <w:rPr>
          <w:rFonts w:ascii="Arial" w:cs="Arial" w:eastAsia="Arial" w:hAnsi="Arial"/>
          <w:sz w:val="14"/>
          <w:szCs w:val="14"/>
          <w:b w:val="1"/>
          <w:bCs w:val="1"/>
          <w:color w:val="auto"/>
        </w:rPr>
        <w:t>d)</w:t>
      </w:r>
      <w:r>
        <w:rPr>
          <w:rFonts w:ascii="Arial" w:cs="Arial" w:eastAsia="Arial" w:hAnsi="Arial"/>
          <w:sz w:val="14"/>
          <w:szCs w:val="14"/>
          <w:color w:val="auto"/>
        </w:rPr>
        <w:t xml:space="preserve"> gastric cancer PDX STO#332 wild-type KRAS amplification (KRAS Amp, CN = 4) xenograft models in mice. Data represent </w:t>
      </w:r>
      <w:r>
        <w:rPr>
          <w:rFonts w:ascii="Arial" w:cs="Arial" w:eastAsia="Arial" w:hAnsi="Arial"/>
          <w:sz w:val="14"/>
          <w:szCs w:val="14"/>
          <w:b w:val="1"/>
          <w:bCs w:val="1"/>
          <w:color w:val="auto"/>
        </w:rPr>
        <w:t>(a</w:t>
      </w:r>
      <w:r>
        <w:rPr>
          <w:rFonts w:ascii="Arial" w:cs="Arial" w:eastAsia="Arial" w:hAnsi="Arial"/>
          <w:sz w:val="14"/>
          <w:szCs w:val="14"/>
          <w:color w:val="auto"/>
        </w:rPr>
        <w:t xml:space="preserve"> and </w:t>
      </w:r>
      <w:r>
        <w:rPr>
          <w:rFonts w:ascii="Arial" w:cs="Arial" w:eastAsia="Arial" w:hAnsi="Arial"/>
          <w:sz w:val="14"/>
          <w:szCs w:val="14"/>
          <w:b w:val="1"/>
          <w:bCs w:val="1"/>
          <w:color w:val="auto"/>
        </w:rPr>
        <w:t>c)</w:t>
      </w:r>
      <w:r>
        <w:rPr>
          <w:rFonts w:ascii="Arial" w:cs="Arial" w:eastAsia="Arial" w:hAnsi="Arial"/>
          <w:sz w:val="14"/>
          <w:szCs w:val="14"/>
          <w:color w:val="auto"/>
        </w:rPr>
        <w:t xml:space="preserve"> mean tumor volume over time or </w:t>
      </w:r>
      <w:r>
        <w:rPr>
          <w:rFonts w:ascii="Arial" w:cs="Arial" w:eastAsia="Arial" w:hAnsi="Arial"/>
          <w:sz w:val="14"/>
          <w:szCs w:val="14"/>
          <w:b w:val="1"/>
          <w:bCs w:val="1"/>
          <w:color w:val="auto"/>
        </w:rPr>
        <w:t>(b</w:t>
      </w:r>
      <w:r>
        <w:rPr>
          <w:rFonts w:ascii="Arial" w:cs="Arial" w:eastAsia="Arial" w:hAnsi="Arial"/>
          <w:sz w:val="14"/>
          <w:szCs w:val="14"/>
          <w:color w:val="auto"/>
        </w:rPr>
        <w:t xml:space="preserve"> and </w:t>
      </w:r>
      <w:r>
        <w:rPr>
          <w:rFonts w:ascii="Arial" w:cs="Arial" w:eastAsia="Arial" w:hAnsi="Arial"/>
          <w:sz w:val="14"/>
          <w:szCs w:val="14"/>
          <w:b w:val="1"/>
          <w:bCs w:val="1"/>
          <w:color w:val="auto"/>
        </w:rPr>
        <w:t>d)</w:t>
      </w:r>
      <w:r>
        <w:rPr>
          <w:rFonts w:ascii="Arial" w:cs="Arial" w:eastAsia="Arial" w:hAnsi="Arial"/>
          <w:sz w:val="14"/>
          <w:szCs w:val="14"/>
          <w:color w:val="auto"/>
        </w:rPr>
        <w:t xml:space="preserve"> waterfall plots of individual end of study responses with tumor volume expressed as a percentage of initial tumor volume at time of study start (truncated at 300% in </w:t>
      </w:r>
      <w:r>
        <w:rPr>
          <w:rFonts w:ascii="Arial" w:cs="Arial" w:eastAsia="Arial" w:hAnsi="Arial"/>
          <w:sz w:val="14"/>
          <w:szCs w:val="14"/>
          <w:b w:val="1"/>
          <w:bCs w:val="1"/>
          <w:color w:val="auto"/>
        </w:rPr>
        <w:t>d</w:t>
      </w:r>
      <w:r>
        <w:rPr>
          <w:rFonts w:ascii="Arial" w:cs="Arial" w:eastAsia="Arial" w:hAnsi="Arial"/>
          <w:sz w:val="14"/>
          <w:szCs w:val="14"/>
          <w:color w:val="auto"/>
        </w:rPr>
        <w:t xml:space="preserve">). In (a) and (c) data represent mean and errors bars represent standard error of the mean. Each animal represented as a separate bar in </w:t>
      </w:r>
      <w:r>
        <w:rPr>
          <w:rFonts w:ascii="Arial" w:cs="Arial" w:eastAsia="Arial" w:hAnsi="Arial"/>
          <w:sz w:val="14"/>
          <w:szCs w:val="14"/>
          <w:b w:val="1"/>
          <w:bCs w:val="1"/>
          <w:color w:val="auto"/>
        </w:rPr>
        <w:t>(b</w:t>
      </w:r>
      <w:r>
        <w:rPr>
          <w:rFonts w:ascii="Arial" w:cs="Arial" w:eastAsia="Arial" w:hAnsi="Arial"/>
          <w:sz w:val="14"/>
          <w:szCs w:val="14"/>
          <w:color w:val="auto"/>
        </w:rPr>
        <w:t xml:space="preserve"> and </w:t>
      </w:r>
      <w:r>
        <w:rPr>
          <w:rFonts w:ascii="Arial" w:cs="Arial" w:eastAsia="Arial" w:hAnsi="Arial"/>
          <w:sz w:val="14"/>
          <w:szCs w:val="14"/>
          <w:b w:val="1"/>
          <w:bCs w:val="1"/>
          <w:color w:val="auto"/>
        </w:rPr>
        <w:t>d)</w:t>
      </w:r>
      <w:r>
        <w:rPr>
          <w:rFonts w:ascii="Arial" w:cs="Arial" w:eastAsia="Arial" w:hAnsi="Arial"/>
          <w:sz w:val="14"/>
          <w:szCs w:val="14"/>
          <w:color w:val="auto"/>
        </w:rPr>
        <w:t>. Number of animals per group = 10. Respective doses (in parentheses) of RMC-4630 (10 mg/kg) and cobimetinib (2.5 mg/kg) are lower than the corresponding maximally-tolerated dose for each agent. Numbers indicate number of regressions (defined as &gt; 10% reduction in tumor volume from starting volume) in each group.</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There are three important implications of these observations: first, the anti-tumor effects of RMC-4630 may be significantly greater in human cancers that are already predicted to be sensitive to SHP2 inhibition if RMC-4630 is combined with a MEK inhibitor. Second, the effects of the combination may be observed at doses or exposures of RMC-4630 or a MEK inhibitor that are significantly below the maximum tolerated dose for each agent. Third, there may be a higher probability of invoking tumor cell death with the combination, and thus seeing tumor regressions.</w:t>
      </w:r>
    </w:p>
    <w:p>
      <w:pPr>
        <w:spacing w:after="0" w:line="103"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8"/>
          <w:szCs w:val="18"/>
          <w:color w:val="auto"/>
        </w:rPr>
        <w:t>In addition, two of our academic collaborators have demonstrated that tumors with KRAS</w:t>
      </w:r>
      <w:r>
        <w:rPr>
          <w:rFonts w:ascii="Arial" w:cs="Arial" w:eastAsia="Arial" w:hAnsi="Arial"/>
          <w:sz w:val="11"/>
          <w:szCs w:val="11"/>
          <w:color w:val="auto"/>
        </w:rPr>
        <w:t>G12D</w:t>
      </w:r>
      <w:r>
        <w:rPr>
          <w:rFonts w:ascii="Arial" w:cs="Arial" w:eastAsia="Arial" w:hAnsi="Arial"/>
          <w:sz w:val="18"/>
          <w:szCs w:val="18"/>
          <w:color w:val="auto"/>
        </w:rPr>
        <w:t xml:space="preserve"> or KRAS</w:t>
      </w:r>
      <w:r>
        <w:rPr>
          <w:rFonts w:ascii="Arial" w:cs="Arial" w:eastAsia="Arial" w:hAnsi="Arial"/>
          <w:sz w:val="11"/>
          <w:szCs w:val="11"/>
          <w:color w:val="auto"/>
        </w:rPr>
        <w:t>G13D</w:t>
      </w:r>
      <w:r>
        <w:rPr>
          <w:rFonts w:ascii="Arial" w:cs="Arial" w:eastAsia="Arial" w:hAnsi="Arial"/>
          <w:sz w:val="18"/>
          <w:szCs w:val="18"/>
          <w:color w:val="auto"/>
        </w:rPr>
        <w:t xml:space="preserve"> mutations may be responsive to a SHP2 inhibitor combined with a MEK inhibitor. Based on their published results, the RMC-4630 and MEK inhibitor combination may be active in some tumors with mutations that may not be sensitive to SHP2 inhibition alone.</w:t>
      </w:r>
    </w:p>
    <w:p>
      <w:pPr>
        <w:spacing w:after="0" w:line="100"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The combination of RMC-4630 and cobimetinib has been relatively well tolerated in preclinical studies. We have also sought to maximize potent anti-tumor activity of RMC-4630, and reduce potential side effects, by deploying an intermittent dosing schedule.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Recently reported initial clinical results from two KRAS</w:t>
      </w:r>
      <w:r>
        <w:rPr>
          <w:rFonts w:ascii="Arial" w:cs="Arial" w:eastAsia="Arial" w:hAnsi="Arial"/>
          <w:sz w:val="11"/>
          <w:szCs w:val="11"/>
          <w:color w:val="auto"/>
        </w:rPr>
        <w:t>G12C</w:t>
      </w:r>
      <w:r>
        <w:rPr>
          <w:rFonts w:ascii="Arial" w:cs="Arial" w:eastAsia="Arial" w:hAnsi="Arial"/>
          <w:sz w:val="18"/>
          <w:szCs w:val="18"/>
          <w:color w:val="auto"/>
        </w:rPr>
        <w:t>(OFF) inhibitors suggest significant clinical benefit and provide strong pharmacologic validation of this oncoprotein as a cancer driver. Preclinical studies have demonstrated that KRAS</w:t>
      </w:r>
      <w:r>
        <w:rPr>
          <w:rFonts w:ascii="Arial" w:cs="Arial" w:eastAsia="Arial" w:hAnsi="Arial"/>
          <w:sz w:val="11"/>
          <w:szCs w:val="11"/>
          <w:color w:val="auto"/>
        </w:rPr>
        <w:t>G12C</w:t>
      </w:r>
      <w:r>
        <w:rPr>
          <w:rFonts w:ascii="Arial" w:cs="Arial" w:eastAsia="Arial" w:hAnsi="Arial"/>
          <w:sz w:val="18"/>
          <w:szCs w:val="18"/>
          <w:color w:val="auto"/>
        </w:rPr>
        <w:t>(OFF) inhibitors also cause a rapid increase in signaling through RTKs that are typically SHP2-dependent. Thus, the magnitude and durability of effect of an inhibitor of KRAS</w:t>
      </w:r>
      <w:r>
        <w:rPr>
          <w:rFonts w:ascii="Arial" w:cs="Arial" w:eastAsia="Arial" w:hAnsi="Arial"/>
          <w:sz w:val="11"/>
          <w:szCs w:val="11"/>
          <w:color w:val="auto"/>
        </w:rPr>
        <w:t>G12C</w:t>
      </w:r>
      <w:r>
        <w:rPr>
          <w:rFonts w:ascii="Arial" w:cs="Arial" w:eastAsia="Arial" w:hAnsi="Arial"/>
          <w:sz w:val="18"/>
          <w:szCs w:val="18"/>
          <w:color w:val="auto"/>
        </w:rPr>
        <w:t>(OFF) may be significantly increased when combined with a SHP2 inhibitor that disrupts signaling from the activated RTKs. Recent data have demonstrated that a combination of our proprietary SHP2 inhibitor with KRAS</w:t>
      </w:r>
      <w:r>
        <w:rPr>
          <w:rFonts w:ascii="Arial" w:cs="Arial" w:eastAsia="Arial" w:hAnsi="Arial"/>
          <w:sz w:val="11"/>
          <w:szCs w:val="11"/>
          <w:color w:val="auto"/>
        </w:rPr>
        <w:t>G12C</w:t>
      </w:r>
      <w:r>
        <w:rPr>
          <w:rFonts w:ascii="Arial" w:cs="Arial" w:eastAsia="Arial" w:hAnsi="Arial"/>
          <w:sz w:val="18"/>
          <w:szCs w:val="18"/>
          <w:color w:val="auto"/>
        </w:rPr>
        <w:t>(OFF) inhibitors can drive significant tumor regression in two distinct KRAS</w:t>
      </w:r>
      <w:r>
        <w:rPr>
          <w:rFonts w:ascii="Arial" w:cs="Arial" w:eastAsia="Arial" w:hAnsi="Arial"/>
          <w:sz w:val="11"/>
          <w:szCs w:val="11"/>
          <w:color w:val="auto"/>
        </w:rPr>
        <w:t>G12C</w:t>
      </w:r>
      <w:r>
        <w:rPr>
          <w:rFonts w:ascii="Arial" w:cs="Arial" w:eastAsia="Arial" w:hAnsi="Arial"/>
          <w:sz w:val="18"/>
          <w:szCs w:val="18"/>
          <w:color w:val="auto"/>
        </w:rPr>
        <w:t xml:space="preserve"> driven tumor models that exhibit only partial anti-tumor responses to either compound alone (Figure 4).</w:t>
      </w:r>
    </w:p>
    <w:p>
      <w:pPr>
        <w:spacing w:after="0" w:line="79"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b w:val="1"/>
          <w:bCs w:val="1"/>
          <w:color w:val="auto"/>
        </w:rPr>
        <w:t>Figure 4</w:t>
      </w:r>
      <w:r>
        <w:rPr>
          <w:rFonts w:ascii="Arial" w:cs="Arial" w:eastAsia="Arial" w:hAnsi="Arial"/>
          <w:sz w:val="18"/>
          <w:szCs w:val="18"/>
          <w:color w:val="auto"/>
        </w:rPr>
        <w:t>: Combination benefit for SHP2 inhibitor and KRAS</w:t>
      </w:r>
      <w:r>
        <w:rPr>
          <w:rFonts w:ascii="Arial" w:cs="Arial" w:eastAsia="Arial" w:hAnsi="Arial"/>
          <w:sz w:val="11"/>
          <w:szCs w:val="11"/>
          <w:color w:val="auto"/>
        </w:rPr>
        <w:t>G12C</w:t>
      </w:r>
      <w:r>
        <w:rPr>
          <w:rFonts w:ascii="Arial" w:cs="Arial" w:eastAsia="Arial" w:hAnsi="Arial"/>
          <w:sz w:val="18"/>
          <w:szCs w:val="18"/>
          <w:color w:val="auto"/>
        </w:rPr>
        <w:t>(OFF) inhibitor in preclinical xenograft models of tumors harboring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57150</wp:posOffset>
            </wp:positionV>
            <wp:extent cx="4665345" cy="20497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6534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line="183" w:lineRule="auto"/>
        <w:rPr>
          <w:sz w:val="20"/>
          <w:szCs w:val="20"/>
          <w:color w:val="auto"/>
        </w:rPr>
      </w:pPr>
      <w:r>
        <w:rPr>
          <w:rFonts w:ascii="Arial" w:cs="Arial" w:eastAsia="Arial" w:hAnsi="Arial"/>
          <w:sz w:val="12"/>
          <w:szCs w:val="12"/>
          <w:color w:val="auto"/>
        </w:rPr>
        <w:t>Anti-tumor activity of a representative SHP2 allosteric inhibitor (RMC-4550) and a KRAS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(OFF) inhibitor (MRTX849 or MRTX1257) dosed daily by oral administration (po, qd) as single agents or in combination in </w:t>
      </w:r>
      <w:r>
        <w:rPr>
          <w:rFonts w:ascii="Arial" w:cs="Arial" w:eastAsia="Arial" w:hAnsi="Arial"/>
          <w:sz w:val="12"/>
          <w:szCs w:val="12"/>
          <w:b w:val="1"/>
          <w:bCs w:val="1"/>
          <w:color w:val="auto"/>
        </w:rPr>
        <w:t>(a)</w:t>
      </w:r>
      <w:r>
        <w:rPr>
          <w:rFonts w:ascii="Arial" w:cs="Arial" w:eastAsia="Arial" w:hAnsi="Arial"/>
          <w:sz w:val="12"/>
          <w:szCs w:val="12"/>
          <w:color w:val="auto"/>
        </w:rPr>
        <w:t xml:space="preserve"> esophageal carcinoma KYSE-410 and </w:t>
      </w:r>
      <w:r>
        <w:rPr>
          <w:rFonts w:ascii="Arial" w:cs="Arial" w:eastAsia="Arial" w:hAnsi="Arial"/>
          <w:sz w:val="12"/>
          <w:szCs w:val="12"/>
          <w:b w:val="1"/>
          <w:bCs w:val="1"/>
          <w:color w:val="auto"/>
        </w:rPr>
        <w:t>(b)</w:t>
      </w:r>
      <w:r>
        <w:rPr>
          <w:rFonts w:ascii="Arial" w:cs="Arial" w:eastAsia="Arial" w:hAnsi="Arial"/>
          <w:sz w:val="12"/>
          <w:szCs w:val="12"/>
          <w:color w:val="auto"/>
        </w:rPr>
        <w:t xml:space="preserve"> NSCLC NCI-H358 KRAS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 cell line-derived xenograft models in mice. Data represent </w:t>
      </w:r>
      <w:r>
        <w:rPr>
          <w:rFonts w:ascii="Arial" w:cs="Arial" w:eastAsia="Arial" w:hAnsi="Arial"/>
          <w:sz w:val="12"/>
          <w:szCs w:val="12"/>
          <w:b w:val="1"/>
          <w:bCs w:val="1"/>
          <w:color w:val="auto"/>
        </w:rPr>
        <w:t>(a)</w:t>
      </w:r>
      <w:r>
        <w:rPr>
          <w:rFonts w:ascii="Arial" w:cs="Arial" w:eastAsia="Arial" w:hAnsi="Arial"/>
          <w:sz w:val="12"/>
          <w:szCs w:val="12"/>
          <w:color w:val="auto"/>
        </w:rPr>
        <w:t xml:space="preserve"> mean tumor</w:t>
      </w:r>
    </w:p>
    <w:p>
      <w:pPr>
        <w:ind w:left="200"/>
        <w:spacing w:after="0" w:line="223" w:lineRule="auto"/>
        <w:rPr>
          <w:sz w:val="20"/>
          <w:szCs w:val="20"/>
          <w:color w:val="auto"/>
        </w:rPr>
      </w:pPr>
      <w:r>
        <w:rPr>
          <w:rFonts w:ascii="Arial" w:cs="Arial" w:eastAsia="Arial" w:hAnsi="Arial"/>
          <w:sz w:val="14"/>
          <w:szCs w:val="14"/>
          <w:color w:val="auto"/>
        </w:rPr>
        <w:t xml:space="preserve">volume over time or </w:t>
      </w:r>
      <w:r>
        <w:rPr>
          <w:rFonts w:ascii="Arial" w:cs="Arial" w:eastAsia="Arial" w:hAnsi="Arial"/>
          <w:sz w:val="14"/>
          <w:szCs w:val="14"/>
          <w:b w:val="1"/>
          <w:bCs w:val="1"/>
          <w:color w:val="auto"/>
        </w:rPr>
        <w:t>(b)</w:t>
      </w:r>
      <w:r>
        <w:rPr>
          <w:rFonts w:ascii="Arial" w:cs="Arial" w:eastAsia="Arial" w:hAnsi="Arial"/>
          <w:sz w:val="14"/>
          <w:szCs w:val="14"/>
          <w:color w:val="auto"/>
        </w:rPr>
        <w:t xml:space="preserve"> waterfall plot of individual end of study responses, with tumor volume expressed as a percentage of initial tumor volume at time of study start (truncated at</w:t>
      </w:r>
    </w:p>
    <w:p>
      <w:pPr>
        <w:spacing w:after="0" w:line="1" w:lineRule="exact"/>
        <w:rPr>
          <w:sz w:val="20"/>
          <w:szCs w:val="20"/>
          <w:color w:val="auto"/>
        </w:rPr>
      </w:pPr>
    </w:p>
    <w:p>
      <w:pPr>
        <w:ind w:left="200" w:right="220"/>
        <w:spacing w:after="0" w:line="189" w:lineRule="auto"/>
        <w:rPr>
          <w:sz w:val="20"/>
          <w:szCs w:val="20"/>
          <w:color w:val="auto"/>
        </w:rPr>
      </w:pPr>
      <w:r>
        <w:rPr>
          <w:rFonts w:ascii="Arial" w:cs="Arial" w:eastAsia="Arial" w:hAnsi="Arial"/>
          <w:sz w:val="14"/>
          <w:szCs w:val="14"/>
          <w:color w:val="auto"/>
        </w:rPr>
        <w:t xml:space="preserve">300%). Data in panel </w:t>
      </w:r>
      <w:r>
        <w:rPr>
          <w:rFonts w:ascii="Arial" w:cs="Arial" w:eastAsia="Arial" w:hAnsi="Arial"/>
          <w:sz w:val="14"/>
          <w:szCs w:val="14"/>
          <w:b w:val="1"/>
          <w:bCs w:val="1"/>
          <w:color w:val="auto"/>
        </w:rPr>
        <w:t>(a)</w:t>
      </w:r>
      <w:r>
        <w:rPr>
          <w:rFonts w:ascii="Arial" w:cs="Arial" w:eastAsia="Arial" w:hAnsi="Arial"/>
          <w:sz w:val="14"/>
          <w:szCs w:val="14"/>
          <w:color w:val="auto"/>
        </w:rPr>
        <w:t xml:space="preserve"> taken from an August 2019 Mirati corporate presentation; show evidence for tumor regressions, in addition to reduced rate of tumor regrowth after ‘dosing stopped’, for the SHP2 plus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(OFF) inhibitor combination group relative to either single agent group. For our data in panel </w:t>
      </w:r>
      <w:r>
        <w:rPr>
          <w:rFonts w:ascii="Arial" w:cs="Arial" w:eastAsia="Arial" w:hAnsi="Arial"/>
          <w:sz w:val="14"/>
          <w:szCs w:val="14"/>
          <w:b w:val="1"/>
          <w:bCs w:val="1"/>
          <w:color w:val="auto"/>
        </w:rPr>
        <w:t>(b)</w:t>
      </w:r>
      <w:r>
        <w:rPr>
          <w:rFonts w:ascii="Arial" w:cs="Arial" w:eastAsia="Arial" w:hAnsi="Arial"/>
          <w:sz w:val="14"/>
          <w:szCs w:val="14"/>
          <w:color w:val="auto"/>
        </w:rPr>
        <w:t xml:space="preserve"> each animal is represented as a separate bar (number of animals per group = 10). Numbers indicate number of regressions (&gt; 10% reduction in tumor volume from starting volume) in each group. RMC-4550 is a potent and selective SHP2 allosteric inhibitor tool compound (see Nichols et al., 2018). MRTX849 is Mirati’s KRAS</w:t>
      </w:r>
      <w:r>
        <w:rPr>
          <w:rFonts w:ascii="Arial" w:cs="Arial" w:eastAsia="Arial" w:hAnsi="Arial"/>
          <w:sz w:val="22"/>
          <w:szCs w:val="22"/>
          <w:color w:val="auto"/>
          <w:vertAlign w:val="superscript"/>
        </w:rPr>
        <w:t>G12C</w:t>
      </w:r>
      <w:r>
        <w:rPr>
          <w:rFonts w:ascii="Arial" w:cs="Arial" w:eastAsia="Arial" w:hAnsi="Arial"/>
          <w:sz w:val="14"/>
          <w:szCs w:val="14"/>
          <w:color w:val="auto"/>
        </w:rPr>
        <w:t>(OFF) clinical candidate and MRTX1257 is a potent and selective KRAS</w:t>
      </w:r>
      <w:r>
        <w:rPr>
          <w:rFonts w:ascii="Arial" w:cs="Arial" w:eastAsia="Arial" w:hAnsi="Arial"/>
          <w:sz w:val="22"/>
          <w:szCs w:val="22"/>
          <w:color w:val="auto"/>
          <w:vertAlign w:val="superscript"/>
        </w:rPr>
        <w:t>G12C</w:t>
      </w:r>
      <w:r>
        <w:rPr>
          <w:rFonts w:ascii="Arial" w:cs="Arial" w:eastAsia="Arial" w:hAnsi="Arial"/>
          <w:sz w:val="14"/>
          <w:szCs w:val="14"/>
          <w:color w:val="auto"/>
        </w:rPr>
        <w:t>(OFF) inhibitor tool compound.</w:t>
      </w:r>
    </w:p>
    <w:p>
      <w:pPr>
        <w:spacing w:after="0" w:line="3"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In approximately 25% of NSCLC in North and South America, EGFR is mutated and drives tumor growth. EGFR inhibitors are used to treat these types of lung cancer, but emergence of resistance is a clinical problem. With recently approved EGFR inhibitors such as osimertinib (marketed as Tagrisso by AstraZeneca), emergent resistance is frequently due to mutation or amplification of signaling proteins other than EGFR. Similar to the adaptive resistance pathways activated by MEK inhibitors, several of these escape drivers have been shown to signal through SHP2.</w:t>
      </w:r>
    </w:p>
    <w:p>
      <w:pPr>
        <w:spacing w:after="0" w:line="103"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RMC-4630 enhanced the anti-tumor activity of osimertinib in preclinical models of osimertinib-sensitive and osimertinib-resistant EGFR-mutant tumors (Figures 5 and 6). RMC-4630 accelerated and increased the magnitude of tumor regression in an osimertinib-sensitive tumor and delayed and/or reduced tumor regrowth upon cessation of treatment in this model. RMC-4630 also inhibited tumor growth in a patient-derived tumor xenograft that had become resistant to osimertinib via amplification of the oncogene c-MET, an RTK that has been shown to drive some forms of cancer and that signals through SHP2. This suggests that, under circumstances where escape from osimertinib occurs via a SHP2-dependent mechanism, RMC-4630 may have clinical activity.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700"/>
        <w:spacing w:after="0" w:line="264" w:lineRule="auto"/>
        <w:rPr>
          <w:sz w:val="20"/>
          <w:szCs w:val="20"/>
          <w:color w:val="auto"/>
        </w:rPr>
      </w:pPr>
      <w:r>
        <w:rPr>
          <w:rFonts w:ascii="Arial" w:cs="Arial" w:eastAsia="Arial" w:hAnsi="Arial"/>
          <w:sz w:val="18"/>
          <w:szCs w:val="18"/>
          <w:b w:val="1"/>
          <w:bCs w:val="1"/>
          <w:color w:val="auto"/>
        </w:rPr>
        <w:t>Figure 5</w:t>
      </w:r>
      <w:r>
        <w:rPr>
          <w:rFonts w:ascii="Arial" w:cs="Arial" w:eastAsia="Arial" w:hAnsi="Arial"/>
          <w:sz w:val="18"/>
          <w:szCs w:val="18"/>
          <w:color w:val="auto"/>
        </w:rPr>
        <w:t>: Combination benefit for RMC-4630 and the EGFR inhibitor, osimertinib, in an EGFR</w:t>
      </w:r>
      <w:r>
        <w:rPr>
          <w:rFonts w:ascii="Arial" w:cs="Arial" w:eastAsia="Arial" w:hAnsi="Arial"/>
          <w:sz w:val="11"/>
          <w:szCs w:val="11"/>
          <w:color w:val="auto"/>
        </w:rPr>
        <w:t>L858R/T790M</w:t>
      </w:r>
      <w:r>
        <w:rPr>
          <w:rFonts w:ascii="Arial" w:cs="Arial" w:eastAsia="Arial" w:hAnsi="Arial"/>
          <w:sz w:val="18"/>
          <w:szCs w:val="18"/>
          <w:b w:val="1"/>
          <w:bCs w:val="1"/>
          <w:color w:val="auto"/>
        </w:rPr>
        <w:t xml:space="preserve"> </w:t>
      </w:r>
      <w:r>
        <w:rPr>
          <w:rFonts w:ascii="Arial" w:cs="Arial" w:eastAsia="Arial" w:hAnsi="Arial"/>
          <w:sz w:val="18"/>
          <w:szCs w:val="18"/>
          <w:color w:val="auto"/>
        </w:rPr>
        <w:t>osimertinib-sensitive NSCLC</w:t>
      </w:r>
      <w:r>
        <w:rPr>
          <w:rFonts w:ascii="Arial" w:cs="Arial" w:eastAsia="Arial" w:hAnsi="Arial"/>
          <w:sz w:val="18"/>
          <w:szCs w:val="18"/>
          <w:b w:val="1"/>
          <w:bCs w:val="1"/>
          <w:color w:val="auto"/>
        </w:rPr>
        <w:t xml:space="preserve"> </w:t>
      </w:r>
      <w:r>
        <w:rPr>
          <w:rFonts w:ascii="Arial" w:cs="Arial" w:eastAsia="Arial" w:hAnsi="Arial"/>
          <w:sz w:val="18"/>
          <w:szCs w:val="18"/>
          <w:color w:val="auto"/>
        </w:rPr>
        <w:t>xenograft model.</w:t>
      </w:r>
    </w:p>
    <w:p>
      <w:pPr>
        <w:spacing w:after="0" w:line="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EGFR</w:t>
      </w:r>
      <w:r>
        <w:rPr>
          <w:rFonts w:ascii="Arial" w:cs="Arial" w:eastAsia="Arial" w:hAnsi="Arial"/>
          <w:sz w:val="11"/>
          <w:szCs w:val="11"/>
          <w:b w:val="1"/>
          <w:bCs w:val="1"/>
          <w:color w:val="auto"/>
        </w:rPr>
        <w:t>L858R/T790M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86360</wp:posOffset>
            </wp:positionV>
            <wp:extent cx="4098925" cy="22294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9892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right="240"/>
        <w:spacing w:after="0" w:line="192" w:lineRule="auto"/>
        <w:rPr>
          <w:sz w:val="20"/>
          <w:szCs w:val="20"/>
          <w:color w:val="auto"/>
        </w:rPr>
      </w:pPr>
      <w:r>
        <w:rPr>
          <w:rFonts w:ascii="Arial" w:cs="Arial" w:eastAsia="Arial" w:hAnsi="Arial"/>
          <w:sz w:val="13"/>
          <w:szCs w:val="13"/>
          <w:color w:val="auto"/>
        </w:rPr>
        <w:t xml:space="preserve">Anti-tumor activity of osimertinib (5 mg/kg) dosed daily by oral administration (po, qd) as a single agent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r>
        <w:rPr>
          <w:rFonts w:ascii="Arial" w:cs="Arial" w:eastAsia="Arial" w:hAnsi="Arial"/>
          <w:sz w:val="13"/>
          <w:szCs w:val="13"/>
          <w:color w:val="auto"/>
        </w:rPr>
        <w:t xml:space="preserve"> or in combination with RMC-4630 (30 mg/kg po, qd) </w:t>
      </w:r>
      <w:r>
        <w:rPr>
          <w:rFonts w:ascii="Arial" w:cs="Arial" w:eastAsia="Arial" w:hAnsi="Arial"/>
          <w:sz w:val="13"/>
          <w:szCs w:val="13"/>
          <w:b w:val="1"/>
          <w:bCs w:val="1"/>
          <w:color w:val="auto"/>
        </w:rPr>
        <w:t>(c</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in NSCLC NCI-H1975 (EGFR</w:t>
      </w:r>
      <w:r>
        <w:rPr>
          <w:rFonts w:ascii="Arial" w:cs="Arial" w:eastAsia="Arial" w:hAnsi="Arial"/>
          <w:sz w:val="21"/>
          <w:szCs w:val="21"/>
          <w:color w:val="auto"/>
          <w:vertAlign w:val="superscript"/>
        </w:rPr>
        <w:t>L858R/T790M</w:t>
      </w:r>
      <w:r>
        <w:rPr>
          <w:rFonts w:ascii="Arial" w:cs="Arial" w:eastAsia="Arial" w:hAnsi="Arial"/>
          <w:sz w:val="13"/>
          <w:szCs w:val="13"/>
          <w:color w:val="auto"/>
        </w:rPr>
        <w:t>) cell line-derived xenograft model in mice. Graphs show tumor volume data for individual animals, expressed as a percentage of initial tumor</w:t>
      </w:r>
    </w:p>
    <w:p>
      <w:pPr>
        <w:ind w:left="200" w:right="60"/>
        <w:spacing w:after="0" w:line="300" w:lineRule="auto"/>
        <w:rPr>
          <w:sz w:val="20"/>
          <w:szCs w:val="20"/>
          <w:color w:val="auto"/>
        </w:rPr>
      </w:pPr>
      <w:r>
        <w:rPr>
          <w:rFonts w:ascii="Arial" w:cs="Arial" w:eastAsia="Arial" w:hAnsi="Arial"/>
          <w:sz w:val="12"/>
          <w:szCs w:val="12"/>
          <w:color w:val="auto"/>
        </w:rPr>
        <w:t xml:space="preserve">volume at time of study start (number of animals per group =12). Horizontal dotted lines reference the starting tumor volume (0%) and a 50% reduction in tumor volume. Vertical dotted line marks time at which dosing was stopped. Panels </w:t>
      </w:r>
      <w:r>
        <w:rPr>
          <w:rFonts w:ascii="Arial" w:cs="Arial" w:eastAsia="Arial" w:hAnsi="Arial"/>
          <w:sz w:val="12"/>
          <w:szCs w:val="12"/>
          <w:b w:val="1"/>
          <w:bCs w:val="1"/>
          <w:color w:val="auto"/>
        </w:rPr>
        <w:t>(a</w:t>
      </w:r>
      <w:r>
        <w:rPr>
          <w:rFonts w:ascii="Arial" w:cs="Arial" w:eastAsia="Arial" w:hAnsi="Arial"/>
          <w:sz w:val="12"/>
          <w:szCs w:val="12"/>
          <w:color w:val="auto"/>
        </w:rPr>
        <w:t xml:space="preserve"> and </w:t>
      </w:r>
      <w:r>
        <w:rPr>
          <w:rFonts w:ascii="Arial" w:cs="Arial" w:eastAsia="Arial" w:hAnsi="Arial"/>
          <w:sz w:val="12"/>
          <w:szCs w:val="12"/>
          <w:b w:val="1"/>
          <w:bCs w:val="1"/>
          <w:color w:val="auto"/>
        </w:rPr>
        <w:t>c)</w:t>
      </w:r>
      <w:r>
        <w:rPr>
          <w:rFonts w:ascii="Arial" w:cs="Arial" w:eastAsia="Arial" w:hAnsi="Arial"/>
          <w:sz w:val="12"/>
          <w:szCs w:val="12"/>
          <w:color w:val="auto"/>
        </w:rPr>
        <w:t xml:space="preserve"> show the same data as in </w:t>
      </w:r>
      <w:r>
        <w:rPr>
          <w:rFonts w:ascii="Arial" w:cs="Arial" w:eastAsia="Arial" w:hAnsi="Arial"/>
          <w:sz w:val="12"/>
          <w:szCs w:val="12"/>
          <w:b w:val="1"/>
          <w:bCs w:val="1"/>
          <w:color w:val="auto"/>
        </w:rPr>
        <w:t>(b</w:t>
      </w:r>
      <w:r>
        <w:rPr>
          <w:rFonts w:ascii="Arial" w:cs="Arial" w:eastAsia="Arial" w:hAnsi="Arial"/>
          <w:sz w:val="12"/>
          <w:szCs w:val="12"/>
          <w:color w:val="auto"/>
        </w:rPr>
        <w:t xml:space="preserve"> and </w:t>
      </w:r>
      <w:r>
        <w:rPr>
          <w:rFonts w:ascii="Arial" w:cs="Arial" w:eastAsia="Arial" w:hAnsi="Arial"/>
          <w:sz w:val="12"/>
          <w:szCs w:val="12"/>
          <w:b w:val="1"/>
          <w:bCs w:val="1"/>
          <w:color w:val="auto"/>
        </w:rPr>
        <w:t>d)</w:t>
      </w:r>
      <w:r>
        <w:rPr>
          <w:rFonts w:ascii="Arial" w:cs="Arial" w:eastAsia="Arial" w:hAnsi="Arial"/>
          <w:sz w:val="12"/>
          <w:szCs w:val="12"/>
          <w:color w:val="auto"/>
        </w:rPr>
        <w:t xml:space="preserve"> up to the time point of dosing cessation but on an expanded time scale.</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6</w:t>
      </w:r>
      <w:r>
        <w:rPr>
          <w:rFonts w:ascii="Arial" w:cs="Arial" w:eastAsia="Arial" w:hAnsi="Arial"/>
          <w:sz w:val="18"/>
          <w:szCs w:val="18"/>
          <w:color w:val="auto"/>
        </w:rPr>
        <w:t>: RMC-4630 suppresses tumor growth in an osimertinib-resistant NSCLC patient-derived xenograft model</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(EGFR</w:t>
      </w:r>
      <w:r>
        <w:rPr>
          <w:rFonts w:ascii="Arial" w:cs="Arial" w:eastAsia="Arial" w:hAnsi="Arial"/>
          <w:sz w:val="11"/>
          <w:szCs w:val="11"/>
          <w:color w:val="auto"/>
        </w:rPr>
        <w:t>L858R/T790</w:t>
      </w:r>
      <w:r>
        <w:rPr>
          <w:rFonts w:ascii="Arial" w:cs="Arial" w:eastAsia="Arial" w:hAnsi="Arial"/>
          <w:sz w:val="18"/>
          <w:szCs w:val="18"/>
          <w:color w:val="auto"/>
        </w:rPr>
        <w:t>/MET</w:t>
      </w:r>
      <w:r>
        <w:rPr>
          <w:rFonts w:ascii="Arial" w:cs="Arial" w:eastAsia="Arial" w:hAnsi="Arial"/>
          <w:sz w:val="11"/>
          <w:szCs w:val="11"/>
          <w:color w:val="auto"/>
        </w:rPr>
        <w:t>amplified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-4445</wp:posOffset>
            </wp:positionV>
            <wp:extent cx="2684145" cy="21697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8414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right="100"/>
        <w:spacing w:after="0" w:line="204" w:lineRule="auto"/>
        <w:rPr>
          <w:sz w:val="20"/>
          <w:szCs w:val="20"/>
          <w:color w:val="auto"/>
        </w:rPr>
      </w:pPr>
      <w:r>
        <w:rPr>
          <w:rFonts w:ascii="Arial" w:cs="Arial" w:eastAsia="Arial" w:hAnsi="Arial"/>
          <w:sz w:val="14"/>
          <w:szCs w:val="14"/>
          <w:color w:val="auto"/>
        </w:rPr>
        <w:t>Daily oral administration of RMC-4630 (30 mg/kg po, qd) inhibits tumor growth in an osimertinib-resistant NSCLC patient-derived xenograft model (EGFR</w:t>
      </w:r>
      <w:r>
        <w:rPr>
          <w:rFonts w:ascii="Arial" w:cs="Arial" w:eastAsia="Arial" w:hAnsi="Arial"/>
          <w:sz w:val="22"/>
          <w:szCs w:val="22"/>
          <w:color w:val="auto"/>
          <w:vertAlign w:val="superscript"/>
        </w:rPr>
        <w:t>L858R/T790</w:t>
      </w:r>
      <w:r>
        <w:rPr>
          <w:rFonts w:ascii="Arial" w:cs="Arial" w:eastAsia="Arial" w:hAnsi="Arial"/>
          <w:sz w:val="14"/>
          <w:szCs w:val="14"/>
          <w:color w:val="auto"/>
        </w:rPr>
        <w:t>/MET</w:t>
      </w:r>
      <w:r>
        <w:rPr>
          <w:rFonts w:ascii="Arial" w:cs="Arial" w:eastAsia="Arial" w:hAnsi="Arial"/>
          <w:sz w:val="22"/>
          <w:szCs w:val="22"/>
          <w:color w:val="auto"/>
          <w:vertAlign w:val="superscript"/>
        </w:rPr>
        <w:t>amplified</w:t>
      </w:r>
      <w:r>
        <w:rPr>
          <w:rFonts w:ascii="Arial" w:cs="Arial" w:eastAsia="Arial" w:hAnsi="Arial"/>
          <w:sz w:val="14"/>
          <w:szCs w:val="14"/>
          <w:color w:val="auto"/>
        </w:rPr>
        <w:t>) wherein the EGFR</w:t>
      </w:r>
      <w:r>
        <w:rPr>
          <w:rFonts w:ascii="Arial" w:cs="Arial" w:eastAsia="Arial" w:hAnsi="Arial"/>
          <w:sz w:val="22"/>
          <w:szCs w:val="22"/>
          <w:color w:val="auto"/>
          <w:vertAlign w:val="superscript"/>
        </w:rPr>
        <w:t>T790M</w:t>
      </w:r>
      <w:r>
        <w:rPr>
          <w:rFonts w:ascii="Arial" w:cs="Arial" w:eastAsia="Arial" w:hAnsi="Arial"/>
          <w:sz w:val="14"/>
          <w:szCs w:val="14"/>
          <w:color w:val="auto"/>
        </w:rPr>
        <w:t xml:space="preserve"> allele was no longer detected and the patient tumor exhibited genomic amplification of the MET receptor tyrosine kinase. The human tumor xenograft model was implanted in immune deficient mice. Data represent mean and errors bars represent standard error of the mean. Number of animals per group = 10. Osimertinib 25 mg/kg, 5 days on/2 days off had no significant impact on tumor growth as anticipated.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Rationale for combining with immune checkpoint inhibitors</w:t>
      </w:r>
    </w:p>
    <w:p>
      <w:pPr>
        <w:spacing w:after="0" w:line="12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Immune checkpoint inhibitors, such as inhibitors of PD-1, have been useful against a variety of tumor types, including melanomas, breast and lung cancers, certain types of colon cancer and bladder cancers. It has been</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24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proposed in the scientific literature that SHP2 interacts with the PD-1 receptor and mediates at least part of its immune suppressive signals.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We have observed that SHP2 inhibition phenocopies some of the effects of PD-1 blockade in certain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w:t>
      </w:r>
    </w:p>
    <w:p>
      <w:pPr>
        <w:spacing w:after="0" w:line="86"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 xml:space="preserve">We have also seen that SHP2 inhibition inhibits the viability of pro-tumorigenic (M2) macrophages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the tumor microenvironment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SHP2 inhibition reduced the number of M2 macrophages while also promoting increases in the anti-tumor M1 macrophages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RMC-4630 may increase the ability of the innate and adaptive arms of the immune system to control or even eradicate cancer cells. In models of cancer in immunocompetent mice, SHP2 inhibition activated the murine immune system to slow tumor growth, even in tumors that are not intrinsically sensitive to direct cellular effects of SHP2 inhibition. In preclinical models, the combination of a SHP2 inhibitor with an immune checkpoint inhibitor, such as a PD-1 inhibitor, occasionally induced an immune response that is sufficient for mice to ‘reject’ their tumors completely and elicit immunological memory.</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Significant anti-tumor effects of SHP2 inhibition, both alone and in combination with PD-1 inhibition, were also observed in tumors intrinsically sensitive to SHP2 inhibition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(Figure 7). A SHP2 inhibitor such as RMC-4630 may, therefore, elicit anti-tumor effects via two separate biologic mechanisms: targeted inhibition of RAS-dependent tumor growth, and liberation of anti-tumor immune responses by transformation of the tumor microenvironment.</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7</w:t>
      </w:r>
      <w:r>
        <w:rPr>
          <w:rFonts w:ascii="Arial" w:cs="Arial" w:eastAsia="Arial" w:hAnsi="Arial"/>
          <w:sz w:val="18"/>
          <w:szCs w:val="18"/>
          <w:color w:val="auto"/>
        </w:rPr>
        <w:t>: Anti-tumor effects of SHP2 inhibition alone and in combination with PD–1 checkpoint blockade in the EMT6 syngeneic model.</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EMT6 Mouse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8890</wp:posOffset>
            </wp:positionV>
            <wp:extent cx="4391025" cy="22294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9102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right="20"/>
        <w:spacing w:after="0" w:line="202" w:lineRule="auto"/>
        <w:rPr>
          <w:sz w:val="20"/>
          <w:szCs w:val="20"/>
          <w:color w:val="auto"/>
        </w:rPr>
      </w:pPr>
      <w:r>
        <w:rPr>
          <w:rFonts w:ascii="Arial" w:cs="Arial" w:eastAsia="Arial" w:hAnsi="Arial"/>
          <w:sz w:val="14"/>
          <w:szCs w:val="14"/>
          <w:color w:val="auto"/>
        </w:rPr>
        <w:t xml:space="preserve">RMC-4550 (30 mg/kg) was administered daily by oral administration for the duration of the study starting at day 6 post-implant; anti-PD-1 (10 mg/kg) was administered every three days by intra-peritoneal administration, for a total of 7 doses starting at day 6 post-implant, or a combination of both was administered to EMT6 tumor bearing immunocompetent mice. Control animals received the isotype control for the anti-PD-1 antibody. Data represent </w:t>
      </w:r>
      <w:r>
        <w:rPr>
          <w:rFonts w:ascii="Arial" w:cs="Arial" w:eastAsia="Arial" w:hAnsi="Arial"/>
          <w:sz w:val="14"/>
          <w:szCs w:val="14"/>
          <w:b w:val="1"/>
          <w:bCs w:val="1"/>
          <w:color w:val="auto"/>
        </w:rPr>
        <w:t>(a)</w:t>
      </w:r>
      <w:r>
        <w:rPr>
          <w:rFonts w:ascii="Arial" w:cs="Arial" w:eastAsia="Arial" w:hAnsi="Arial"/>
          <w:sz w:val="14"/>
          <w:szCs w:val="14"/>
          <w:color w:val="auto"/>
        </w:rPr>
        <w:t xml:space="preserve"> tumor growth of individual mice for each experimental group and </w:t>
      </w:r>
      <w:r>
        <w:rPr>
          <w:rFonts w:ascii="Arial" w:cs="Arial" w:eastAsia="Arial" w:hAnsi="Arial"/>
          <w:sz w:val="14"/>
          <w:szCs w:val="14"/>
          <w:b w:val="1"/>
          <w:bCs w:val="1"/>
          <w:color w:val="auto"/>
        </w:rPr>
        <w:t>(b)</w:t>
      </w:r>
      <w:r>
        <w:rPr>
          <w:rFonts w:ascii="Arial" w:cs="Arial" w:eastAsia="Arial" w:hAnsi="Arial"/>
          <w:sz w:val="14"/>
          <w:szCs w:val="14"/>
          <w:color w:val="auto"/>
        </w:rPr>
        <w:t xml:space="preserve"> Kaplan–Meier curves showing percentage of animals with tumor burden &lt; 2000 mm</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in each treatment group for the duration of the study. RMC-4550 is a potent and selective SHP2 allosteric inhibitor tool compound. Number of animals per group = 10.</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Development strategy</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summary, preclinical research suggests that RMC-4630 has the potential to cause significant anti-tumor effects:</w:t>
      </w:r>
    </w:p>
    <w:p>
      <w:pPr>
        <w:spacing w:after="0" w:line="117" w:lineRule="exact"/>
        <w:rPr>
          <w:sz w:val="20"/>
          <w:szCs w:val="20"/>
          <w:color w:val="auto"/>
        </w:rPr>
      </w:pPr>
    </w:p>
    <w:p>
      <w:pPr>
        <w:ind w:left="5560" w:right="5340" w:hanging="5356"/>
        <w:spacing w:after="0" w:line="366" w:lineRule="auto"/>
        <w:tabs>
          <w:tab w:leader="none" w:pos="412"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tumors harboring certain mutations of the RAS signaling pathway; 122</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When administered at high doses on an intermittent basis;</w:t>
      </w:r>
    </w:p>
    <w:p>
      <w:pPr>
        <w:spacing w:after="0" w:line="117" w:lineRule="exact"/>
        <w:rPr>
          <w:rFonts w:ascii="Arial" w:cs="Arial" w:eastAsia="Arial" w:hAnsi="Arial"/>
          <w:sz w:val="18"/>
          <w:szCs w:val="18"/>
          <w:color w:val="auto"/>
        </w:rPr>
      </w:pPr>
    </w:p>
    <w:p>
      <w:pPr>
        <w:ind w:left="420" w:right="40" w:hanging="216"/>
        <w:spacing w:after="0" w:line="239"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When given in combination with other targeted anti-cancer agents such as inhibitors of MEK, EGFR or mutated KRAS, such as KRAS</w:t>
      </w:r>
      <w:r>
        <w:rPr>
          <w:rFonts w:ascii="Arial" w:cs="Arial" w:eastAsia="Arial" w:hAnsi="Arial"/>
          <w:sz w:val="11"/>
          <w:szCs w:val="11"/>
          <w:color w:val="auto"/>
        </w:rPr>
        <w:t>G12C</w:t>
      </w:r>
      <w:r>
        <w:rPr>
          <w:rFonts w:ascii="Arial" w:cs="Arial" w:eastAsia="Arial" w:hAnsi="Arial"/>
          <w:sz w:val="18"/>
          <w:szCs w:val="18"/>
          <w:color w:val="auto"/>
        </w:rPr>
        <w:t>; and</w:t>
      </w:r>
    </w:p>
    <w:p>
      <w:pPr>
        <w:spacing w:after="0" w:line="114" w:lineRule="exact"/>
        <w:rPr>
          <w:rFonts w:ascii="Arial" w:cs="Arial" w:eastAsia="Arial" w:hAnsi="Arial"/>
          <w:sz w:val="18"/>
          <w:szCs w:val="18"/>
          <w:color w:val="auto"/>
        </w:rPr>
      </w:pPr>
    </w:p>
    <w:p>
      <w:pPr>
        <w:ind w:left="420" w:right="600" w:hanging="216"/>
        <w:spacing w:after="0" w:line="239"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both the direct effects of SHP2 inhibition on cancer cells with RAS pathway mutations and activation of the immune system occur concurrently, which may be heightened through combination with a PD–1 inhibitor.</w:t>
      </w:r>
    </w:p>
    <w:p>
      <w:pPr>
        <w:spacing w:after="0" w:line="101"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Although we are at an early stage of clinical testing and product candidate development, we believe RMC-4630 is well-positioned to become the backbone of targeted therapy combinations for the treatment of various RAS-dependent tumors (Figure 8).</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163830</wp:posOffset>
            </wp:positionV>
            <wp:extent cx="5188585" cy="2178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85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1/2 clinical program</w:t>
      </w:r>
    </w:p>
    <w:p>
      <w:pPr>
        <w:spacing w:after="0" w:line="122"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8"/>
          <w:szCs w:val="18"/>
          <w:color w:val="auto"/>
        </w:rPr>
        <w:t>In collaboration with Sanofi, we are evaluating RMC-4630 in a multi-cohort Phase 1/2 clinical program. This RMC-4630 Phase 1/2 program currently consists of two active clinical trials: RMC-4630-01, a Phase 1 study of RMC-4630 as a single agent, and RMC-4630-02, a Phase 1b/2 study of RMC-4630 in combination with the MEK inhibitor cobimetinib.</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RMC-4630-01 study of single agent RMC-4630 in patients with advanced solid tumors</w:t>
      </w:r>
    </w:p>
    <w:p>
      <w:pPr>
        <w:spacing w:after="0" w:line="122"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RMC-4630-01 is a Phase 1 study in patients with advanced cancers, including those with tumors harboring genetically defined mutations in the RAS signaling pathway, that is evaluating the safety, pharmacokinetics and pharmacodynamic effects of RMC-4630 as a single agent under two different dose administration schedules: daily and twice weekly dosing. A preliminary evaluation of anti-tumor activity is also being made in patients who have tumors harboring mutations in the RAS pathway that are predicted to be sensitive to SHP2 inhibition, including 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G12A</w:t>
      </w:r>
      <w:r>
        <w:rPr>
          <w:rFonts w:ascii="Arial" w:cs="Arial" w:eastAsia="Arial" w:hAnsi="Arial"/>
          <w:sz w:val="18"/>
          <w:szCs w:val="18"/>
          <w:color w:val="auto"/>
        </w:rPr>
        <w:t>, NF1</w:t>
      </w:r>
      <w:r>
        <w:rPr>
          <w:rFonts w:ascii="Arial" w:cs="Arial" w:eastAsia="Arial" w:hAnsi="Arial"/>
          <w:sz w:val="11"/>
          <w:szCs w:val="11"/>
          <w:color w:val="auto"/>
        </w:rPr>
        <w:t>LOF</w:t>
      </w:r>
      <w:r>
        <w:rPr>
          <w:rFonts w:ascii="Arial" w:cs="Arial" w:eastAsia="Arial" w:hAnsi="Arial"/>
          <w:sz w:val="18"/>
          <w:szCs w:val="18"/>
          <w:color w:val="auto"/>
        </w:rPr>
        <w:t>, and BRAF</w:t>
      </w:r>
      <w:r>
        <w:rPr>
          <w:rFonts w:ascii="Arial" w:cs="Arial" w:eastAsia="Arial" w:hAnsi="Arial"/>
          <w:sz w:val="11"/>
          <w:szCs w:val="11"/>
          <w:color w:val="auto"/>
        </w:rPr>
        <w:t>Class3</w:t>
      </w:r>
      <w:r>
        <w:rPr>
          <w:rFonts w:ascii="Arial" w:cs="Arial" w:eastAsia="Arial" w:hAnsi="Arial"/>
          <w:sz w:val="18"/>
          <w:szCs w:val="18"/>
          <w:color w:val="auto"/>
        </w:rPr>
        <w:t xml:space="preserve"> and others (e.g., KRAS</w:t>
      </w:r>
      <w:r>
        <w:rPr>
          <w:rFonts w:ascii="Arial" w:cs="Arial" w:eastAsia="Arial" w:hAnsi="Arial"/>
          <w:sz w:val="11"/>
          <w:szCs w:val="11"/>
          <w:color w:val="auto"/>
        </w:rPr>
        <w:t>amp</w:t>
      </w:r>
      <w:r>
        <w:rPr>
          <w:rFonts w:ascii="Arial" w:cs="Arial" w:eastAsia="Arial" w:hAnsi="Arial"/>
          <w:sz w:val="18"/>
          <w:szCs w:val="18"/>
          <w:color w:val="auto"/>
        </w:rPr>
        <w:t>).</w:t>
      </w:r>
    </w:p>
    <w:p>
      <w:pPr>
        <w:spacing w:after="0" w:line="103"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RMC-4630-01 study was designed to evaluate two different schedules: a daily dosing schedule and an intermittent dosing schedule (Day 1 and Day 4 of every week). The intermittent schedule was intended to achieve intermittent target coverage which, in preclinical models, was associated with similar or superior activity and better tolerability. The RMC-4630-01 trial is currently being conducted at 12 clinical study sites in the United States.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24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the data cut-off on November 6, 2019, we reported the following preliminary data from RMC-4630-01:</w:t>
      </w:r>
    </w:p>
    <w:p>
      <w:pPr>
        <w:spacing w:after="0" w:line="10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In RMC-4630-01, 66 patients had been enrolled and 63 had received study drug and were evaluable for safety: 14 with the intermittent schedule and 49 with the daily schedule (Tables 1, 5 and 8). Dose escalation has been completed for the daily dosing schedule. Dose escalation continues using the intermittent schedule. Preliminary data suggest that the intermittent schedule will be the preferred schedule for the further development of RMC-4630. Therefore, safety, tolerability and pharmacokinetic data for patients treated with the intermittent schedule are reported separately from patients treated with the daily schedule.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Interim safety and tolerability – intermittent dosing schedule</w:t>
      </w:r>
    </w:p>
    <w:p>
      <w:pPr>
        <w:spacing w:after="0" w:line="122"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Fourteen patients dosed with the intermittent schedule have been evaluated for safety after a median RMC-4630 exposure of 1.6 months (range 0.3-5.0 months). Demographic and baseline characteristics information is shown in Table 1.</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1</w:t>
      </w:r>
      <w:r>
        <w:rPr>
          <w:rFonts w:ascii="Arial" w:cs="Arial" w:eastAsia="Arial" w:hAnsi="Arial"/>
          <w:sz w:val="18"/>
          <w:szCs w:val="18"/>
          <w:color w:val="auto"/>
        </w:rPr>
        <w:t>: Demographics and baseline characteristics—intermittent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140 mg D1,D4 (n=8)</w:t>
            </w:r>
          </w:p>
        </w:tc>
        <w:tc>
          <w:tcPr>
            <w:tcW w:w="20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200 mg D1,D4 (n=6)</w:t>
            </w:r>
          </w:p>
        </w:tc>
      </w:tr>
      <w:tr>
        <w:trPr>
          <w:trHeight w:val="196"/>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Age, median (range)</w:t>
            </w:r>
          </w:p>
        </w:tc>
        <w:tc>
          <w:tcPr>
            <w:tcW w:w="3560" w:type="dxa"/>
            <w:vAlign w:val="bottom"/>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63 (47-82)</w:t>
            </w:r>
          </w:p>
        </w:tc>
        <w:tc>
          <w:tcPr>
            <w:tcW w:w="2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 (42-77)</w:t>
            </w:r>
          </w:p>
        </w:tc>
        <w:tc>
          <w:tcPr>
            <w:tcW w:w="60" w:type="dxa"/>
            <w:vAlign w:val="bottom"/>
            <w:shd w:val="clear" w:color="auto" w:fill="CCEEFF"/>
          </w:tcPr>
          <w:p>
            <w:pPr>
              <w:spacing w:after="0"/>
              <w:rPr>
                <w:sz w:val="17"/>
                <w:szCs w:val="17"/>
                <w:color w:val="auto"/>
              </w:rPr>
            </w:pPr>
          </w:p>
        </w:tc>
      </w:tr>
      <w:tr>
        <w:trPr>
          <w:trHeight w:val="214"/>
        </w:trPr>
        <w:tc>
          <w:tcPr>
            <w:tcW w:w="5420" w:type="dxa"/>
            <w:vAlign w:val="bottom"/>
            <w:gridSpan w:val="2"/>
          </w:tcPr>
          <w:p>
            <w:pPr>
              <w:spacing w:after="0"/>
              <w:rPr>
                <w:sz w:val="20"/>
                <w:szCs w:val="20"/>
                <w:color w:val="auto"/>
              </w:rPr>
            </w:pPr>
            <w:r>
              <w:rPr>
                <w:rFonts w:ascii="Arial" w:cs="Arial" w:eastAsia="Arial" w:hAnsi="Arial"/>
                <w:sz w:val="18"/>
                <w:szCs w:val="18"/>
                <w:color w:val="auto"/>
              </w:rPr>
              <w:t>Male (%)</w:t>
            </w:r>
          </w:p>
        </w:tc>
        <w:tc>
          <w:tcPr>
            <w:tcW w:w="3560" w:type="dxa"/>
            <w:vAlign w:val="bottom"/>
          </w:tcPr>
          <w:p>
            <w:pPr>
              <w:jc w:val="right"/>
              <w:ind w:right="272"/>
              <w:spacing w:after="0"/>
              <w:rPr>
                <w:sz w:val="20"/>
                <w:szCs w:val="20"/>
                <w:color w:val="auto"/>
              </w:rPr>
            </w:pPr>
            <w:r>
              <w:rPr>
                <w:rFonts w:ascii="Arial" w:cs="Arial" w:eastAsia="Arial" w:hAnsi="Arial"/>
                <w:sz w:val="18"/>
                <w:szCs w:val="18"/>
                <w:color w:val="auto"/>
              </w:rPr>
              <w:t>4 (50.0%)</w:t>
            </w:r>
          </w:p>
        </w:tc>
        <w:tc>
          <w:tcPr>
            <w:tcW w:w="2000" w:type="dxa"/>
            <w:vAlign w:val="bottom"/>
          </w:tcPr>
          <w:p>
            <w:pPr>
              <w:jc w:val="right"/>
              <w:spacing w:after="0"/>
              <w:rPr>
                <w:sz w:val="20"/>
                <w:szCs w:val="20"/>
                <w:color w:val="auto"/>
              </w:rPr>
            </w:pPr>
            <w:r>
              <w:rPr>
                <w:rFonts w:ascii="Arial" w:cs="Arial" w:eastAsia="Arial" w:hAnsi="Arial"/>
                <w:sz w:val="18"/>
                <w:szCs w:val="18"/>
                <w:color w:val="auto"/>
              </w:rPr>
              <w:t>4 (66.7%)</w:t>
            </w:r>
          </w:p>
        </w:tc>
        <w:tc>
          <w:tcPr>
            <w:tcW w:w="60" w:type="dxa"/>
            <w:vAlign w:val="bottom"/>
          </w:tcPr>
          <w:p>
            <w:pPr>
              <w:spacing w:after="0"/>
              <w:rPr>
                <w:sz w:val="18"/>
                <w:szCs w:val="18"/>
                <w:color w:val="auto"/>
              </w:rPr>
            </w:pPr>
          </w:p>
        </w:tc>
      </w:tr>
      <w:tr>
        <w:trPr>
          <w:trHeight w:val="56"/>
        </w:trPr>
        <w:tc>
          <w:tcPr>
            <w:tcW w:w="5420" w:type="dxa"/>
            <w:vAlign w:val="bottom"/>
            <w:gridSpan w:val="2"/>
          </w:tcPr>
          <w:p>
            <w:pPr>
              <w:spacing w:after="0"/>
              <w:rPr>
                <w:sz w:val="4"/>
                <w:szCs w:val="4"/>
                <w:color w:val="auto"/>
              </w:rPr>
            </w:pPr>
          </w:p>
        </w:tc>
        <w:tc>
          <w:tcPr>
            <w:tcW w:w="35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Cancer Type</w:t>
            </w:r>
          </w:p>
        </w:tc>
        <w:tc>
          <w:tcPr>
            <w:tcW w:w="35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Lung (%)</w:t>
            </w:r>
          </w:p>
        </w:tc>
        <w:tc>
          <w:tcPr>
            <w:tcW w:w="35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5 (62.5%)</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3 (50.0%)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Colon and/or Rectal (%)</w:t>
            </w:r>
          </w:p>
        </w:tc>
        <w:tc>
          <w:tcPr>
            <w:tcW w:w="3560" w:type="dxa"/>
            <w:vAlign w:val="bottom"/>
            <w:shd w:val="clear" w:color="auto" w:fill="CCEEFF"/>
          </w:tcPr>
          <w:p>
            <w:pPr>
              <w:jc w:val="right"/>
              <w:ind w:right="952"/>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 (16.7%)</w:t>
            </w:r>
          </w:p>
        </w:tc>
        <w:tc>
          <w:tcPr>
            <w:tcW w:w="6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Other (%)</w:t>
            </w:r>
          </w:p>
        </w:tc>
        <w:tc>
          <w:tcPr>
            <w:tcW w:w="3560" w:type="dxa"/>
            <w:vAlign w:val="bottom"/>
          </w:tcPr>
          <w:p>
            <w:pPr>
              <w:jc w:val="right"/>
              <w:ind w:right="272"/>
              <w:spacing w:after="0"/>
              <w:rPr>
                <w:sz w:val="20"/>
                <w:szCs w:val="20"/>
                <w:color w:val="auto"/>
              </w:rPr>
            </w:pPr>
            <w:r>
              <w:rPr>
                <w:rFonts w:ascii="Arial" w:cs="Arial" w:eastAsia="Arial" w:hAnsi="Arial"/>
                <w:sz w:val="18"/>
                <w:szCs w:val="18"/>
                <w:color w:val="auto"/>
              </w:rPr>
              <w:t>3 (37.5%)</w:t>
            </w:r>
          </w:p>
        </w:tc>
        <w:tc>
          <w:tcPr>
            <w:tcW w:w="2000" w:type="dxa"/>
            <w:vAlign w:val="bottom"/>
          </w:tcPr>
          <w:p>
            <w:pPr>
              <w:jc w:val="right"/>
              <w:spacing w:after="0"/>
              <w:rPr>
                <w:sz w:val="20"/>
                <w:szCs w:val="20"/>
                <w:color w:val="auto"/>
              </w:rPr>
            </w:pPr>
            <w:r>
              <w:rPr>
                <w:rFonts w:ascii="Arial" w:cs="Arial" w:eastAsia="Arial" w:hAnsi="Arial"/>
                <w:sz w:val="18"/>
                <w:szCs w:val="18"/>
                <w:color w:val="auto"/>
              </w:rPr>
              <w:t>2 (33.3%)</w:t>
            </w:r>
          </w:p>
        </w:tc>
        <w:tc>
          <w:tcPr>
            <w:tcW w:w="60" w:type="dxa"/>
            <w:vAlign w:val="bottom"/>
          </w:tcPr>
          <w:p>
            <w:pPr>
              <w:spacing w:after="0"/>
              <w:rPr>
                <w:sz w:val="18"/>
                <w:szCs w:val="18"/>
                <w:color w:val="auto"/>
              </w:rPr>
            </w:pPr>
          </w:p>
        </w:tc>
      </w:tr>
      <w:tr>
        <w:trPr>
          <w:trHeight w:val="56"/>
        </w:trPr>
        <w:tc>
          <w:tcPr>
            <w:tcW w:w="5420" w:type="dxa"/>
            <w:vAlign w:val="bottom"/>
            <w:gridSpan w:val="2"/>
          </w:tcPr>
          <w:p>
            <w:pPr>
              <w:spacing w:after="0"/>
              <w:rPr>
                <w:sz w:val="4"/>
                <w:szCs w:val="4"/>
                <w:color w:val="auto"/>
              </w:rPr>
            </w:pPr>
          </w:p>
        </w:tc>
        <w:tc>
          <w:tcPr>
            <w:tcW w:w="35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ECOG performance status</w:t>
            </w:r>
          </w:p>
        </w:tc>
        <w:tc>
          <w:tcPr>
            <w:tcW w:w="35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4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0</w:t>
            </w:r>
          </w:p>
        </w:tc>
        <w:tc>
          <w:tcPr>
            <w:tcW w:w="35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 (16.7%)</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1</w:t>
            </w:r>
          </w:p>
        </w:tc>
        <w:tc>
          <w:tcPr>
            <w:tcW w:w="35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7 (87.5%)</w:t>
            </w:r>
          </w:p>
        </w:tc>
        <w:tc>
          <w:tcPr>
            <w:tcW w:w="2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(83.3%)</w:t>
            </w:r>
          </w:p>
        </w:tc>
        <w:tc>
          <w:tcPr>
            <w:tcW w:w="60" w:type="dxa"/>
            <w:vAlign w:val="bottom"/>
            <w:shd w:val="clear" w:color="auto" w:fill="CCEEFF"/>
          </w:tcPr>
          <w:p>
            <w:pPr>
              <w:spacing w:after="0"/>
              <w:rPr>
                <w:sz w:val="17"/>
                <w:szCs w:val="17"/>
                <w:color w:val="auto"/>
              </w:rPr>
            </w:pPr>
          </w:p>
        </w:tc>
      </w:tr>
      <w:tr>
        <w:trPr>
          <w:trHeight w:val="215"/>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 of prior cancer therapies, median (range)</w:t>
            </w:r>
          </w:p>
        </w:tc>
        <w:tc>
          <w:tcPr>
            <w:tcW w:w="35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6.5 (5-8)</w:t>
            </w:r>
          </w:p>
        </w:tc>
        <w:tc>
          <w:tcPr>
            <w:tcW w:w="20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spacing w:after="0" w:line="11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emerging safety profile is consistent with the mechanistic effects of the product candidate on SHP2 and hence the RAS signaling cascade, including edema, reduced red cell production (low hemoglobin concentration and worsening of pre-existing anemia), reduced platelet production (thrombocytopenia), hypertension and fatigue. This safety profile was largely predictable from preclinical studies and clinical studies of other well-known inhibitors of this pathway. Treatment-related and emergent adverse events, or AEs, occurring in greater than or equal to 10% of patients are listed in Table 2. No related grade 4 or grade 5 AEs have been reported for this schedule. One treatment-related serious adverse event, or SAE, has been reported in a patient with pancreatic cancer receiving 200 mg twice weekly who was hospitalized with grade 3 abdominal distension (see Table 3); the SAE was unresolved at the time the patient withdrew from the study to transfer to hospice care.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24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Table 2: </w:t>
      </w:r>
      <w:r>
        <w:rPr>
          <w:rFonts w:ascii="Arial" w:cs="Arial" w:eastAsia="Arial" w:hAnsi="Arial"/>
          <w:sz w:val="18"/>
          <w:szCs w:val="18"/>
          <w:color w:val="auto"/>
        </w:rPr>
        <w:t>Related AEs occurring in</w:t>
      </w:r>
      <w:r>
        <w:rPr>
          <w:rFonts w:ascii="Arial" w:cs="Arial" w:eastAsia="Arial" w:hAnsi="Arial"/>
          <w:sz w:val="18"/>
          <w:szCs w:val="18"/>
          <w:b w:val="1"/>
          <w:bCs w:val="1"/>
          <w:color w:val="auto"/>
        </w:rPr>
        <w:t xml:space="preserve"> </w:t>
      </w:r>
      <w:r>
        <w:rPr>
          <w:rFonts w:ascii="Arial" w:cs="Arial" w:eastAsia="Arial" w:hAnsi="Arial"/>
          <w:sz w:val="18"/>
          <w:szCs w:val="18"/>
          <w:color w:val="auto"/>
        </w:rPr>
        <w:t>³</w:t>
      </w:r>
      <w:r>
        <w:rPr>
          <w:rFonts w:ascii="Arial" w:cs="Arial" w:eastAsia="Arial" w:hAnsi="Arial"/>
          <w:sz w:val="18"/>
          <w:szCs w:val="18"/>
          <w:b w:val="1"/>
          <w:bCs w:val="1"/>
          <w:color w:val="auto"/>
        </w:rPr>
        <w:t xml:space="preserve"> </w:t>
      </w:r>
      <w:r>
        <w:rPr>
          <w:rFonts w:ascii="Arial" w:cs="Arial" w:eastAsia="Arial" w:hAnsi="Arial"/>
          <w:sz w:val="18"/>
          <w:szCs w:val="18"/>
          <w:color w:val="auto"/>
        </w:rPr>
        <w:t>10% of dosed patients by grade—intermittent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860" w:type="dxa"/>
            <w:vAlign w:val="bottom"/>
          </w:tcPr>
          <w:p>
            <w:pPr>
              <w:jc w:val="right"/>
              <w:ind w:right="72"/>
              <w:spacing w:after="0"/>
              <w:rPr>
                <w:sz w:val="20"/>
                <w:szCs w:val="20"/>
                <w:color w:val="auto"/>
              </w:rPr>
            </w:pPr>
            <w:r>
              <w:rPr>
                <w:rFonts w:ascii="Arial" w:cs="Arial" w:eastAsia="Arial" w:hAnsi="Arial"/>
                <w:sz w:val="18"/>
                <w:szCs w:val="18"/>
                <w:b w:val="1"/>
                <w:bCs w:val="1"/>
                <w:color w:val="auto"/>
              </w:rPr>
              <w:t>Any</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Grade</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Grade</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Grade</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Grade</w:t>
            </w:r>
          </w:p>
        </w:tc>
        <w:tc>
          <w:tcPr>
            <w:tcW w:w="720" w:type="dxa"/>
            <w:vAlign w:val="bottom"/>
            <w:gridSpan w:val="2"/>
          </w:tcPr>
          <w:p>
            <w:pPr>
              <w:ind w:left="120"/>
              <w:spacing w:after="0"/>
              <w:rPr>
                <w:sz w:val="20"/>
                <w:szCs w:val="20"/>
                <w:color w:val="auto"/>
              </w:rPr>
            </w:pPr>
            <w:r>
              <w:rPr>
                <w:rFonts w:ascii="Arial" w:cs="Arial" w:eastAsia="Arial" w:hAnsi="Arial"/>
                <w:sz w:val="18"/>
                <w:szCs w:val="18"/>
                <w:b w:val="1"/>
                <w:bCs w:val="1"/>
                <w:color w:val="auto"/>
              </w:rPr>
              <w:t>Grade</w:t>
            </w:r>
          </w:p>
        </w:tc>
      </w:tr>
      <w:tr>
        <w:trPr>
          <w:trHeight w:val="235"/>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Preferred term</w:t>
            </w:r>
          </w:p>
        </w:tc>
        <w:tc>
          <w:tcPr>
            <w:tcW w:w="1860" w:type="dxa"/>
            <w:vAlign w:val="bottom"/>
          </w:tcPr>
          <w:p>
            <w:pPr>
              <w:jc w:val="right"/>
              <w:ind w:right="72"/>
              <w:spacing w:after="0"/>
              <w:rPr>
                <w:sz w:val="20"/>
                <w:szCs w:val="20"/>
                <w:color w:val="auto"/>
              </w:rPr>
            </w:pPr>
            <w:r>
              <w:rPr>
                <w:rFonts w:ascii="Arial" w:cs="Arial" w:eastAsia="Arial" w:hAnsi="Arial"/>
                <w:sz w:val="18"/>
                <w:szCs w:val="18"/>
                <w:b w:val="1"/>
                <w:bCs w:val="1"/>
                <w:color w:val="auto"/>
              </w:rPr>
              <w:t>grade</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³3</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1</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2</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3</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Anemia*</w:t>
            </w:r>
          </w:p>
        </w:tc>
        <w:tc>
          <w:tcPr>
            <w:tcW w:w="1860" w:type="dxa"/>
            <w:vAlign w:val="bottom"/>
            <w:tcBorders>
              <w:top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5 (35.7%)</w:t>
            </w:r>
          </w:p>
        </w:tc>
        <w:tc>
          <w:tcPr>
            <w:tcW w:w="110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 (14.3%)</w:t>
            </w:r>
          </w:p>
        </w:tc>
        <w:tc>
          <w:tcPr>
            <w:tcW w:w="110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1 (7.1%)</w:t>
            </w:r>
          </w:p>
        </w:tc>
        <w:tc>
          <w:tcPr>
            <w:tcW w:w="110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 (14.3%)</w:t>
            </w:r>
          </w:p>
        </w:tc>
        <w:tc>
          <w:tcPr>
            <w:tcW w:w="1080" w:type="dxa"/>
            <w:vAlign w:val="bottom"/>
            <w:tcBorders>
              <w:top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 (14.3%)</w:t>
            </w:r>
          </w:p>
        </w:tc>
        <w:tc>
          <w:tcPr>
            <w:tcW w:w="720" w:type="dxa"/>
            <w:vAlign w:val="bottom"/>
            <w:tcBorders>
              <w:top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Fatigue</w:t>
            </w:r>
          </w:p>
        </w:tc>
        <w:tc>
          <w:tcPr>
            <w:tcW w:w="1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 (35.7%)</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 (7.1%)</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 (28.6%)</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 (7.1%)</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Thrombocytopenia**</w:t>
            </w:r>
          </w:p>
        </w:tc>
        <w:tc>
          <w:tcPr>
            <w:tcW w:w="1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 (35.7%)</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 (14.3%)</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 (21.4%)</w:t>
            </w:r>
          </w:p>
        </w:tc>
        <w:tc>
          <w:tcPr>
            <w:tcW w:w="1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Edema***</w:t>
            </w:r>
          </w:p>
        </w:tc>
        <w:tc>
          <w:tcPr>
            <w:tcW w:w="1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 (28.6%)</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 (28.6%)</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Diarrhea</w:t>
            </w:r>
          </w:p>
        </w:tc>
        <w:tc>
          <w:tcPr>
            <w:tcW w:w="1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 (21.4%)</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 (21.4%)</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Abdominal distension</w:t>
            </w:r>
          </w:p>
        </w:tc>
        <w:tc>
          <w:tcPr>
            <w:tcW w:w="1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 (14.3%)</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 (7.1%)</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 (7.1%)</w:t>
            </w:r>
          </w:p>
        </w:tc>
        <w:tc>
          <w:tcPr>
            <w:tcW w:w="1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 (7.1%)</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Blood creatine phosphokinase increased</w:t>
            </w:r>
          </w:p>
        </w:tc>
        <w:tc>
          <w:tcPr>
            <w:tcW w:w="1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 (14.3%)</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 (14.3%)</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Dry mouth</w:t>
            </w:r>
          </w:p>
        </w:tc>
        <w:tc>
          <w:tcPr>
            <w:tcW w:w="1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 (14.3%)</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 (14.3%)</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Neutropenia</w:t>
            </w:r>
          </w:p>
        </w:tc>
        <w:tc>
          <w:tcPr>
            <w:tcW w:w="1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 (14.3%)</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 (7.1%)</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 (7.1%)</w:t>
            </w:r>
          </w:p>
        </w:tc>
        <w:tc>
          <w:tcPr>
            <w:tcW w:w="1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spacing w:after="0" w:line="69" w:lineRule="exact"/>
        <w:rPr>
          <w:sz w:val="20"/>
          <w:szCs w:val="20"/>
          <w:color w:val="auto"/>
        </w:rPr>
      </w:pPr>
    </w:p>
    <w:p>
      <w:pPr>
        <w:ind w:left="200" w:right="8480" w:firstLine="4"/>
        <w:spacing w:after="0" w:line="322" w:lineRule="auto"/>
        <w:tabs>
          <w:tab w:leader="none" w:pos="524"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hemoglobin count decrease. ** Includes platelet decrease.</w:t>
      </w:r>
    </w:p>
    <w:p>
      <w:pPr>
        <w:ind w:left="200"/>
        <w:spacing w:after="0"/>
        <w:rPr>
          <w:rFonts w:ascii="Arial" w:cs="Arial" w:eastAsia="Arial" w:hAnsi="Arial"/>
          <w:sz w:val="14"/>
          <w:szCs w:val="14"/>
          <w:color w:val="auto"/>
        </w:rPr>
      </w:pPr>
      <w:r>
        <w:rPr>
          <w:rFonts w:ascii="Arial" w:cs="Arial" w:eastAsia="Arial" w:hAnsi="Arial"/>
          <w:sz w:val="14"/>
          <w:szCs w:val="14"/>
          <w:color w:val="auto"/>
        </w:rPr>
        <w:t>***  Consists of eyelid edema, face edema, generalized edema, lip edema, edema, edema peripheral, periorbital al edema and peripheral swelling.</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3</w:t>
      </w:r>
      <w:r>
        <w:rPr>
          <w:rFonts w:ascii="Arial" w:cs="Arial" w:eastAsia="Arial" w:hAnsi="Arial"/>
          <w:sz w:val="18"/>
          <w:szCs w:val="18"/>
          <w:color w:val="auto"/>
        </w:rPr>
        <w:t>: Related SAEs—intermittent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Preferred term</w:t>
            </w:r>
          </w:p>
        </w:tc>
        <w:tc>
          <w:tcPr>
            <w:tcW w:w="3780" w:type="dxa"/>
            <w:vAlign w:val="bottom"/>
          </w:tcPr>
          <w:p>
            <w:pPr>
              <w:jc w:val="right"/>
              <w:ind w:right="132"/>
              <w:spacing w:after="0"/>
              <w:rPr>
                <w:sz w:val="20"/>
                <w:szCs w:val="20"/>
                <w:color w:val="auto"/>
              </w:rPr>
            </w:pPr>
            <w:r>
              <w:rPr>
                <w:rFonts w:ascii="Arial" w:cs="Arial" w:eastAsia="Arial" w:hAnsi="Arial"/>
                <w:sz w:val="18"/>
                <w:szCs w:val="18"/>
                <w:b w:val="1"/>
                <w:bCs w:val="1"/>
                <w:color w:val="auto"/>
              </w:rPr>
              <w:t>Number (%)</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Dose</w:t>
            </w:r>
          </w:p>
        </w:tc>
        <w:tc>
          <w:tcPr>
            <w:tcW w:w="880" w:type="dxa"/>
            <w:vAlign w:val="bottom"/>
          </w:tcPr>
          <w:p>
            <w:pPr>
              <w:jc w:val="right"/>
              <w:ind w:right="92"/>
              <w:spacing w:after="0"/>
              <w:rPr>
                <w:sz w:val="20"/>
                <w:szCs w:val="20"/>
                <w:color w:val="auto"/>
              </w:rPr>
            </w:pPr>
            <w:r>
              <w:rPr>
                <w:rFonts w:ascii="Arial" w:cs="Arial" w:eastAsia="Arial" w:hAnsi="Arial"/>
                <w:sz w:val="18"/>
                <w:szCs w:val="18"/>
                <w:b w:val="1"/>
                <w:bCs w:val="1"/>
                <w:color w:val="auto"/>
              </w:rPr>
              <w:t>Grade</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Outcome</w:t>
            </w:r>
          </w:p>
        </w:tc>
      </w:tr>
      <w:tr>
        <w:trPr>
          <w:trHeight w:val="196"/>
        </w:trPr>
        <w:tc>
          <w:tcPr>
            <w:tcW w:w="20" w:type="dxa"/>
            <w:vAlign w:val="bottom"/>
          </w:tcPr>
          <w:p>
            <w:pPr>
              <w:spacing w:after="0"/>
              <w:rPr>
                <w:sz w:val="17"/>
                <w:szCs w:val="17"/>
                <w:color w:val="auto"/>
              </w:rPr>
            </w:pPr>
          </w:p>
        </w:tc>
        <w:tc>
          <w:tcPr>
            <w:tcW w:w="4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Abdominal distension</w:t>
            </w:r>
          </w:p>
        </w:tc>
        <w:tc>
          <w:tcPr>
            <w:tcW w:w="3780" w:type="dxa"/>
            <w:vAlign w:val="bottom"/>
            <w:tcBorders>
              <w:top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 (7%)</w:t>
            </w:r>
          </w:p>
        </w:tc>
        <w:tc>
          <w:tcPr>
            <w:tcW w:w="98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200 mg</w:t>
            </w:r>
          </w:p>
        </w:tc>
        <w:tc>
          <w:tcPr>
            <w:tcW w:w="88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3</w:t>
            </w:r>
          </w:p>
        </w:tc>
        <w:tc>
          <w:tcPr>
            <w:tcW w:w="102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ongoing</w:t>
            </w: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4380" w:type="dxa"/>
            <w:vAlign w:val="bottom"/>
            <w:gridSpan w:val="2"/>
          </w:tcPr>
          <w:p>
            <w:pPr>
              <w:spacing w:after="0"/>
              <w:rPr>
                <w:sz w:val="20"/>
                <w:szCs w:val="20"/>
                <w:color w:val="auto"/>
              </w:rPr>
            </w:pPr>
            <w:r>
              <w:rPr>
                <w:rFonts w:ascii="Arial" w:cs="Arial" w:eastAsia="Arial" w:hAnsi="Arial"/>
                <w:sz w:val="14"/>
                <w:szCs w:val="14"/>
                <w:i w:val="1"/>
                <w:iCs w:val="1"/>
                <w:color w:val="auto"/>
              </w:rPr>
              <w:t>Data as of November 6, 2019.</w:t>
            </w:r>
          </w:p>
        </w:tc>
        <w:tc>
          <w:tcPr>
            <w:tcW w:w="3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Pharmacokinetics—intermittent dosing schedule</w:t>
      </w:r>
    </w:p>
    <w:p>
      <w:pPr>
        <w:spacing w:after="0" w:line="122" w:lineRule="exact"/>
        <w:rPr>
          <w:sz w:val="20"/>
          <w:szCs w:val="20"/>
          <w:color w:val="auto"/>
        </w:rPr>
      </w:pPr>
    </w:p>
    <w:p>
      <w:pPr>
        <w:ind w:left="200" w:right="100"/>
        <w:spacing w:after="0" w:line="224" w:lineRule="auto"/>
        <w:rPr>
          <w:sz w:val="20"/>
          <w:szCs w:val="20"/>
          <w:color w:val="auto"/>
        </w:rPr>
      </w:pPr>
      <w:r>
        <w:rPr>
          <w:rFonts w:ascii="Arial" w:cs="Arial" w:eastAsia="Arial" w:hAnsi="Arial"/>
          <w:sz w:val="18"/>
          <w:szCs w:val="18"/>
          <w:color w:val="auto"/>
        </w:rPr>
        <w:t xml:space="preserve">The pharmacokinetic profile of RMC-4630 after dosing on the intermittent schedule is shown in Table 4 and Figure 9. No accumulation from day 1 to day 15 was observed. Plasma exposure at both dose levels was within the range anticipated to be biologically active from preclinical models. After a single dose of 140 mg, the plasma concentration of RMC-4630 remained above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EC</w:t>
      </w:r>
      <w:r>
        <w:rPr>
          <w:rFonts w:ascii="Arial" w:cs="Arial" w:eastAsia="Arial" w:hAnsi="Arial"/>
          <w:sz w:val="22"/>
          <w:szCs w:val="22"/>
          <w:color w:val="auto"/>
          <w:vertAlign w:val="subscript"/>
        </w:rPr>
        <w:t>50</w:t>
      </w:r>
      <w:r>
        <w:rPr>
          <w:rFonts w:ascii="Arial" w:cs="Arial" w:eastAsia="Arial" w:hAnsi="Arial"/>
          <w:sz w:val="18"/>
          <w:szCs w:val="18"/>
          <w:color w:val="auto"/>
        </w:rPr>
        <w:t xml:space="preserve"> for pERK for 72 hours. We estimate the half-life of RMC-4630 to be approximately 25 hours.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4</w:t>
      </w:r>
      <w:r>
        <w:rPr>
          <w:rFonts w:ascii="Arial" w:cs="Arial" w:eastAsia="Arial" w:hAnsi="Arial"/>
          <w:sz w:val="18"/>
          <w:szCs w:val="18"/>
          <w:color w:val="auto"/>
        </w:rPr>
        <w:t>: Pharmacokinetics – intermittent schedule in RMC-4630-01 study.</w:t>
      </w:r>
    </w:p>
    <w:p>
      <w:pPr>
        <w:spacing w:after="0" w:line="116" w:lineRule="exact"/>
        <w:rPr>
          <w:sz w:val="20"/>
          <w:szCs w:val="20"/>
          <w:color w:val="auto"/>
        </w:rPr>
      </w:pPr>
    </w:p>
    <w:tbl>
      <w:tblPr>
        <w:tblLayout w:type="fixed"/>
        <w:tblInd w:w="230" w:type="dxa"/>
        <w:tblCellMar>
          <w:top w:w="0" w:type="dxa"/>
          <w:left w:w="0" w:type="dxa"/>
          <w:bottom w:w="0" w:type="dxa"/>
          <w:right w:w="0" w:type="dxa"/>
        </w:tblCellMar>
      </w:tblPr>
      <w:tr>
        <w:trPr>
          <w:trHeight w:val="176"/>
        </w:trPr>
        <w:tc>
          <w:tcPr>
            <w:tcW w:w="3420" w:type="dxa"/>
            <w:vAlign w:val="bottom"/>
            <w:tcBorders>
              <w:top w:val="single" w:sz="8" w:color="auto"/>
              <w:left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spacing w:after="0"/>
              <w:rPr>
                <w:sz w:val="15"/>
                <w:szCs w:val="15"/>
                <w:color w:val="auto"/>
              </w:rPr>
            </w:pPr>
          </w:p>
        </w:tc>
        <w:tc>
          <w:tcPr>
            <w:tcW w:w="660" w:type="dxa"/>
            <w:vAlign w:val="bottom"/>
            <w:tcBorders>
              <w:top w:val="single" w:sz="8" w:color="auto"/>
              <w:right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32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PK parameters [Mean(CV%)]</w:t>
            </w:r>
          </w:p>
        </w:tc>
        <w:tc>
          <w:tcPr>
            <w:tcW w:w="96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42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5"/>
              </w:rPr>
              <w:t>Median</w:t>
            </w:r>
          </w:p>
        </w:tc>
        <w:tc>
          <w:tcPr>
            <w:tcW w:w="6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Mean</w:t>
            </w:r>
          </w:p>
        </w:tc>
        <w:tc>
          <w:tcPr>
            <w:tcW w:w="6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restart"/>
          </w:tcPr>
          <w:p>
            <w:pPr>
              <w:ind w:left="60"/>
              <w:spacing w:after="0" w:line="197" w:lineRule="exact"/>
              <w:rPr>
                <w:sz w:val="20"/>
                <w:szCs w:val="20"/>
                <w:color w:val="auto"/>
              </w:rPr>
            </w:pPr>
            <w:r>
              <w:rPr>
                <w:rFonts w:ascii="Arial" w:cs="Arial" w:eastAsia="Arial" w:hAnsi="Arial"/>
                <w:sz w:val="14"/>
                <w:szCs w:val="14"/>
                <w:b w:val="1"/>
                <w:bCs w:val="1"/>
                <w:color w:val="auto"/>
              </w:rPr>
              <w:t>Median t</w:t>
            </w:r>
            <w:r>
              <w:rPr>
                <w:rFonts w:ascii="Arial" w:cs="Arial" w:eastAsia="Arial" w:hAnsi="Arial"/>
                <w:sz w:val="22"/>
                <w:szCs w:val="22"/>
                <w:b w:val="1"/>
                <w:bCs w:val="1"/>
                <w:color w:val="auto"/>
                <w:vertAlign w:val="subscript"/>
              </w:rPr>
              <w:t>1/2</w:t>
            </w:r>
          </w:p>
        </w:tc>
        <w:tc>
          <w:tcPr>
            <w:tcW w:w="0" w:type="dxa"/>
            <w:vAlign w:val="bottom"/>
          </w:tcPr>
          <w:p>
            <w:pPr>
              <w:spacing w:after="0"/>
              <w:rPr>
                <w:sz w:val="1"/>
                <w:szCs w:val="1"/>
                <w:color w:val="auto"/>
              </w:rPr>
            </w:pPr>
          </w:p>
        </w:tc>
      </w:tr>
      <w:tr>
        <w:trPr>
          <w:trHeight w:val="71"/>
        </w:trPr>
        <w:tc>
          <w:tcPr>
            <w:tcW w:w="342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4"/>
                <w:szCs w:val="14"/>
                <w:b w:val="1"/>
                <w:bCs w:val="1"/>
                <w:color w:val="auto"/>
                <w:w w:val="97"/>
              </w:rPr>
              <w:t>Study</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Schedule</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Dose</w:t>
            </w:r>
          </w:p>
        </w:tc>
        <w:tc>
          <w:tcPr>
            <w:tcW w:w="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Cycle</w:t>
            </w:r>
          </w:p>
        </w:tc>
        <w:tc>
          <w:tcPr>
            <w:tcW w:w="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3"/>
              </w:rPr>
              <w:t>Day</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N(Cmax/AUC)</w:t>
            </w:r>
          </w:p>
        </w:tc>
        <w:tc>
          <w:tcPr>
            <w:tcW w:w="700" w:type="dxa"/>
            <w:vAlign w:val="bottom"/>
            <w:tcBorders>
              <w:right w:val="single" w:sz="8" w:color="auto"/>
            </w:tcBorders>
            <w:vMerge w:val="restart"/>
          </w:tcPr>
          <w:p>
            <w:pPr>
              <w:jc w:val="center"/>
              <w:spacing w:after="0" w:line="220" w:lineRule="exact"/>
              <w:rPr>
                <w:sz w:val="20"/>
                <w:szCs w:val="20"/>
                <w:color w:val="auto"/>
              </w:rPr>
            </w:pPr>
            <w:r>
              <w:rPr>
                <w:rFonts w:ascii="Arial" w:cs="Arial" w:eastAsia="Arial" w:hAnsi="Arial"/>
                <w:sz w:val="25"/>
                <w:szCs w:val="25"/>
                <w:b w:val="1"/>
                <w:bCs w:val="1"/>
                <w:color w:val="auto"/>
                <w:w w:val="93"/>
                <w:vertAlign w:val="superscript"/>
              </w:rPr>
              <w:t>C</w:t>
            </w:r>
            <w:r>
              <w:rPr>
                <w:rFonts w:ascii="Arial" w:cs="Arial" w:eastAsia="Arial" w:hAnsi="Arial"/>
                <w:sz w:val="11"/>
                <w:szCs w:val="11"/>
                <w:b w:val="1"/>
                <w:bCs w:val="1"/>
                <w:color w:val="auto"/>
                <w:w w:val="93"/>
              </w:rPr>
              <w:t>max</w:t>
            </w:r>
          </w:p>
        </w:tc>
        <w:tc>
          <w:tcPr>
            <w:tcW w:w="580" w:type="dxa"/>
            <w:vAlign w:val="bottom"/>
            <w:tcBorders>
              <w:right w:val="single" w:sz="8" w:color="auto"/>
            </w:tcBorders>
            <w:vMerge w:val="restart"/>
          </w:tcPr>
          <w:p>
            <w:pPr>
              <w:jc w:val="center"/>
              <w:spacing w:after="0" w:line="220" w:lineRule="exact"/>
              <w:rPr>
                <w:sz w:val="20"/>
                <w:szCs w:val="20"/>
                <w:color w:val="auto"/>
              </w:rPr>
            </w:pPr>
            <w:r>
              <w:rPr>
                <w:rFonts w:ascii="Arial" w:cs="Arial" w:eastAsia="Arial" w:hAnsi="Arial"/>
                <w:sz w:val="25"/>
                <w:szCs w:val="25"/>
                <w:b w:val="1"/>
                <w:bCs w:val="1"/>
                <w:color w:val="auto"/>
                <w:w w:val="93"/>
                <w:vertAlign w:val="superscript"/>
              </w:rPr>
              <w:t>T</w:t>
            </w:r>
            <w:r>
              <w:rPr>
                <w:rFonts w:ascii="Arial" w:cs="Arial" w:eastAsia="Arial" w:hAnsi="Arial"/>
                <w:sz w:val="11"/>
                <w:szCs w:val="11"/>
                <w:b w:val="1"/>
                <w:bCs w:val="1"/>
                <w:color w:val="auto"/>
                <w:w w:val="93"/>
              </w:rPr>
              <w:t>max</w:t>
            </w:r>
          </w:p>
        </w:tc>
        <w:tc>
          <w:tcPr>
            <w:tcW w:w="640" w:type="dxa"/>
            <w:vAlign w:val="bottom"/>
            <w:tcBorders>
              <w:right w:val="single" w:sz="8" w:color="auto"/>
            </w:tcBorders>
            <w:vMerge w:val="restart"/>
          </w:tcPr>
          <w:p>
            <w:pPr>
              <w:jc w:val="center"/>
              <w:spacing w:after="0" w:line="220" w:lineRule="exact"/>
              <w:rPr>
                <w:sz w:val="20"/>
                <w:szCs w:val="20"/>
                <w:color w:val="auto"/>
              </w:rPr>
            </w:pPr>
            <w:r>
              <w:rPr>
                <w:rFonts w:ascii="Arial" w:cs="Arial" w:eastAsia="Arial" w:hAnsi="Arial"/>
                <w:sz w:val="25"/>
                <w:szCs w:val="25"/>
                <w:b w:val="1"/>
                <w:bCs w:val="1"/>
                <w:color w:val="auto"/>
                <w:w w:val="89"/>
                <w:vertAlign w:val="superscript"/>
              </w:rPr>
              <w:t>AUC</w:t>
            </w:r>
            <w:r>
              <w:rPr>
                <w:rFonts w:ascii="Arial" w:cs="Arial" w:eastAsia="Arial" w:hAnsi="Arial"/>
                <w:sz w:val="11"/>
                <w:szCs w:val="11"/>
                <w:b w:val="1"/>
                <w:bCs w:val="1"/>
                <w:color w:val="auto"/>
                <w:w w:val="89"/>
              </w:rPr>
              <w:t>0-24</w:t>
            </w:r>
          </w:p>
        </w:tc>
        <w:tc>
          <w:tcPr>
            <w:tcW w:w="100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line="220" w:lineRule="exact"/>
              <w:rPr>
                <w:sz w:val="20"/>
                <w:szCs w:val="20"/>
                <w:color w:val="auto"/>
              </w:rPr>
            </w:pPr>
            <w:r>
              <w:rPr>
                <w:rFonts w:ascii="Arial" w:cs="Arial" w:eastAsia="Arial" w:hAnsi="Arial"/>
                <w:sz w:val="25"/>
                <w:szCs w:val="25"/>
                <w:b w:val="1"/>
                <w:bCs w:val="1"/>
                <w:color w:val="auto"/>
                <w:w w:val="89"/>
                <w:vertAlign w:val="superscript"/>
              </w:rPr>
              <w:t>AUC</w:t>
            </w:r>
            <w:r>
              <w:rPr>
                <w:rFonts w:ascii="Arial" w:cs="Arial" w:eastAsia="Arial" w:hAnsi="Arial"/>
                <w:sz w:val="11"/>
                <w:szCs w:val="11"/>
                <w:b w:val="1"/>
                <w:bCs w:val="1"/>
                <w:color w:val="auto"/>
                <w:w w:val="89"/>
              </w:rPr>
              <w:t>0-72</w:t>
            </w:r>
          </w:p>
        </w:tc>
        <w:tc>
          <w:tcPr>
            <w:tcW w:w="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420" w:type="dxa"/>
            <w:vAlign w:val="bottom"/>
            <w:tcBorders>
              <w:left w:val="single" w:sz="8" w:color="auto"/>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420" w:type="dxa"/>
            <w:vAlign w:val="bottom"/>
            <w:tcBorders>
              <w:right w:val="single" w:sz="8" w:color="auto"/>
            </w:tcBorders>
            <w:vMerge w:val="continue"/>
          </w:tcPr>
          <w:p>
            <w:pPr>
              <w:spacing w:after="0"/>
              <w:rPr>
                <w:sz w:val="12"/>
                <w:szCs w:val="12"/>
                <w:color w:val="auto"/>
              </w:rPr>
            </w:pPr>
          </w:p>
        </w:tc>
        <w:tc>
          <w:tcPr>
            <w:tcW w:w="3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accumulation</w:t>
            </w:r>
          </w:p>
        </w:tc>
        <w:tc>
          <w:tcPr>
            <w:tcW w:w="66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95"/>
        </w:trPr>
        <w:tc>
          <w:tcPr>
            <w:tcW w:w="3420" w:type="dxa"/>
            <w:vAlign w:val="bottom"/>
            <w:tcBorders>
              <w:left w:val="single" w:sz="8" w:color="auto"/>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jc w:val="center"/>
              <w:spacing w:after="0" w:line="95" w:lineRule="exact"/>
              <w:rPr>
                <w:sz w:val="20"/>
                <w:szCs w:val="20"/>
                <w:color w:val="auto"/>
              </w:rPr>
            </w:pPr>
            <w:r>
              <w:rPr>
                <w:rFonts w:ascii="Arial" w:cs="Arial" w:eastAsia="Arial" w:hAnsi="Arial"/>
                <w:sz w:val="10"/>
                <w:szCs w:val="10"/>
                <w:b w:val="1"/>
                <w:bCs w:val="1"/>
                <w:color w:val="auto"/>
              </w:rPr>
              <w:t>(range)</w:t>
            </w:r>
          </w:p>
        </w:tc>
        <w:tc>
          <w:tcPr>
            <w:tcW w:w="640" w:type="dxa"/>
            <w:vAlign w:val="bottom"/>
            <w:tcBorders>
              <w:bottom w:val="single" w:sz="8" w:color="auto"/>
              <w:right w:val="single" w:sz="8" w:color="auto"/>
            </w:tcBorders>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(AUC Ratio)</w:t>
            </w:r>
          </w:p>
        </w:tc>
        <w:tc>
          <w:tcPr>
            <w:tcW w:w="6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µM</w:t>
            </w:r>
          </w:p>
        </w:tc>
        <w:tc>
          <w:tcPr>
            <w:tcW w:w="5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w w:val="92"/>
              </w:rPr>
              <w:t>h</w:t>
            </w:r>
          </w:p>
        </w:tc>
        <w:tc>
          <w:tcPr>
            <w:tcW w:w="6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µM*h</w:t>
            </w:r>
          </w:p>
        </w:tc>
        <w:tc>
          <w:tcPr>
            <w:tcW w:w="100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µM*h</w:t>
            </w:r>
          </w:p>
        </w:tc>
        <w:tc>
          <w:tcPr>
            <w:tcW w:w="960" w:type="dxa"/>
            <w:vAlign w:val="bottom"/>
            <w:tcBorders>
              <w:right w:val="single" w:sz="8" w:color="auto"/>
            </w:tcBorders>
            <w:vMerge w:val="restart"/>
          </w:tcPr>
          <w:p>
            <w:pPr>
              <w:ind w:left="380"/>
              <w:spacing w:after="0" w:line="142" w:lineRule="exact"/>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68"/>
        </w:trPr>
        <w:tc>
          <w:tcPr>
            <w:tcW w:w="342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580" w:type="dxa"/>
            <w:vAlign w:val="bottom"/>
            <w:tcBorders>
              <w:bottom w:val="single" w:sz="8" w:color="auto"/>
              <w:right w:val="single" w:sz="8" w:color="auto"/>
            </w:tcBorders>
            <w:vMerge w:val="continue"/>
          </w:tcPr>
          <w:p>
            <w:pPr>
              <w:spacing w:after="0"/>
              <w:rPr>
                <w:sz w:val="5"/>
                <w:szCs w:val="5"/>
                <w:color w:val="auto"/>
              </w:rPr>
            </w:pPr>
          </w:p>
        </w:tc>
        <w:tc>
          <w:tcPr>
            <w:tcW w:w="64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42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4"/>
                <w:szCs w:val="14"/>
                <w:color w:val="auto"/>
                <w:w w:val="96"/>
              </w:rPr>
              <w:t>Mouse efficacy</w:t>
            </w:r>
          </w:p>
        </w:tc>
        <w:tc>
          <w:tcPr>
            <w:tcW w:w="6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10 mg/kg</w:t>
            </w:r>
          </w:p>
        </w:tc>
        <w:tc>
          <w:tcPr>
            <w:tcW w:w="42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5"/>
              </w:rPr>
              <w:t>0.98</w:t>
            </w:r>
          </w:p>
        </w:tc>
        <w:tc>
          <w:tcPr>
            <w:tcW w:w="58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5"/>
              </w:rPr>
              <w:t>6.44</w:t>
            </w:r>
          </w:p>
        </w:tc>
        <w:tc>
          <w:tcPr>
            <w:tcW w:w="1000" w:type="dxa"/>
            <w:vAlign w:val="bottom"/>
            <w:tcBorders>
              <w:bottom w:val="single" w:sz="8" w:color="auto"/>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NA</w:t>
            </w:r>
          </w:p>
        </w:tc>
        <w:tc>
          <w:tcPr>
            <w:tcW w:w="9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20 mg/kg</w:t>
            </w:r>
          </w:p>
        </w:tc>
        <w:tc>
          <w:tcPr>
            <w:tcW w:w="420" w:type="dxa"/>
            <w:vAlign w:val="bottom"/>
            <w:tcBorders>
              <w:right w:val="single" w:sz="8" w:color="auto"/>
            </w:tcBorders>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3.4</w:t>
            </w:r>
          </w:p>
        </w:tc>
        <w:tc>
          <w:tcPr>
            <w:tcW w:w="58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5"/>
              </w:rPr>
              <w:t>11.7</w:t>
            </w:r>
          </w:p>
        </w:tc>
        <w:tc>
          <w:tcPr>
            <w:tcW w:w="100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42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Twice</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140 mg</w:t>
            </w:r>
          </w:p>
        </w:tc>
        <w:tc>
          <w:tcPr>
            <w:tcW w:w="4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w:t>
            </w:r>
          </w:p>
        </w:tc>
        <w:tc>
          <w:tcPr>
            <w:tcW w:w="100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4/4</w:t>
            </w:r>
          </w:p>
        </w:tc>
        <w:tc>
          <w:tcPr>
            <w:tcW w:w="70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1.08 (48)</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1.5 (1-2)</w:t>
            </w:r>
          </w:p>
        </w:tc>
        <w:tc>
          <w:tcPr>
            <w:tcW w:w="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10.6 (37)</w:t>
            </w:r>
          </w:p>
        </w:tc>
        <w:tc>
          <w:tcPr>
            <w:tcW w:w="10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18.0 (28)</w:t>
            </w:r>
          </w:p>
        </w:tc>
        <w:tc>
          <w:tcPr>
            <w:tcW w:w="960" w:type="dxa"/>
            <w:vAlign w:val="bottom"/>
            <w:tcBorders>
              <w:bottom w:val="single" w:sz="8" w:color="auto"/>
              <w:right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25 (23-33)</w:t>
            </w: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89"/>
              </w:rPr>
              <w:t>15</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4/4</w:t>
            </w: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0.829 (36)</w:t>
            </w:r>
          </w:p>
        </w:tc>
        <w:tc>
          <w:tcPr>
            <w:tcW w:w="5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3(2-4)</w:t>
            </w:r>
          </w:p>
        </w:tc>
        <w:tc>
          <w:tcPr>
            <w:tcW w:w="6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11.3 (18)</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1.1</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NA</w:t>
            </w:r>
          </w:p>
        </w:tc>
        <w:tc>
          <w:tcPr>
            <w:tcW w:w="960" w:type="dxa"/>
            <w:vAlign w:val="bottom"/>
            <w:tcBorders>
              <w:right w:val="single" w:sz="8" w:color="auto"/>
            </w:tcBorders>
            <w:vMerge w:val="restart"/>
          </w:tcPr>
          <w:p>
            <w:pPr>
              <w:ind w:left="380"/>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vMerge w:val="restart"/>
          </w:tcPr>
          <w:p>
            <w:pPr>
              <w:jc w:val="center"/>
              <w:ind w:left="12"/>
              <w:spacing w:after="0" w:line="149" w:lineRule="exact"/>
              <w:rPr>
                <w:sz w:val="20"/>
                <w:szCs w:val="20"/>
                <w:color w:val="auto"/>
              </w:rPr>
            </w:pPr>
            <w:r>
              <w:rPr>
                <w:rFonts w:ascii="Arial" w:cs="Arial" w:eastAsia="Arial" w:hAnsi="Arial"/>
                <w:sz w:val="14"/>
                <w:szCs w:val="14"/>
                <w:color w:val="auto"/>
                <w:w w:val="97"/>
              </w:rPr>
              <w:t>RMC-4630-01</w:t>
            </w: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w w:val="93"/>
              </w:rPr>
              <w:t>weekly</w:t>
            </w:r>
          </w:p>
        </w:tc>
        <w:tc>
          <w:tcPr>
            <w:tcW w:w="6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right w:val="single" w:sz="8" w:color="auto"/>
            </w:tcBorders>
            <w:vMerge w:val="continue"/>
          </w:tcPr>
          <w:p>
            <w:pPr>
              <w:spacing w:after="0"/>
              <w:rPr>
                <w:sz w:val="5"/>
                <w:szCs w:val="5"/>
                <w:color w:val="auto"/>
              </w:rPr>
            </w:pPr>
          </w:p>
        </w:tc>
        <w:tc>
          <w:tcPr>
            <w:tcW w:w="32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580" w:type="dxa"/>
            <w:vAlign w:val="bottom"/>
            <w:tcBorders>
              <w:bottom w:val="single" w:sz="8" w:color="auto"/>
              <w:right w:val="single" w:sz="8" w:color="auto"/>
            </w:tcBorders>
            <w:vMerge w:val="continue"/>
          </w:tcPr>
          <w:p>
            <w:pPr>
              <w:spacing w:after="0"/>
              <w:rPr>
                <w:sz w:val="5"/>
                <w:szCs w:val="5"/>
                <w:color w:val="auto"/>
              </w:rPr>
            </w:pPr>
          </w:p>
        </w:tc>
        <w:tc>
          <w:tcPr>
            <w:tcW w:w="64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420" w:type="dxa"/>
            <w:vAlign w:val="bottom"/>
            <w:tcBorders>
              <w:left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4/4</w:t>
            </w: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1.50 (59)</w:t>
            </w:r>
          </w:p>
        </w:tc>
        <w:tc>
          <w:tcPr>
            <w:tcW w:w="5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2 (1-8)</w:t>
            </w:r>
          </w:p>
        </w:tc>
        <w:tc>
          <w:tcPr>
            <w:tcW w:w="6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19.7 (47)</w:t>
            </w:r>
          </w:p>
        </w:tc>
        <w:tc>
          <w:tcPr>
            <w:tcW w:w="100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36.0 (39)</w:t>
            </w:r>
          </w:p>
        </w:tc>
        <w:tc>
          <w:tcPr>
            <w:tcW w:w="960" w:type="dxa"/>
            <w:vAlign w:val="bottom"/>
            <w:tcBorders>
              <w:right w:val="single" w:sz="8" w:color="auto"/>
            </w:tcBorders>
            <w:vMerge w:val="restart"/>
          </w:tcPr>
          <w:p>
            <w:pPr>
              <w:jc w:val="right"/>
              <w:ind w:right="92"/>
              <w:spacing w:after="0" w:line="142" w:lineRule="exact"/>
              <w:rPr>
                <w:sz w:val="20"/>
                <w:szCs w:val="20"/>
                <w:color w:val="auto"/>
              </w:rPr>
            </w:pPr>
            <w:r>
              <w:rPr>
                <w:rFonts w:ascii="Arial" w:cs="Arial" w:eastAsia="Arial" w:hAnsi="Arial"/>
                <w:sz w:val="14"/>
                <w:szCs w:val="14"/>
                <w:color w:val="auto"/>
              </w:rPr>
              <w:t>28 (22-37)</w:t>
            </w:r>
          </w:p>
        </w:tc>
        <w:tc>
          <w:tcPr>
            <w:tcW w:w="0" w:type="dxa"/>
            <w:vAlign w:val="bottom"/>
          </w:tcPr>
          <w:p>
            <w:pPr>
              <w:spacing w:after="0"/>
              <w:rPr>
                <w:sz w:val="1"/>
                <w:szCs w:val="1"/>
                <w:color w:val="auto"/>
              </w:rPr>
            </w:pPr>
          </w:p>
        </w:tc>
      </w:tr>
      <w:tr>
        <w:trPr>
          <w:trHeight w:val="82"/>
        </w:trPr>
        <w:tc>
          <w:tcPr>
            <w:tcW w:w="3420" w:type="dxa"/>
            <w:vAlign w:val="bottom"/>
            <w:tcBorders>
              <w:left w:val="single" w:sz="8" w:color="auto"/>
              <w:right w:val="single" w:sz="8" w:color="auto"/>
            </w:tcBorders>
          </w:tcPr>
          <w:p>
            <w:pPr>
              <w:spacing w:after="0"/>
              <w:rPr>
                <w:sz w:val="7"/>
                <w:szCs w:val="7"/>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(D1,D4)</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200 mg</w:t>
            </w:r>
          </w:p>
        </w:tc>
        <w:tc>
          <w:tcPr>
            <w:tcW w:w="420" w:type="dxa"/>
            <w:vAlign w:val="bottom"/>
            <w:tcBorders>
              <w:bottom w:val="single" w:sz="8" w:color="auto"/>
              <w:right w:val="single" w:sz="8" w:color="auto"/>
            </w:tcBorders>
            <w:vMerge w:val="continue"/>
          </w:tcPr>
          <w:p>
            <w:pPr>
              <w:spacing w:after="0"/>
              <w:rPr>
                <w:sz w:val="7"/>
                <w:szCs w:val="7"/>
                <w:color w:val="auto"/>
              </w:rPr>
            </w:pPr>
          </w:p>
        </w:tc>
        <w:tc>
          <w:tcPr>
            <w:tcW w:w="320" w:type="dxa"/>
            <w:vAlign w:val="bottom"/>
            <w:tcBorders>
              <w:bottom w:val="single" w:sz="8" w:color="auto"/>
              <w:right w:val="single" w:sz="8" w:color="auto"/>
            </w:tcBorders>
            <w:vMerge w:val="continue"/>
          </w:tcPr>
          <w:p>
            <w:pPr>
              <w:spacing w:after="0"/>
              <w:rPr>
                <w:sz w:val="7"/>
                <w:szCs w:val="7"/>
                <w:color w:val="auto"/>
              </w:rPr>
            </w:pPr>
          </w:p>
        </w:tc>
        <w:tc>
          <w:tcPr>
            <w:tcW w:w="1000" w:type="dxa"/>
            <w:vAlign w:val="bottom"/>
            <w:tcBorders>
              <w:bottom w:val="single" w:sz="8" w:color="auto"/>
              <w:right w:val="single" w:sz="8" w:color="auto"/>
            </w:tcBorders>
            <w:vMerge w:val="continue"/>
          </w:tcPr>
          <w:p>
            <w:pPr>
              <w:spacing w:after="0"/>
              <w:rPr>
                <w:sz w:val="7"/>
                <w:szCs w:val="7"/>
                <w:color w:val="auto"/>
              </w:rPr>
            </w:pPr>
          </w:p>
        </w:tc>
        <w:tc>
          <w:tcPr>
            <w:tcW w:w="700" w:type="dxa"/>
            <w:vAlign w:val="bottom"/>
            <w:tcBorders>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vMerge w:val="continue"/>
          </w:tcPr>
          <w:p>
            <w:pPr>
              <w:spacing w:after="0"/>
              <w:rPr>
                <w:sz w:val="7"/>
                <w:szCs w:val="7"/>
                <w:color w:val="auto"/>
              </w:rPr>
            </w:pPr>
          </w:p>
        </w:tc>
        <w:tc>
          <w:tcPr>
            <w:tcW w:w="640" w:type="dxa"/>
            <w:vAlign w:val="bottom"/>
            <w:tcBorders>
              <w:bottom w:val="single" w:sz="8" w:color="auto"/>
              <w:right w:val="single" w:sz="8" w:color="auto"/>
            </w:tcBorders>
            <w:vMerge w:val="continue"/>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89"/>
              </w:rPr>
              <w:t>15</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3/3</w:t>
            </w: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1.24 (20)</w:t>
            </w:r>
          </w:p>
        </w:tc>
        <w:tc>
          <w:tcPr>
            <w:tcW w:w="5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4 (1-8)</w:t>
            </w:r>
          </w:p>
        </w:tc>
        <w:tc>
          <w:tcPr>
            <w:tcW w:w="6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21.8 (35)</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1.1</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NA</w:t>
            </w:r>
          </w:p>
        </w:tc>
        <w:tc>
          <w:tcPr>
            <w:tcW w:w="960" w:type="dxa"/>
            <w:vAlign w:val="bottom"/>
            <w:tcBorders>
              <w:right w:val="single" w:sz="8" w:color="auto"/>
            </w:tcBorders>
            <w:vMerge w:val="restart"/>
          </w:tcPr>
          <w:p>
            <w:pPr>
              <w:ind w:left="380"/>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8"/>
        </w:trPr>
        <w:tc>
          <w:tcPr>
            <w:tcW w:w="342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right w:val="single" w:sz="8" w:color="auto"/>
            </w:tcBorders>
            <w:vMerge w:val="continue"/>
          </w:tcPr>
          <w:p>
            <w:pPr>
              <w:spacing w:after="0"/>
              <w:rPr>
                <w:sz w:val="5"/>
                <w:szCs w:val="5"/>
                <w:color w:val="auto"/>
              </w:rPr>
            </w:pPr>
          </w:p>
        </w:tc>
        <w:tc>
          <w:tcPr>
            <w:tcW w:w="32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580" w:type="dxa"/>
            <w:vAlign w:val="bottom"/>
            <w:tcBorders>
              <w:bottom w:val="single" w:sz="8" w:color="auto"/>
              <w:right w:val="single" w:sz="8" w:color="auto"/>
            </w:tcBorders>
            <w:vMerge w:val="continue"/>
          </w:tcPr>
          <w:p>
            <w:pPr>
              <w:spacing w:after="0"/>
              <w:rPr>
                <w:sz w:val="5"/>
                <w:szCs w:val="5"/>
                <w:color w:val="auto"/>
              </w:rPr>
            </w:pPr>
          </w:p>
        </w:tc>
        <w:tc>
          <w:tcPr>
            <w:tcW w:w="64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October 8, 2019.</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9</w:t>
      </w:r>
      <w:r>
        <w:rPr>
          <w:rFonts w:ascii="Arial" w:cs="Arial" w:eastAsia="Arial" w:hAnsi="Arial"/>
          <w:sz w:val="18"/>
          <w:szCs w:val="18"/>
          <w:color w:val="auto"/>
        </w:rPr>
        <w:t>: RMC-4630 pharmacokinetics—intermittent schedule in RMC-4630-01 study.</w:t>
      </w:r>
    </w:p>
    <w:p>
      <w:pPr>
        <w:spacing w:after="0" w:line="221" w:lineRule="exact"/>
        <w:rPr>
          <w:sz w:val="20"/>
          <w:szCs w:val="20"/>
          <w:color w:val="auto"/>
        </w:rPr>
      </w:pPr>
    </w:p>
    <w:p>
      <w:pPr>
        <w:ind w:left="2340"/>
        <w:spacing w:after="0"/>
        <w:tabs>
          <w:tab w:leader="none" w:pos="7400" w:val="left"/>
        </w:tabs>
        <w:rPr>
          <w:sz w:val="20"/>
          <w:szCs w:val="20"/>
          <w:color w:val="auto"/>
        </w:rPr>
      </w:pPr>
      <w:r>
        <w:rPr>
          <w:rFonts w:ascii="Arial" w:cs="Arial" w:eastAsia="Arial" w:hAnsi="Arial"/>
          <w:sz w:val="32"/>
          <w:szCs w:val="32"/>
          <w:b w:val="1"/>
          <w:bCs w:val="1"/>
          <w:color w:val="auto"/>
        </w:rPr>
        <w:t>PK C1D1</w:t>
      </w:r>
      <w:r>
        <w:rPr>
          <w:sz w:val="20"/>
          <w:szCs w:val="20"/>
          <w:color w:val="auto"/>
        </w:rPr>
        <w:tab/>
      </w:r>
      <w:r>
        <w:rPr>
          <w:rFonts w:ascii="Arial" w:cs="Arial" w:eastAsia="Arial" w:hAnsi="Arial"/>
          <w:sz w:val="32"/>
          <w:szCs w:val="32"/>
          <w:b w:val="1"/>
          <w:bCs w:val="1"/>
          <w:color w:val="auto"/>
        </w:rPr>
        <w:t>Steady state 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97790</wp:posOffset>
            </wp:positionV>
            <wp:extent cx="5883275" cy="19812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8327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right="20"/>
        <w:spacing w:after="0" w:line="213" w:lineRule="auto"/>
        <w:rPr>
          <w:sz w:val="20"/>
          <w:szCs w:val="20"/>
          <w:color w:val="auto"/>
        </w:rPr>
      </w:pPr>
      <w:r>
        <w:rPr>
          <w:rFonts w:ascii="Arial" w:cs="Arial" w:eastAsia="Arial" w:hAnsi="Arial"/>
          <w:sz w:val="13"/>
          <w:szCs w:val="13"/>
          <w:color w:val="auto"/>
        </w:rPr>
        <w:t>Pharmacokinetic profile of RMC-4630 dosed at either 140 mg or 200 mg on D1 and D4 of each week. Steady state is considered to be day 15 of cycle 1. EC</w:t>
      </w:r>
      <w:r>
        <w:rPr>
          <w:rFonts w:ascii="Arial" w:cs="Arial" w:eastAsia="Arial" w:hAnsi="Arial"/>
          <w:sz w:val="21"/>
          <w:szCs w:val="21"/>
          <w:color w:val="auto"/>
          <w:vertAlign w:val="subscript"/>
        </w:rPr>
        <w:t>50</w:t>
      </w:r>
      <w:r>
        <w:rPr>
          <w:rFonts w:ascii="Arial" w:cs="Arial" w:eastAsia="Arial" w:hAnsi="Arial"/>
          <w:sz w:val="13"/>
          <w:szCs w:val="13"/>
          <w:color w:val="auto"/>
        </w:rPr>
        <w:t>/fu and EC</w:t>
      </w:r>
      <w:r>
        <w:rPr>
          <w:rFonts w:ascii="Arial" w:cs="Arial" w:eastAsia="Arial" w:hAnsi="Arial"/>
          <w:sz w:val="21"/>
          <w:szCs w:val="21"/>
          <w:color w:val="auto"/>
          <w:vertAlign w:val="subscript"/>
        </w:rPr>
        <w:t>75</w:t>
      </w:r>
      <w:r>
        <w:rPr>
          <w:rFonts w:ascii="Arial" w:cs="Arial" w:eastAsia="Arial" w:hAnsi="Arial"/>
          <w:sz w:val="13"/>
          <w:szCs w:val="13"/>
          <w:color w:val="auto"/>
        </w:rPr>
        <w:t>/fu are the total estimated plasma concentrations in humans that correspond to 50% and 75% inhibition of pERK in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tumor models. Steady state in this instance is defined as at least five half lives after starting dosing at which time the pharmacokinetic profile of RMC-4630 on any given day would be considered to be representative of subsequent dosing days.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Interim safety and tolerability—daily dosing schedule</w:t>
      </w:r>
    </w:p>
    <w:p>
      <w:pPr>
        <w:spacing w:after="0" w:line="122"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Forty-nine patients have been treated in RMC-4630-01 with the daily schedule. Median RMC-4630 exposure is 1.8 months (range 0.0-13.0 months). Demographic and baseline characteristics information is shown in Table 5.</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Table 5: </w:t>
      </w:r>
      <w:r>
        <w:rPr>
          <w:rFonts w:ascii="Arial" w:cs="Arial" w:eastAsia="Arial" w:hAnsi="Arial"/>
          <w:sz w:val="18"/>
          <w:szCs w:val="18"/>
          <w:color w:val="auto"/>
        </w:rPr>
        <w:t>Demographics and baseline characteristics—daily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100" w:type="dxa"/>
            <w:vAlign w:val="bottom"/>
          </w:tcPr>
          <w:p>
            <w:pPr>
              <w:jc w:val="right"/>
              <w:ind w:right="92"/>
              <w:spacing w:after="0"/>
              <w:rPr>
                <w:sz w:val="20"/>
                <w:szCs w:val="20"/>
                <w:color w:val="auto"/>
              </w:rPr>
            </w:pPr>
            <w:r>
              <w:rPr>
                <w:rFonts w:ascii="Arial" w:cs="Arial" w:eastAsia="Arial" w:hAnsi="Arial"/>
                <w:sz w:val="18"/>
                <w:szCs w:val="18"/>
                <w:b w:val="1"/>
                <w:bCs w:val="1"/>
                <w:color w:val="auto"/>
              </w:rPr>
              <w:t>20 mg</w:t>
            </w:r>
          </w:p>
        </w:tc>
        <w:tc>
          <w:tcPr>
            <w:tcW w:w="1460" w:type="dxa"/>
            <w:vAlign w:val="bottom"/>
          </w:tcPr>
          <w:p>
            <w:pPr>
              <w:jc w:val="right"/>
              <w:ind w:right="72"/>
              <w:spacing w:after="0"/>
              <w:rPr>
                <w:sz w:val="20"/>
                <w:szCs w:val="20"/>
                <w:color w:val="auto"/>
              </w:rPr>
            </w:pPr>
            <w:r>
              <w:rPr>
                <w:rFonts w:ascii="Arial" w:cs="Arial" w:eastAsia="Arial" w:hAnsi="Arial"/>
                <w:sz w:val="18"/>
                <w:szCs w:val="18"/>
                <w:b w:val="1"/>
                <w:bCs w:val="1"/>
                <w:color w:val="auto"/>
              </w:rPr>
              <w:t>40 mg</w:t>
            </w:r>
          </w:p>
        </w:tc>
        <w:tc>
          <w:tcPr>
            <w:tcW w:w="1420" w:type="dxa"/>
            <w:vAlign w:val="bottom"/>
          </w:tcPr>
          <w:p>
            <w:pPr>
              <w:jc w:val="right"/>
              <w:ind w:right="92"/>
              <w:spacing w:after="0"/>
              <w:rPr>
                <w:sz w:val="20"/>
                <w:szCs w:val="20"/>
                <w:color w:val="auto"/>
              </w:rPr>
            </w:pPr>
            <w:r>
              <w:rPr>
                <w:rFonts w:ascii="Arial" w:cs="Arial" w:eastAsia="Arial" w:hAnsi="Arial"/>
                <w:sz w:val="18"/>
                <w:szCs w:val="18"/>
                <w:b w:val="1"/>
                <w:bCs w:val="1"/>
                <w:color w:val="auto"/>
              </w:rPr>
              <w:t>60 mg</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 mg</w:t>
            </w:r>
          </w:p>
        </w:tc>
      </w:tr>
      <w:tr>
        <w:trPr>
          <w:trHeight w:val="234"/>
        </w:trPr>
        <w:tc>
          <w:tcPr>
            <w:tcW w:w="2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(n=12)</w:t>
            </w: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(n=13)</w:t>
            </w: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(n=18)</w:t>
            </w:r>
          </w:p>
        </w:tc>
        <w:tc>
          <w:tcPr>
            <w:tcW w:w="1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(n=6)</w:t>
            </w:r>
          </w:p>
        </w:tc>
      </w:tr>
      <w:tr>
        <w:trPr>
          <w:trHeight w:val="197"/>
        </w:trPr>
        <w:tc>
          <w:tcPr>
            <w:tcW w:w="20" w:type="dxa"/>
            <w:vAlign w:val="bottom"/>
          </w:tcPr>
          <w:p>
            <w:pPr>
              <w:spacing w:after="0"/>
              <w:rPr>
                <w:sz w:val="17"/>
                <w:szCs w:val="17"/>
                <w:color w:val="auto"/>
              </w:rPr>
            </w:pPr>
          </w:p>
        </w:tc>
        <w:tc>
          <w:tcPr>
            <w:tcW w:w="46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Age, median (range)</w:t>
            </w:r>
          </w:p>
        </w:tc>
        <w:tc>
          <w:tcPr>
            <w:tcW w:w="2100" w:type="dxa"/>
            <w:vAlign w:val="bottom"/>
            <w:shd w:val="clear" w:color="auto" w:fill="CCEEFF"/>
          </w:tcPr>
          <w:p>
            <w:pPr>
              <w:jc w:val="center"/>
              <w:ind w:left="492"/>
              <w:spacing w:after="0" w:line="197" w:lineRule="exact"/>
              <w:rPr>
                <w:sz w:val="20"/>
                <w:szCs w:val="20"/>
                <w:color w:val="auto"/>
              </w:rPr>
            </w:pPr>
            <w:r>
              <w:rPr>
                <w:rFonts w:ascii="Arial" w:cs="Arial" w:eastAsia="Arial" w:hAnsi="Arial"/>
                <w:sz w:val="18"/>
                <w:szCs w:val="18"/>
                <w:color w:val="auto"/>
                <w:w w:val="97"/>
              </w:rPr>
              <w:t>62.5 (34-76)</w:t>
            </w:r>
          </w:p>
        </w:tc>
        <w:tc>
          <w:tcPr>
            <w:tcW w:w="1460" w:type="dxa"/>
            <w:vAlign w:val="bottom"/>
            <w:shd w:val="clear" w:color="auto" w:fill="CCEEFF"/>
          </w:tcPr>
          <w:p>
            <w:pPr>
              <w:jc w:val="center"/>
              <w:ind w:right="52"/>
              <w:spacing w:after="0" w:line="197" w:lineRule="exact"/>
              <w:rPr>
                <w:sz w:val="20"/>
                <w:szCs w:val="20"/>
                <w:color w:val="auto"/>
              </w:rPr>
            </w:pPr>
            <w:r>
              <w:rPr>
                <w:rFonts w:ascii="Arial" w:cs="Arial" w:eastAsia="Arial" w:hAnsi="Arial"/>
                <w:sz w:val="18"/>
                <w:szCs w:val="18"/>
                <w:color w:val="auto"/>
                <w:w w:val="96"/>
              </w:rPr>
              <w:t>65.0 (45- 84)</w:t>
            </w:r>
          </w:p>
        </w:tc>
        <w:tc>
          <w:tcPr>
            <w:tcW w:w="1420" w:type="dxa"/>
            <w:vAlign w:val="bottom"/>
            <w:shd w:val="clear" w:color="auto" w:fill="CCEEFF"/>
          </w:tcPr>
          <w:p>
            <w:pPr>
              <w:jc w:val="center"/>
              <w:ind w:right="52"/>
              <w:spacing w:after="0" w:line="197" w:lineRule="exact"/>
              <w:rPr>
                <w:sz w:val="20"/>
                <w:szCs w:val="20"/>
                <w:color w:val="auto"/>
              </w:rPr>
            </w:pPr>
            <w:r>
              <w:rPr>
                <w:rFonts w:ascii="Arial" w:cs="Arial" w:eastAsia="Arial" w:hAnsi="Arial"/>
                <w:sz w:val="18"/>
                <w:szCs w:val="18"/>
                <w:color w:val="auto"/>
                <w:w w:val="97"/>
              </w:rPr>
              <w:t>60.5 (47-82)</w:t>
            </w:r>
          </w:p>
        </w:tc>
        <w:tc>
          <w:tcPr>
            <w:tcW w:w="126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97"/>
              </w:rPr>
              <w:t>62.0 (40-75)</w:t>
            </w:r>
          </w:p>
        </w:tc>
        <w:tc>
          <w:tcPr>
            <w:tcW w:w="100" w:type="dxa"/>
            <w:vAlign w:val="bottom"/>
            <w:shd w:val="clear" w:color="auto" w:fill="CCEEFF"/>
          </w:tcPr>
          <w:p>
            <w:pPr>
              <w:spacing w:after="0"/>
              <w:rPr>
                <w:sz w:val="17"/>
                <w:szCs w:val="17"/>
                <w:color w:val="auto"/>
              </w:rPr>
            </w:pPr>
          </w:p>
        </w:tc>
      </w:tr>
      <w:tr>
        <w:trPr>
          <w:trHeight w:val="214"/>
        </w:trPr>
        <w:tc>
          <w:tcPr>
            <w:tcW w:w="4700" w:type="dxa"/>
            <w:vAlign w:val="bottom"/>
            <w:gridSpan w:val="2"/>
          </w:tcPr>
          <w:p>
            <w:pPr>
              <w:spacing w:after="0"/>
              <w:rPr>
                <w:sz w:val="20"/>
                <w:szCs w:val="20"/>
                <w:color w:val="auto"/>
              </w:rPr>
            </w:pPr>
            <w:r>
              <w:rPr>
                <w:rFonts w:ascii="Arial" w:cs="Arial" w:eastAsia="Arial" w:hAnsi="Arial"/>
                <w:sz w:val="18"/>
                <w:szCs w:val="18"/>
                <w:color w:val="auto"/>
              </w:rPr>
              <w:t>Male</w:t>
            </w:r>
          </w:p>
        </w:tc>
        <w:tc>
          <w:tcPr>
            <w:tcW w:w="2100" w:type="dxa"/>
            <w:vAlign w:val="bottom"/>
          </w:tcPr>
          <w:p>
            <w:pPr>
              <w:jc w:val="center"/>
              <w:ind w:left="492"/>
              <w:spacing w:after="0"/>
              <w:rPr>
                <w:sz w:val="20"/>
                <w:szCs w:val="20"/>
                <w:color w:val="auto"/>
              </w:rPr>
            </w:pPr>
            <w:r>
              <w:rPr>
                <w:rFonts w:ascii="Arial" w:cs="Arial" w:eastAsia="Arial" w:hAnsi="Arial"/>
                <w:sz w:val="18"/>
                <w:szCs w:val="18"/>
                <w:color w:val="auto"/>
                <w:w w:val="97"/>
              </w:rPr>
              <w:t>9 (75.0%)</w:t>
            </w:r>
          </w:p>
        </w:tc>
        <w:tc>
          <w:tcPr>
            <w:tcW w:w="1460" w:type="dxa"/>
            <w:vAlign w:val="bottom"/>
          </w:tcPr>
          <w:p>
            <w:pPr>
              <w:jc w:val="center"/>
              <w:ind w:right="52"/>
              <w:spacing w:after="0"/>
              <w:rPr>
                <w:sz w:val="20"/>
                <w:szCs w:val="20"/>
                <w:color w:val="auto"/>
              </w:rPr>
            </w:pPr>
            <w:r>
              <w:rPr>
                <w:rFonts w:ascii="Arial" w:cs="Arial" w:eastAsia="Arial" w:hAnsi="Arial"/>
                <w:sz w:val="18"/>
                <w:szCs w:val="18"/>
                <w:color w:val="auto"/>
                <w:w w:val="97"/>
              </w:rPr>
              <w:t>8 (61.5%)</w:t>
            </w:r>
          </w:p>
        </w:tc>
        <w:tc>
          <w:tcPr>
            <w:tcW w:w="1420" w:type="dxa"/>
            <w:vAlign w:val="bottom"/>
          </w:tcPr>
          <w:p>
            <w:pPr>
              <w:jc w:val="center"/>
              <w:ind w:right="52"/>
              <w:spacing w:after="0"/>
              <w:rPr>
                <w:sz w:val="20"/>
                <w:szCs w:val="20"/>
                <w:color w:val="auto"/>
              </w:rPr>
            </w:pPr>
            <w:r>
              <w:rPr>
                <w:rFonts w:ascii="Arial" w:cs="Arial" w:eastAsia="Arial" w:hAnsi="Arial"/>
                <w:sz w:val="18"/>
                <w:szCs w:val="18"/>
                <w:color w:val="auto"/>
                <w:w w:val="97"/>
              </w:rPr>
              <w:t>9 (50.0%)</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1 (16.7%)</w:t>
            </w:r>
          </w:p>
        </w:tc>
        <w:tc>
          <w:tcPr>
            <w:tcW w:w="100" w:type="dxa"/>
            <w:vAlign w:val="bottom"/>
          </w:tcPr>
          <w:p>
            <w:pPr>
              <w:spacing w:after="0"/>
              <w:rPr>
                <w:sz w:val="18"/>
                <w:szCs w:val="18"/>
                <w:color w:val="auto"/>
              </w:rPr>
            </w:pPr>
          </w:p>
        </w:tc>
      </w:tr>
      <w:tr>
        <w:trPr>
          <w:trHeight w:val="56"/>
        </w:trPr>
        <w:tc>
          <w:tcPr>
            <w:tcW w:w="4700" w:type="dxa"/>
            <w:vAlign w:val="bottom"/>
            <w:gridSpan w:val="2"/>
          </w:tcPr>
          <w:p>
            <w:pPr>
              <w:spacing w:after="0"/>
              <w:rPr>
                <w:sz w:val="4"/>
                <w:szCs w:val="4"/>
                <w:color w:val="auto"/>
              </w:rPr>
            </w:pPr>
          </w:p>
        </w:tc>
        <w:tc>
          <w:tcPr>
            <w:tcW w:w="2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Cancer Type</w:t>
            </w:r>
          </w:p>
        </w:tc>
        <w:tc>
          <w:tcPr>
            <w:tcW w:w="2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200"/>
              <w:spacing w:after="0" w:line="202" w:lineRule="exact"/>
              <w:rPr>
                <w:sz w:val="20"/>
                <w:szCs w:val="20"/>
                <w:color w:val="auto"/>
              </w:rPr>
            </w:pPr>
            <w:r>
              <w:rPr>
                <w:rFonts w:ascii="Arial" w:cs="Arial" w:eastAsia="Arial" w:hAnsi="Arial"/>
                <w:sz w:val="18"/>
                <w:szCs w:val="18"/>
                <w:color w:val="auto"/>
              </w:rPr>
              <w:t>Lung</w:t>
            </w:r>
          </w:p>
        </w:tc>
        <w:tc>
          <w:tcPr>
            <w:tcW w:w="2100" w:type="dxa"/>
            <w:vAlign w:val="bottom"/>
          </w:tcPr>
          <w:p>
            <w:pPr>
              <w:jc w:val="center"/>
              <w:ind w:left="492"/>
              <w:spacing w:after="0" w:line="202" w:lineRule="exact"/>
              <w:rPr>
                <w:sz w:val="20"/>
                <w:szCs w:val="20"/>
                <w:color w:val="auto"/>
              </w:rPr>
            </w:pPr>
            <w:r>
              <w:rPr>
                <w:rFonts w:ascii="Arial" w:cs="Arial" w:eastAsia="Arial" w:hAnsi="Arial"/>
                <w:sz w:val="18"/>
                <w:szCs w:val="18"/>
                <w:color w:val="auto"/>
                <w:w w:val="97"/>
              </w:rPr>
              <w:t>6 (50.0%)</w:t>
            </w:r>
          </w:p>
        </w:tc>
        <w:tc>
          <w:tcPr>
            <w:tcW w:w="146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4 (30.8%)</w:t>
            </w:r>
          </w:p>
        </w:tc>
        <w:tc>
          <w:tcPr>
            <w:tcW w:w="142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7"/>
              </w:rPr>
              <w:t>10 (55.6%)</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7"/>
              </w:rPr>
              <w:t>1 (16.7%)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Colon and/or Rectal</w:t>
            </w:r>
          </w:p>
        </w:tc>
        <w:tc>
          <w:tcPr>
            <w:tcW w:w="2100" w:type="dxa"/>
            <w:vAlign w:val="bottom"/>
            <w:shd w:val="clear" w:color="auto" w:fill="CCEEFF"/>
          </w:tcPr>
          <w:p>
            <w:pPr>
              <w:jc w:val="center"/>
              <w:ind w:left="492"/>
              <w:spacing w:after="0" w:line="202" w:lineRule="exact"/>
              <w:rPr>
                <w:sz w:val="20"/>
                <w:szCs w:val="20"/>
                <w:color w:val="auto"/>
              </w:rPr>
            </w:pPr>
            <w:r>
              <w:rPr>
                <w:rFonts w:ascii="Arial" w:cs="Arial" w:eastAsia="Arial" w:hAnsi="Arial"/>
                <w:sz w:val="18"/>
                <w:szCs w:val="18"/>
                <w:color w:val="auto"/>
                <w:w w:val="97"/>
              </w:rPr>
              <w:t>3 (25.0%)</w:t>
            </w:r>
          </w:p>
        </w:tc>
        <w:tc>
          <w:tcPr>
            <w:tcW w:w="146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5 (38.5%)</w:t>
            </w:r>
          </w:p>
        </w:tc>
        <w:tc>
          <w:tcPr>
            <w:tcW w:w="142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5 (27.8%)</w:t>
            </w:r>
          </w:p>
        </w:tc>
        <w:tc>
          <w:tcPr>
            <w:tcW w:w="1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3 (50.0%)</w:t>
            </w:r>
          </w:p>
        </w:tc>
        <w:tc>
          <w:tcPr>
            <w:tcW w:w="1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Other</w:t>
            </w:r>
          </w:p>
        </w:tc>
        <w:tc>
          <w:tcPr>
            <w:tcW w:w="2100" w:type="dxa"/>
            <w:vAlign w:val="bottom"/>
          </w:tcPr>
          <w:p>
            <w:pPr>
              <w:jc w:val="center"/>
              <w:ind w:left="492"/>
              <w:spacing w:after="0"/>
              <w:rPr>
                <w:sz w:val="20"/>
                <w:szCs w:val="20"/>
                <w:color w:val="auto"/>
              </w:rPr>
            </w:pPr>
            <w:r>
              <w:rPr>
                <w:rFonts w:ascii="Arial" w:cs="Arial" w:eastAsia="Arial" w:hAnsi="Arial"/>
                <w:sz w:val="18"/>
                <w:szCs w:val="18"/>
                <w:color w:val="auto"/>
                <w:w w:val="97"/>
              </w:rPr>
              <w:t>3 (25.0%)</w:t>
            </w:r>
          </w:p>
        </w:tc>
        <w:tc>
          <w:tcPr>
            <w:tcW w:w="1460" w:type="dxa"/>
            <w:vAlign w:val="bottom"/>
          </w:tcPr>
          <w:p>
            <w:pPr>
              <w:jc w:val="center"/>
              <w:ind w:right="52"/>
              <w:spacing w:after="0"/>
              <w:rPr>
                <w:sz w:val="20"/>
                <w:szCs w:val="20"/>
                <w:color w:val="auto"/>
              </w:rPr>
            </w:pPr>
            <w:r>
              <w:rPr>
                <w:rFonts w:ascii="Arial" w:cs="Arial" w:eastAsia="Arial" w:hAnsi="Arial"/>
                <w:sz w:val="18"/>
                <w:szCs w:val="18"/>
                <w:color w:val="auto"/>
                <w:w w:val="97"/>
              </w:rPr>
              <w:t>4 (30.8%)</w:t>
            </w:r>
          </w:p>
        </w:tc>
        <w:tc>
          <w:tcPr>
            <w:tcW w:w="1420" w:type="dxa"/>
            <w:vAlign w:val="bottom"/>
          </w:tcPr>
          <w:p>
            <w:pPr>
              <w:jc w:val="center"/>
              <w:ind w:right="52"/>
              <w:spacing w:after="0"/>
              <w:rPr>
                <w:sz w:val="20"/>
                <w:szCs w:val="20"/>
                <w:color w:val="auto"/>
              </w:rPr>
            </w:pPr>
            <w:r>
              <w:rPr>
                <w:rFonts w:ascii="Arial" w:cs="Arial" w:eastAsia="Arial" w:hAnsi="Arial"/>
                <w:sz w:val="18"/>
                <w:szCs w:val="18"/>
                <w:color w:val="auto"/>
                <w:w w:val="97"/>
              </w:rPr>
              <w:t>3 (16.7%)</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2 (33.3%)</w:t>
            </w:r>
          </w:p>
        </w:tc>
        <w:tc>
          <w:tcPr>
            <w:tcW w:w="100" w:type="dxa"/>
            <w:vAlign w:val="bottom"/>
          </w:tcPr>
          <w:p>
            <w:pPr>
              <w:spacing w:after="0"/>
              <w:rPr>
                <w:sz w:val="18"/>
                <w:szCs w:val="18"/>
                <w:color w:val="auto"/>
              </w:rPr>
            </w:pPr>
          </w:p>
        </w:tc>
      </w:tr>
      <w:tr>
        <w:trPr>
          <w:trHeight w:val="56"/>
        </w:trPr>
        <w:tc>
          <w:tcPr>
            <w:tcW w:w="4700" w:type="dxa"/>
            <w:vAlign w:val="bottom"/>
            <w:gridSpan w:val="2"/>
          </w:tcPr>
          <w:p>
            <w:pPr>
              <w:spacing w:after="0"/>
              <w:rPr>
                <w:sz w:val="4"/>
                <w:szCs w:val="4"/>
                <w:color w:val="auto"/>
              </w:rPr>
            </w:pPr>
          </w:p>
        </w:tc>
        <w:tc>
          <w:tcPr>
            <w:tcW w:w="2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ECOG performance status</w:t>
            </w:r>
          </w:p>
        </w:tc>
        <w:tc>
          <w:tcPr>
            <w:tcW w:w="2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7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0</w:t>
            </w:r>
          </w:p>
        </w:tc>
        <w:tc>
          <w:tcPr>
            <w:tcW w:w="2100" w:type="dxa"/>
            <w:vAlign w:val="bottom"/>
          </w:tcPr>
          <w:p>
            <w:pPr>
              <w:jc w:val="center"/>
              <w:ind w:left="492"/>
              <w:spacing w:after="0" w:line="202" w:lineRule="exact"/>
              <w:rPr>
                <w:sz w:val="20"/>
                <w:szCs w:val="20"/>
                <w:color w:val="auto"/>
              </w:rPr>
            </w:pPr>
            <w:r>
              <w:rPr>
                <w:rFonts w:ascii="Arial" w:cs="Arial" w:eastAsia="Arial" w:hAnsi="Arial"/>
                <w:sz w:val="18"/>
                <w:szCs w:val="18"/>
                <w:color w:val="auto"/>
                <w:w w:val="97"/>
              </w:rPr>
              <w:t>6 (50.0%)</w:t>
            </w:r>
          </w:p>
        </w:tc>
        <w:tc>
          <w:tcPr>
            <w:tcW w:w="146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3 (23.1%)</w:t>
            </w:r>
          </w:p>
        </w:tc>
        <w:tc>
          <w:tcPr>
            <w:tcW w:w="142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6 (33.3%)</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7"/>
              </w:rPr>
              <w:t>3 (50.0%)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1</w:t>
            </w:r>
          </w:p>
        </w:tc>
        <w:tc>
          <w:tcPr>
            <w:tcW w:w="2100" w:type="dxa"/>
            <w:vAlign w:val="bottom"/>
            <w:shd w:val="clear" w:color="auto" w:fill="CCEEFF"/>
          </w:tcPr>
          <w:p>
            <w:pPr>
              <w:jc w:val="center"/>
              <w:ind w:left="492"/>
              <w:spacing w:after="0" w:line="202" w:lineRule="exact"/>
              <w:rPr>
                <w:sz w:val="20"/>
                <w:szCs w:val="20"/>
                <w:color w:val="auto"/>
              </w:rPr>
            </w:pPr>
            <w:r>
              <w:rPr>
                <w:rFonts w:ascii="Arial" w:cs="Arial" w:eastAsia="Arial" w:hAnsi="Arial"/>
                <w:sz w:val="18"/>
                <w:szCs w:val="18"/>
                <w:color w:val="auto"/>
                <w:w w:val="97"/>
              </w:rPr>
              <w:t>6 (50.0%)</w:t>
            </w:r>
          </w:p>
        </w:tc>
        <w:tc>
          <w:tcPr>
            <w:tcW w:w="146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7"/>
              </w:rPr>
              <w:t>10 (76.9%)</w:t>
            </w:r>
          </w:p>
        </w:tc>
        <w:tc>
          <w:tcPr>
            <w:tcW w:w="142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7"/>
              </w:rPr>
              <w:t>12 (66.7%)</w:t>
            </w:r>
          </w:p>
        </w:tc>
        <w:tc>
          <w:tcPr>
            <w:tcW w:w="1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3 (50.0%)</w:t>
            </w:r>
          </w:p>
        </w:tc>
        <w:tc>
          <w:tcPr>
            <w:tcW w:w="100" w:type="dxa"/>
            <w:vAlign w:val="bottom"/>
            <w:shd w:val="clear" w:color="auto" w:fill="CCEEFF"/>
          </w:tcPr>
          <w:p>
            <w:pPr>
              <w:spacing w:after="0"/>
              <w:rPr>
                <w:sz w:val="17"/>
                <w:szCs w:val="17"/>
                <w:color w:val="auto"/>
              </w:rPr>
            </w:pPr>
          </w:p>
        </w:tc>
      </w:tr>
      <w:tr>
        <w:trPr>
          <w:trHeight w:val="215"/>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 of prior cancer therapies, median (range)</w:t>
            </w:r>
          </w:p>
        </w:tc>
        <w:tc>
          <w:tcPr>
            <w:tcW w:w="2100" w:type="dxa"/>
            <w:vAlign w:val="bottom"/>
            <w:tcBorders>
              <w:bottom w:val="single" w:sz="8" w:color="auto"/>
            </w:tcBorders>
          </w:tcPr>
          <w:p>
            <w:pPr>
              <w:jc w:val="center"/>
              <w:ind w:left="492"/>
              <w:spacing w:after="0"/>
              <w:rPr>
                <w:sz w:val="20"/>
                <w:szCs w:val="20"/>
                <w:color w:val="auto"/>
              </w:rPr>
            </w:pPr>
            <w:r>
              <w:rPr>
                <w:rFonts w:ascii="Arial" w:cs="Arial" w:eastAsia="Arial" w:hAnsi="Arial"/>
                <w:sz w:val="18"/>
                <w:szCs w:val="18"/>
                <w:color w:val="auto"/>
                <w:w w:val="97"/>
              </w:rPr>
              <w:t>3.0 (1-11)</w:t>
            </w:r>
          </w:p>
        </w:tc>
        <w:tc>
          <w:tcPr>
            <w:tcW w:w="14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7"/>
              </w:rPr>
              <w:t>4.0 (2-10)</w:t>
            </w:r>
          </w:p>
        </w:tc>
        <w:tc>
          <w:tcPr>
            <w:tcW w:w="14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6"/>
              </w:rPr>
              <w:t>5.0 (1-8)</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4.5 (1-8)</w:t>
            </w:r>
          </w:p>
        </w:tc>
        <w:tc>
          <w:tcPr>
            <w:tcW w:w="100" w:type="dxa"/>
            <w:vAlign w:val="bottom"/>
          </w:tcPr>
          <w:p>
            <w:pPr>
              <w:spacing w:after="0"/>
              <w:rPr>
                <w:sz w:val="18"/>
                <w:szCs w:val="18"/>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ECOG (Eastern Cooperative Oncology Group) performance status is a scale often used to assess how a patient’s disease is progressing.</w:t>
      </w:r>
    </w:p>
    <w:p>
      <w:pPr>
        <w:spacing w:after="0" w:line="99"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Although both dosing regimens have been reasonably well tolerated, daily dosing has been associated with more frequent and severe AEs than the intermittent schedule. As with the intermittent schedule, the safety profile from the daily dosing schedule has been consistent with the mechanistic effects of the product candidate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on SHP2 and the RAS signaling pathways. We have not determined a maximum tolerated dose for daily dosing, although dose escalation will not continue beyond the 80 mg daily level already evaluated. If further development with this schedule was pursued, we expect the recommended Phase 2 dose for the daily schedule would be 60 mg daily.</w:t>
      </w:r>
    </w:p>
    <w:p>
      <w:pPr>
        <w:spacing w:after="0" w:line="100"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Treatment-related AEs occurring in greater than or equal to 10% of patients who received the daily schedule are shown in Table 6. No toxicities consistent with ‘off-target’ effects have been reported. Increases in liver enzymes such as alanine transaminase and aspartate transaminase have been observed at all grades. These have been attributed, wholly or in part, to RMC-4630 in 10% or 16% of patients treated with the daily schedule, respectively. In two patients, the increase in alanine transaminase or aspartate transaminase was either grade 3 or grade 4.</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6</w:t>
      </w:r>
      <w:r>
        <w:rPr>
          <w:rFonts w:ascii="Arial" w:cs="Arial" w:eastAsia="Arial" w:hAnsi="Arial"/>
          <w:sz w:val="18"/>
          <w:szCs w:val="18"/>
          <w:color w:val="auto"/>
        </w:rPr>
        <w:t>: Related AEs occurring in</w:t>
      </w:r>
      <w:r>
        <w:rPr>
          <w:rFonts w:ascii="Arial" w:cs="Arial" w:eastAsia="Arial" w:hAnsi="Arial"/>
          <w:sz w:val="18"/>
          <w:szCs w:val="18"/>
          <w:b w:val="1"/>
          <w:bCs w:val="1"/>
          <w:color w:val="auto"/>
        </w:rPr>
        <w:t xml:space="preserve"> </w:t>
      </w:r>
      <w:r>
        <w:rPr>
          <w:rFonts w:ascii="Arial" w:cs="Arial" w:eastAsia="Arial" w:hAnsi="Arial"/>
          <w:sz w:val="18"/>
          <w:szCs w:val="18"/>
          <w:color w:val="auto"/>
        </w:rPr>
        <w:t>³</w:t>
      </w:r>
      <w:r>
        <w:rPr>
          <w:rFonts w:ascii="Arial" w:cs="Arial" w:eastAsia="Arial" w:hAnsi="Arial"/>
          <w:sz w:val="18"/>
          <w:szCs w:val="18"/>
          <w:b w:val="1"/>
          <w:bCs w:val="1"/>
          <w:color w:val="auto"/>
        </w:rPr>
        <w:t xml:space="preserve"> </w:t>
      </w:r>
      <w:r>
        <w:rPr>
          <w:rFonts w:ascii="Arial" w:cs="Arial" w:eastAsia="Arial" w:hAnsi="Arial"/>
          <w:sz w:val="18"/>
          <w:szCs w:val="18"/>
          <w:color w:val="auto"/>
        </w:rPr>
        <w:t>10% of dosed patients by grade—daily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660" w:type="dxa"/>
            <w:vAlign w:val="bottom"/>
          </w:tcPr>
          <w:p>
            <w:pPr>
              <w:jc w:val="right"/>
              <w:ind w:right="32"/>
              <w:spacing w:after="0"/>
              <w:rPr>
                <w:sz w:val="20"/>
                <w:szCs w:val="20"/>
                <w:color w:val="auto"/>
              </w:rPr>
            </w:pPr>
            <w:r>
              <w:rPr>
                <w:rFonts w:ascii="Arial" w:cs="Arial" w:eastAsia="Arial" w:hAnsi="Arial"/>
                <w:sz w:val="18"/>
                <w:szCs w:val="18"/>
                <w:b w:val="1"/>
                <w:bCs w:val="1"/>
                <w:color w:val="auto"/>
              </w:rPr>
              <w:t>Any</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Grade</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Grade</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Grade</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Grade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Grade</w:t>
            </w:r>
          </w:p>
        </w:tc>
      </w:tr>
      <w:tr>
        <w:trPr>
          <w:trHeight w:val="235"/>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Preferred term</w:t>
            </w:r>
          </w:p>
        </w:tc>
        <w:tc>
          <w:tcPr>
            <w:tcW w:w="2660" w:type="dxa"/>
            <w:vAlign w:val="bottom"/>
          </w:tcPr>
          <w:p>
            <w:pPr>
              <w:jc w:val="right"/>
              <w:ind w:right="32"/>
              <w:spacing w:after="0"/>
              <w:rPr>
                <w:sz w:val="20"/>
                <w:szCs w:val="20"/>
                <w:color w:val="auto"/>
              </w:rPr>
            </w:pPr>
            <w:r>
              <w:rPr>
                <w:rFonts w:ascii="Arial" w:cs="Arial" w:eastAsia="Arial" w:hAnsi="Arial"/>
                <w:sz w:val="18"/>
                <w:szCs w:val="18"/>
                <w:b w:val="1"/>
                <w:bCs w:val="1"/>
                <w:color w:val="auto"/>
              </w:rPr>
              <w:t>grade</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³3</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2</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196"/>
        </w:trPr>
        <w:tc>
          <w:tcPr>
            <w:tcW w:w="20" w:type="dxa"/>
            <w:vAlign w:val="bottom"/>
          </w:tcPr>
          <w:p>
            <w:pPr>
              <w:spacing w:after="0"/>
              <w:rPr>
                <w:sz w:val="17"/>
                <w:szCs w:val="17"/>
                <w:color w:val="auto"/>
              </w:rPr>
            </w:pPr>
          </w:p>
        </w:tc>
        <w:tc>
          <w:tcPr>
            <w:tcW w:w="3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Thrombocytopenia*</w:t>
            </w:r>
          </w:p>
        </w:tc>
        <w:tc>
          <w:tcPr>
            <w:tcW w:w="2660" w:type="dxa"/>
            <w:vAlign w:val="bottom"/>
            <w:tcBorders>
              <w:top w:val="single" w:sz="8" w:color="auto"/>
            </w:tcBorders>
            <w:shd w:val="clear" w:color="auto" w:fill="CCEEFF"/>
          </w:tcPr>
          <w:p>
            <w:pPr>
              <w:jc w:val="center"/>
              <w:ind w:left="1232"/>
              <w:spacing w:after="0" w:line="196" w:lineRule="exact"/>
              <w:rPr>
                <w:sz w:val="20"/>
                <w:szCs w:val="20"/>
                <w:color w:val="auto"/>
              </w:rPr>
            </w:pPr>
            <w:r>
              <w:rPr>
                <w:rFonts w:ascii="Arial" w:cs="Arial" w:eastAsia="Arial" w:hAnsi="Arial"/>
                <w:sz w:val="18"/>
                <w:szCs w:val="18"/>
                <w:color w:val="auto"/>
                <w:w w:val="97"/>
              </w:rPr>
              <w:t>14 (28.6%)</w:t>
            </w:r>
          </w:p>
        </w:tc>
        <w:tc>
          <w:tcPr>
            <w:tcW w:w="1080" w:type="dxa"/>
            <w:vAlign w:val="bottom"/>
            <w:tcBorders>
              <w:top w:val="single" w:sz="8" w:color="auto"/>
            </w:tcBorders>
            <w:shd w:val="clear" w:color="auto" w:fill="CCEEFF"/>
          </w:tcPr>
          <w:p>
            <w:pPr>
              <w:jc w:val="center"/>
              <w:ind w:right="32"/>
              <w:spacing w:after="0" w:line="196" w:lineRule="exact"/>
              <w:rPr>
                <w:sz w:val="20"/>
                <w:szCs w:val="20"/>
                <w:color w:val="auto"/>
              </w:rPr>
            </w:pPr>
            <w:r>
              <w:rPr>
                <w:rFonts w:ascii="Arial" w:cs="Arial" w:eastAsia="Arial" w:hAnsi="Arial"/>
                <w:sz w:val="18"/>
                <w:szCs w:val="18"/>
                <w:color w:val="auto"/>
                <w:w w:val="97"/>
              </w:rPr>
              <w:t>7 (14.3%)</w:t>
            </w:r>
          </w:p>
        </w:tc>
        <w:tc>
          <w:tcPr>
            <w:tcW w:w="1120" w:type="dxa"/>
            <w:vAlign w:val="bottom"/>
            <w:tcBorders>
              <w:top w:val="single" w:sz="8" w:color="auto"/>
            </w:tcBorders>
            <w:shd w:val="clear" w:color="auto" w:fill="CCEEFF"/>
          </w:tcPr>
          <w:p>
            <w:pPr>
              <w:jc w:val="center"/>
              <w:ind w:right="12"/>
              <w:spacing w:after="0" w:line="196" w:lineRule="exact"/>
              <w:rPr>
                <w:sz w:val="20"/>
                <w:szCs w:val="20"/>
                <w:color w:val="auto"/>
              </w:rPr>
            </w:pPr>
            <w:r>
              <w:rPr>
                <w:rFonts w:ascii="Arial" w:cs="Arial" w:eastAsia="Arial" w:hAnsi="Arial"/>
                <w:sz w:val="18"/>
                <w:szCs w:val="18"/>
                <w:color w:val="auto"/>
                <w:w w:val="96"/>
              </w:rPr>
              <w:t>4 (8.2%)</w:t>
            </w:r>
          </w:p>
        </w:tc>
        <w:tc>
          <w:tcPr>
            <w:tcW w:w="1100" w:type="dxa"/>
            <w:vAlign w:val="bottom"/>
            <w:tcBorders>
              <w:top w:val="single" w:sz="8" w:color="auto"/>
            </w:tcBorders>
            <w:shd w:val="clear" w:color="auto" w:fill="CCEEFF"/>
          </w:tcPr>
          <w:p>
            <w:pPr>
              <w:jc w:val="center"/>
              <w:ind w:right="32"/>
              <w:spacing w:after="0" w:line="196" w:lineRule="exact"/>
              <w:rPr>
                <w:sz w:val="20"/>
                <w:szCs w:val="20"/>
                <w:color w:val="auto"/>
              </w:rPr>
            </w:pPr>
            <w:r>
              <w:rPr>
                <w:rFonts w:ascii="Arial" w:cs="Arial" w:eastAsia="Arial" w:hAnsi="Arial"/>
                <w:sz w:val="18"/>
                <w:szCs w:val="18"/>
                <w:color w:val="auto"/>
                <w:w w:val="96"/>
              </w:rPr>
              <w:t>3 (6.1%)</w:t>
            </w:r>
          </w:p>
        </w:tc>
        <w:tc>
          <w:tcPr>
            <w:tcW w:w="1100" w:type="dxa"/>
            <w:vAlign w:val="bottom"/>
            <w:tcBorders>
              <w:top w:val="single" w:sz="8" w:color="auto"/>
            </w:tcBorders>
            <w:shd w:val="clear" w:color="auto" w:fill="CCEEFF"/>
          </w:tcPr>
          <w:p>
            <w:pPr>
              <w:jc w:val="center"/>
              <w:ind w:right="12"/>
              <w:spacing w:after="0" w:line="196" w:lineRule="exact"/>
              <w:rPr>
                <w:sz w:val="20"/>
                <w:szCs w:val="20"/>
                <w:color w:val="auto"/>
              </w:rPr>
            </w:pPr>
            <w:r>
              <w:rPr>
                <w:rFonts w:ascii="Arial" w:cs="Arial" w:eastAsia="Arial" w:hAnsi="Arial"/>
                <w:sz w:val="18"/>
                <w:szCs w:val="18"/>
                <w:color w:val="auto"/>
                <w:w w:val="97"/>
              </w:rPr>
              <w:t>6 (12.2%)</w:t>
            </w:r>
          </w:p>
        </w:tc>
        <w:tc>
          <w:tcPr>
            <w:tcW w:w="9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1 (2.0%)</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Diarrhea</w:t>
            </w:r>
          </w:p>
        </w:tc>
        <w:tc>
          <w:tcPr>
            <w:tcW w:w="2660" w:type="dxa"/>
            <w:vAlign w:val="bottom"/>
          </w:tcPr>
          <w:p>
            <w:pPr>
              <w:jc w:val="center"/>
              <w:ind w:left="1232"/>
              <w:spacing w:after="0" w:line="202" w:lineRule="exact"/>
              <w:rPr>
                <w:sz w:val="20"/>
                <w:szCs w:val="20"/>
                <w:color w:val="auto"/>
              </w:rPr>
            </w:pPr>
            <w:r>
              <w:rPr>
                <w:rFonts w:ascii="Arial" w:cs="Arial" w:eastAsia="Arial" w:hAnsi="Arial"/>
                <w:sz w:val="18"/>
                <w:szCs w:val="18"/>
                <w:color w:val="auto"/>
                <w:w w:val="97"/>
              </w:rPr>
              <w:t>12 (24.5%)</w:t>
            </w:r>
          </w:p>
        </w:tc>
        <w:tc>
          <w:tcPr>
            <w:tcW w:w="10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6"/>
              </w:rPr>
              <w:t>1 (2.0%)</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7"/>
              </w:rPr>
              <w:t>7 (14.3%)</w:t>
            </w:r>
          </w:p>
        </w:tc>
        <w:tc>
          <w:tcPr>
            <w:tcW w:w="110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6"/>
              </w:rPr>
              <w:t>4 (8.2%)</w:t>
            </w:r>
          </w:p>
        </w:tc>
        <w:tc>
          <w:tcPr>
            <w:tcW w:w="11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1 (2.0%)</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Anemia**</w:t>
            </w:r>
          </w:p>
        </w:tc>
        <w:tc>
          <w:tcPr>
            <w:tcW w:w="2660" w:type="dxa"/>
            <w:vAlign w:val="bottom"/>
            <w:shd w:val="clear" w:color="auto" w:fill="CCEEFF"/>
          </w:tcPr>
          <w:p>
            <w:pPr>
              <w:jc w:val="center"/>
              <w:ind w:left="1232"/>
              <w:spacing w:after="0" w:line="202" w:lineRule="exact"/>
              <w:rPr>
                <w:sz w:val="20"/>
                <w:szCs w:val="20"/>
                <w:color w:val="auto"/>
              </w:rPr>
            </w:pPr>
            <w:r>
              <w:rPr>
                <w:rFonts w:ascii="Arial" w:cs="Arial" w:eastAsia="Arial" w:hAnsi="Arial"/>
                <w:sz w:val="18"/>
                <w:szCs w:val="18"/>
                <w:color w:val="auto"/>
                <w:w w:val="97"/>
              </w:rPr>
              <w:t>11 (22.4%)</w:t>
            </w:r>
          </w:p>
        </w:tc>
        <w:tc>
          <w:tcPr>
            <w:tcW w:w="108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7"/>
              </w:rPr>
              <w:t>6 (12.2%)</w:t>
            </w:r>
          </w:p>
        </w:tc>
        <w:tc>
          <w:tcPr>
            <w:tcW w:w="11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1 (2.0%)</w:t>
            </w:r>
          </w:p>
        </w:tc>
        <w:tc>
          <w:tcPr>
            <w:tcW w:w="110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6"/>
              </w:rPr>
              <w:t>4 (8.2%)</w:t>
            </w:r>
          </w:p>
        </w:tc>
        <w:tc>
          <w:tcPr>
            <w:tcW w:w="11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7"/>
              </w:rPr>
              <w:t>6 (12.2%)</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Edema***</w:t>
            </w:r>
          </w:p>
        </w:tc>
        <w:tc>
          <w:tcPr>
            <w:tcW w:w="2660" w:type="dxa"/>
            <w:vAlign w:val="bottom"/>
          </w:tcPr>
          <w:p>
            <w:pPr>
              <w:jc w:val="center"/>
              <w:ind w:left="1212"/>
              <w:spacing w:after="0" w:line="202" w:lineRule="exact"/>
              <w:rPr>
                <w:sz w:val="20"/>
                <w:szCs w:val="20"/>
                <w:color w:val="auto"/>
              </w:rPr>
            </w:pPr>
            <w:r>
              <w:rPr>
                <w:rFonts w:ascii="Arial" w:cs="Arial" w:eastAsia="Arial" w:hAnsi="Arial"/>
                <w:sz w:val="18"/>
                <w:szCs w:val="18"/>
                <w:color w:val="auto"/>
                <w:w w:val="97"/>
              </w:rPr>
              <w:t>9 (18.4%)</w:t>
            </w:r>
          </w:p>
        </w:tc>
        <w:tc>
          <w:tcPr>
            <w:tcW w:w="10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6"/>
              </w:rPr>
              <w:t>1 (2.0%)</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7"/>
              </w:rPr>
              <w:t>7 (14.3%)</w:t>
            </w:r>
          </w:p>
        </w:tc>
        <w:tc>
          <w:tcPr>
            <w:tcW w:w="110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6"/>
              </w:rPr>
              <w:t>1 (2.0%)</w:t>
            </w:r>
          </w:p>
        </w:tc>
        <w:tc>
          <w:tcPr>
            <w:tcW w:w="11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1 (2.0%)</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AST increased</w:t>
            </w:r>
          </w:p>
        </w:tc>
        <w:tc>
          <w:tcPr>
            <w:tcW w:w="2660" w:type="dxa"/>
            <w:vAlign w:val="bottom"/>
            <w:shd w:val="clear" w:color="auto" w:fill="CCEEFF"/>
          </w:tcPr>
          <w:p>
            <w:pPr>
              <w:jc w:val="center"/>
              <w:ind w:left="1212"/>
              <w:spacing w:after="0" w:line="202" w:lineRule="exact"/>
              <w:rPr>
                <w:sz w:val="20"/>
                <w:szCs w:val="20"/>
                <w:color w:val="auto"/>
              </w:rPr>
            </w:pPr>
            <w:r>
              <w:rPr>
                <w:rFonts w:ascii="Arial" w:cs="Arial" w:eastAsia="Arial" w:hAnsi="Arial"/>
                <w:sz w:val="18"/>
                <w:szCs w:val="18"/>
                <w:color w:val="auto"/>
                <w:w w:val="97"/>
              </w:rPr>
              <w:t>8 (16.3%)</w:t>
            </w:r>
          </w:p>
        </w:tc>
        <w:tc>
          <w:tcPr>
            <w:tcW w:w="108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2 (4.1%)</w:t>
            </w:r>
          </w:p>
        </w:tc>
        <w:tc>
          <w:tcPr>
            <w:tcW w:w="11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4 (8.2%)</w:t>
            </w:r>
          </w:p>
        </w:tc>
        <w:tc>
          <w:tcPr>
            <w:tcW w:w="110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6"/>
              </w:rPr>
              <w:t>2 (4.1%)</w:t>
            </w:r>
          </w:p>
        </w:tc>
        <w:tc>
          <w:tcPr>
            <w:tcW w:w="11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9"/>
              </w:rPr>
              <w:t>1 (2.0%)</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1 (2.0%)</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Fatigue</w:t>
            </w:r>
          </w:p>
        </w:tc>
        <w:tc>
          <w:tcPr>
            <w:tcW w:w="2660" w:type="dxa"/>
            <w:vAlign w:val="bottom"/>
          </w:tcPr>
          <w:p>
            <w:pPr>
              <w:jc w:val="center"/>
              <w:ind w:left="1212"/>
              <w:spacing w:after="0" w:line="202" w:lineRule="exact"/>
              <w:rPr>
                <w:sz w:val="20"/>
                <w:szCs w:val="20"/>
                <w:color w:val="auto"/>
              </w:rPr>
            </w:pPr>
            <w:r>
              <w:rPr>
                <w:rFonts w:ascii="Arial" w:cs="Arial" w:eastAsia="Arial" w:hAnsi="Arial"/>
                <w:sz w:val="18"/>
                <w:szCs w:val="18"/>
                <w:color w:val="auto"/>
                <w:w w:val="97"/>
              </w:rPr>
              <w:t>8 (16.3%)</w:t>
            </w:r>
          </w:p>
        </w:tc>
        <w:tc>
          <w:tcPr>
            <w:tcW w:w="10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6"/>
              </w:rPr>
              <w:t>3 (6.1%)</w:t>
            </w:r>
          </w:p>
        </w:tc>
        <w:tc>
          <w:tcPr>
            <w:tcW w:w="11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7"/>
              </w:rPr>
              <w:t>5 (10.2%)</w:t>
            </w:r>
          </w:p>
        </w:tc>
        <w:tc>
          <w:tcPr>
            <w:tcW w:w="11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88"/>
              </w:rPr>
              <w:t>—</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Hypertension</w:t>
            </w:r>
          </w:p>
        </w:tc>
        <w:tc>
          <w:tcPr>
            <w:tcW w:w="2660" w:type="dxa"/>
            <w:vAlign w:val="bottom"/>
            <w:shd w:val="clear" w:color="auto" w:fill="CCEEFF"/>
          </w:tcPr>
          <w:p>
            <w:pPr>
              <w:jc w:val="center"/>
              <w:ind w:left="1212"/>
              <w:spacing w:after="0" w:line="202" w:lineRule="exact"/>
              <w:rPr>
                <w:sz w:val="20"/>
                <w:szCs w:val="20"/>
                <w:color w:val="auto"/>
              </w:rPr>
            </w:pPr>
            <w:r>
              <w:rPr>
                <w:rFonts w:ascii="Arial" w:cs="Arial" w:eastAsia="Arial" w:hAnsi="Arial"/>
                <w:sz w:val="18"/>
                <w:szCs w:val="18"/>
                <w:color w:val="auto"/>
                <w:w w:val="97"/>
              </w:rPr>
              <w:t>7 (14.3%)</w:t>
            </w:r>
          </w:p>
        </w:tc>
        <w:tc>
          <w:tcPr>
            <w:tcW w:w="108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4 (8.2%)</w:t>
            </w:r>
          </w:p>
        </w:tc>
        <w:tc>
          <w:tcPr>
            <w:tcW w:w="11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6"/>
              </w:rPr>
              <w:t>3 (6.1%)</w:t>
            </w:r>
          </w:p>
        </w:tc>
        <w:tc>
          <w:tcPr>
            <w:tcW w:w="11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9"/>
              </w:rPr>
              <w:t>4 (8.2%)</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Nausea</w:t>
            </w:r>
          </w:p>
        </w:tc>
        <w:tc>
          <w:tcPr>
            <w:tcW w:w="2660" w:type="dxa"/>
            <w:vAlign w:val="bottom"/>
          </w:tcPr>
          <w:p>
            <w:pPr>
              <w:jc w:val="center"/>
              <w:ind w:left="1212"/>
              <w:spacing w:after="0" w:line="202" w:lineRule="exact"/>
              <w:rPr>
                <w:sz w:val="20"/>
                <w:szCs w:val="20"/>
                <w:color w:val="auto"/>
              </w:rPr>
            </w:pPr>
            <w:r>
              <w:rPr>
                <w:rFonts w:ascii="Arial" w:cs="Arial" w:eastAsia="Arial" w:hAnsi="Arial"/>
                <w:sz w:val="18"/>
                <w:szCs w:val="18"/>
                <w:color w:val="auto"/>
                <w:w w:val="97"/>
              </w:rPr>
              <w:t>6 (12.2%)</w:t>
            </w:r>
          </w:p>
        </w:tc>
        <w:tc>
          <w:tcPr>
            <w:tcW w:w="10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7"/>
              </w:rPr>
              <w:t>6 (12.2%)</w:t>
            </w:r>
          </w:p>
        </w:tc>
        <w:tc>
          <w:tcPr>
            <w:tcW w:w="110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88"/>
              </w:rPr>
              <w:t>—</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ALT increased</w:t>
            </w:r>
          </w:p>
        </w:tc>
        <w:tc>
          <w:tcPr>
            <w:tcW w:w="2660" w:type="dxa"/>
            <w:vAlign w:val="bottom"/>
            <w:shd w:val="clear" w:color="auto" w:fill="CCEEFF"/>
          </w:tcPr>
          <w:p>
            <w:pPr>
              <w:jc w:val="center"/>
              <w:ind w:left="1212"/>
              <w:spacing w:after="0" w:line="202" w:lineRule="exact"/>
              <w:rPr>
                <w:sz w:val="20"/>
                <w:szCs w:val="20"/>
                <w:color w:val="auto"/>
              </w:rPr>
            </w:pPr>
            <w:r>
              <w:rPr>
                <w:rFonts w:ascii="Arial" w:cs="Arial" w:eastAsia="Arial" w:hAnsi="Arial"/>
                <w:sz w:val="18"/>
                <w:szCs w:val="18"/>
                <w:color w:val="auto"/>
                <w:w w:val="97"/>
              </w:rPr>
              <w:t>5 (10.2%)</w:t>
            </w:r>
          </w:p>
        </w:tc>
        <w:tc>
          <w:tcPr>
            <w:tcW w:w="108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2 (4.1%)</w:t>
            </w:r>
          </w:p>
        </w:tc>
        <w:tc>
          <w:tcPr>
            <w:tcW w:w="11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3 (6.1%)</w:t>
            </w:r>
          </w:p>
        </w:tc>
        <w:tc>
          <w:tcPr>
            <w:tcW w:w="110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9"/>
              </w:rPr>
              <w:t>2 (4.1%)</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15"/>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Dry mouth</w:t>
            </w:r>
          </w:p>
        </w:tc>
        <w:tc>
          <w:tcPr>
            <w:tcW w:w="2660" w:type="dxa"/>
            <w:vAlign w:val="bottom"/>
            <w:tcBorders>
              <w:bottom w:val="single" w:sz="8" w:color="auto"/>
            </w:tcBorders>
          </w:tcPr>
          <w:p>
            <w:pPr>
              <w:jc w:val="center"/>
              <w:ind w:left="1212"/>
              <w:spacing w:after="0"/>
              <w:rPr>
                <w:sz w:val="20"/>
                <w:szCs w:val="20"/>
                <w:color w:val="auto"/>
              </w:rPr>
            </w:pPr>
            <w:r>
              <w:rPr>
                <w:rFonts w:ascii="Arial" w:cs="Arial" w:eastAsia="Arial" w:hAnsi="Arial"/>
                <w:sz w:val="18"/>
                <w:szCs w:val="18"/>
                <w:color w:val="auto"/>
                <w:w w:val="97"/>
              </w:rPr>
              <w:t>5 (10.2%)</w:t>
            </w:r>
          </w:p>
        </w:tc>
        <w:tc>
          <w:tcPr>
            <w:tcW w:w="10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7"/>
              </w:rPr>
              <w:t>5 (10.2%)</w:t>
            </w:r>
          </w:p>
        </w:tc>
        <w:tc>
          <w:tcPr>
            <w:tcW w:w="11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8"/>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spacing w:after="0" w:line="69" w:lineRule="exact"/>
        <w:rPr>
          <w:sz w:val="20"/>
          <w:szCs w:val="20"/>
          <w:color w:val="auto"/>
        </w:rPr>
      </w:pPr>
    </w:p>
    <w:p>
      <w:pPr>
        <w:ind w:left="200" w:right="8740" w:firstLine="4"/>
        <w:spacing w:after="0" w:line="375" w:lineRule="auto"/>
        <w:tabs>
          <w:tab w:leader="none" w:pos="524" w:val="left"/>
        </w:tabs>
        <w:numPr>
          <w:ilvl w:val="0"/>
          <w:numId w:val="81"/>
        </w:numPr>
        <w:rPr>
          <w:rFonts w:ascii="Arial" w:cs="Arial" w:eastAsia="Arial" w:hAnsi="Arial"/>
          <w:sz w:val="12"/>
          <w:szCs w:val="12"/>
          <w:color w:val="auto"/>
        </w:rPr>
      </w:pPr>
      <w:r>
        <w:rPr>
          <w:rFonts w:ascii="Arial" w:cs="Arial" w:eastAsia="Arial" w:hAnsi="Arial"/>
          <w:sz w:val="12"/>
          <w:szCs w:val="12"/>
          <w:color w:val="auto"/>
        </w:rPr>
        <w:t>Includes platelet count decrease. ** Includes hemoglobin decrease.</w:t>
      </w:r>
    </w:p>
    <w:p>
      <w:pPr>
        <w:ind w:left="200"/>
        <w:spacing w:after="0"/>
        <w:rPr>
          <w:rFonts w:ascii="Arial" w:cs="Arial" w:eastAsia="Arial" w:hAnsi="Arial"/>
          <w:sz w:val="12"/>
          <w:szCs w:val="12"/>
          <w:color w:val="auto"/>
        </w:rPr>
      </w:pPr>
      <w:r>
        <w:rPr>
          <w:rFonts w:ascii="Arial" w:cs="Arial" w:eastAsia="Arial" w:hAnsi="Arial"/>
          <w:sz w:val="14"/>
          <w:szCs w:val="14"/>
          <w:color w:val="auto"/>
        </w:rPr>
        <w:t>***  Consists of eyelid edema, face edema, generalized edema, lip edema, edema, edema peripheral, periorbital al edema and peripheral swelling.</w:t>
      </w:r>
    </w:p>
    <w:p>
      <w:pPr>
        <w:spacing w:after="0" w:line="99" w:lineRule="exact"/>
        <w:rPr>
          <w:sz w:val="20"/>
          <w:szCs w:val="20"/>
          <w:color w:val="auto"/>
        </w:rPr>
      </w:pPr>
    </w:p>
    <w:p>
      <w:pPr>
        <w:ind w:left="200" w:right="140"/>
        <w:spacing w:after="0" w:line="273" w:lineRule="auto"/>
        <w:rPr>
          <w:sz w:val="20"/>
          <w:szCs w:val="20"/>
          <w:color w:val="auto"/>
        </w:rPr>
      </w:pPr>
      <w:r>
        <w:rPr>
          <w:rFonts w:ascii="Arial" w:cs="Arial" w:eastAsia="Arial" w:hAnsi="Arial"/>
          <w:sz w:val="16"/>
          <w:szCs w:val="16"/>
          <w:color w:val="auto"/>
        </w:rPr>
        <w:t>Eight patients treated with the daily schedule have experienced toxicities involving the lungs or respiratory system that were attributed in part to RMC-4630 by the treating investigator. These were generally moderate or mild. Two additional cases of grade 4 respiratory failure are discussed in more detail below in the description of SAEs. No data has been reported suggesting that systemic activation of the immune system is associated with toxicity in subjects treated with RMC-4630. There have been no reports of pneumonitis. Related adverse events involving other important organs such as the heart, brain and kidneys have been uncommon and generally mild to moderate in severity.</w:t>
      </w:r>
    </w:p>
    <w:p>
      <w:pPr>
        <w:spacing w:after="0" w:line="75" w:lineRule="exact"/>
        <w:rPr>
          <w:sz w:val="20"/>
          <w:szCs w:val="20"/>
          <w:color w:val="auto"/>
        </w:rPr>
      </w:pPr>
    </w:p>
    <w:p>
      <w:pPr>
        <w:ind w:left="200" w:right="120"/>
        <w:spacing w:after="0" w:line="235" w:lineRule="auto"/>
        <w:rPr>
          <w:sz w:val="20"/>
          <w:szCs w:val="20"/>
          <w:color w:val="auto"/>
        </w:rPr>
      </w:pPr>
      <w:r>
        <w:rPr>
          <w:rFonts w:ascii="Arial" w:cs="Arial" w:eastAsia="Arial" w:hAnsi="Arial"/>
          <w:sz w:val="18"/>
          <w:szCs w:val="18"/>
          <w:color w:val="auto"/>
        </w:rPr>
        <w:t>There have been three SAEs thought to be possibly or probably related to the study drug as assessed by the trial sponsor (Table 7). Three additional SAEs were reported in which the investigator was unable to rule out an association with the study drug, but where the evidence for causality by RMC-4630 was absent or considered unlikely by the study sponsor. One patient with extensive metastases of tumor in the lungs developed grade 4 respiratory failure and was hospitalized and treated with oxygen. The SAE was ongoing when the patient was withdrawn from the study. A second patient with fever and radiologic evidence of infectious pneumonia developed grade 4 respiratory failure and was treated with oxygen, systemic antibiotics and corticosteroids. The SAE was ongoing when the patient died due to progression of underlying cancer. A third patient developed a single reading of grade 3 prolongation of QTc. This patient had been receiving 60 mg daily of RMC-4630 but had not received any dose for three days at the time of the reading. The patient had a previous history of prolonged QTc, underlying systemic lupus, and was taking ondansetron. QTc was prolonged (grade 1) at baseline. Five hours after the prolonged QTc reading, the patient had two follow-up ECGs that showed normal QTc interval.</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7</w:t>
      </w:r>
      <w:r>
        <w:rPr>
          <w:rFonts w:ascii="Arial" w:cs="Arial" w:eastAsia="Arial" w:hAnsi="Arial"/>
          <w:sz w:val="18"/>
          <w:szCs w:val="18"/>
          <w:color w:val="auto"/>
        </w:rPr>
        <w:t>: Related SAEs—daily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280" w:type="dxa"/>
            <w:vAlign w:val="bottom"/>
          </w:tcPr>
          <w:p>
            <w:pPr>
              <w:jc w:val="center"/>
              <w:ind w:left="2292"/>
              <w:spacing w:after="0"/>
              <w:rPr>
                <w:sz w:val="20"/>
                <w:szCs w:val="20"/>
                <w:color w:val="auto"/>
              </w:rPr>
            </w:pPr>
            <w:r>
              <w:rPr>
                <w:rFonts w:ascii="Arial" w:cs="Arial" w:eastAsia="Arial" w:hAnsi="Arial"/>
                <w:sz w:val="18"/>
                <w:szCs w:val="18"/>
                <w:b w:val="1"/>
                <w:bCs w:val="1"/>
                <w:color w:val="auto"/>
                <w:w w:val="96"/>
              </w:rPr>
              <w:t>Number</w:t>
            </w: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1"/>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Preferred term</w:t>
            </w:r>
          </w:p>
        </w:tc>
        <w:tc>
          <w:tcPr>
            <w:tcW w:w="32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620"/>
              <w:spacing w:after="0"/>
              <w:rPr>
                <w:sz w:val="20"/>
                <w:szCs w:val="20"/>
                <w:color w:val="auto"/>
              </w:rPr>
            </w:pPr>
            <w:r>
              <w:rPr>
                <w:rFonts w:ascii="Arial" w:cs="Arial" w:eastAsia="Arial" w:hAnsi="Arial"/>
                <w:sz w:val="18"/>
                <w:szCs w:val="18"/>
                <w:b w:val="1"/>
                <w:bCs w:val="1"/>
                <w:color w:val="auto"/>
              </w:rPr>
              <w:t>Dose</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6"/>
              </w:rPr>
              <w:t>Grade</w:t>
            </w: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w w:val="97"/>
              </w:rPr>
              <w:t>Outcome</w:t>
            </w:r>
          </w:p>
        </w:tc>
      </w:tr>
      <w:tr>
        <w:trPr>
          <w:trHeight w:val="196"/>
        </w:trPr>
        <w:tc>
          <w:tcPr>
            <w:tcW w:w="20" w:type="dxa"/>
            <w:vAlign w:val="bottom"/>
          </w:tcPr>
          <w:p>
            <w:pPr>
              <w:spacing w:after="0"/>
              <w:rPr>
                <w:sz w:val="17"/>
                <w:szCs w:val="17"/>
                <w:color w:val="auto"/>
              </w:rPr>
            </w:pPr>
          </w:p>
        </w:tc>
        <w:tc>
          <w:tcPr>
            <w:tcW w:w="4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Dehydration</w:t>
            </w:r>
          </w:p>
        </w:tc>
        <w:tc>
          <w:tcPr>
            <w:tcW w:w="3280" w:type="dxa"/>
            <w:vAlign w:val="bottom"/>
            <w:tcBorders>
              <w:top w:val="single" w:sz="8" w:color="auto"/>
            </w:tcBorders>
            <w:shd w:val="clear" w:color="auto" w:fill="CCEEFF"/>
          </w:tcPr>
          <w:p>
            <w:pPr>
              <w:jc w:val="center"/>
              <w:ind w:left="2252"/>
              <w:spacing w:after="0" w:line="196" w:lineRule="exact"/>
              <w:rPr>
                <w:sz w:val="20"/>
                <w:szCs w:val="20"/>
                <w:color w:val="auto"/>
              </w:rPr>
            </w:pPr>
            <w:r>
              <w:rPr>
                <w:rFonts w:ascii="Arial" w:cs="Arial" w:eastAsia="Arial" w:hAnsi="Arial"/>
                <w:sz w:val="18"/>
                <w:szCs w:val="18"/>
                <w:color w:val="auto"/>
                <w:w w:val="94"/>
              </w:rPr>
              <w:t>1 (2%)</w:t>
            </w:r>
          </w:p>
        </w:tc>
        <w:tc>
          <w:tcPr>
            <w:tcW w:w="1160" w:type="dxa"/>
            <w:vAlign w:val="bottom"/>
            <w:tcBorders>
              <w:top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60 mg daily</w:t>
            </w:r>
          </w:p>
        </w:tc>
        <w:tc>
          <w:tcPr>
            <w:tcW w:w="7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c>
          <w:tcPr>
            <w:tcW w:w="920" w:type="dxa"/>
            <w:vAlign w:val="bottom"/>
            <w:tcBorders>
              <w:top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Resolved</w:t>
            </w: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Anasarca (generalized edema)</w:t>
            </w:r>
          </w:p>
        </w:tc>
        <w:tc>
          <w:tcPr>
            <w:tcW w:w="3280" w:type="dxa"/>
            <w:vAlign w:val="bottom"/>
          </w:tcPr>
          <w:p>
            <w:pPr>
              <w:jc w:val="center"/>
              <w:ind w:left="2252"/>
              <w:spacing w:after="0" w:line="202" w:lineRule="exact"/>
              <w:rPr>
                <w:sz w:val="20"/>
                <w:szCs w:val="20"/>
                <w:color w:val="auto"/>
              </w:rPr>
            </w:pPr>
            <w:r>
              <w:rPr>
                <w:rFonts w:ascii="Arial" w:cs="Arial" w:eastAsia="Arial" w:hAnsi="Arial"/>
                <w:sz w:val="18"/>
                <w:szCs w:val="18"/>
                <w:color w:val="auto"/>
                <w:w w:val="94"/>
              </w:rPr>
              <w:t>1 (2%)</w:t>
            </w:r>
          </w:p>
        </w:tc>
        <w:tc>
          <w:tcPr>
            <w:tcW w:w="1160" w:type="dxa"/>
            <w:vAlign w:val="bottom"/>
          </w:tcPr>
          <w:p>
            <w:pPr>
              <w:ind w:left="120"/>
              <w:spacing w:after="0" w:line="202" w:lineRule="exact"/>
              <w:rPr>
                <w:sz w:val="20"/>
                <w:szCs w:val="20"/>
                <w:color w:val="auto"/>
              </w:rPr>
            </w:pPr>
            <w:r>
              <w:rPr>
                <w:rFonts w:ascii="Arial" w:cs="Arial" w:eastAsia="Arial" w:hAnsi="Arial"/>
                <w:sz w:val="18"/>
                <w:szCs w:val="18"/>
                <w:color w:val="auto"/>
              </w:rPr>
              <w:t>80 mg daily</w:t>
            </w:r>
          </w:p>
        </w:tc>
        <w:tc>
          <w:tcPr>
            <w:tcW w:w="76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c>
          <w:tcPr>
            <w:tcW w:w="920" w:type="dxa"/>
            <w:vAlign w:val="bottom"/>
          </w:tcPr>
          <w:p>
            <w:pPr>
              <w:ind w:left="140"/>
              <w:spacing w:after="0" w:line="202" w:lineRule="exact"/>
              <w:rPr>
                <w:sz w:val="20"/>
                <w:szCs w:val="20"/>
                <w:color w:val="auto"/>
              </w:rPr>
            </w:pPr>
            <w:r>
              <w:rPr>
                <w:rFonts w:ascii="Arial" w:cs="Arial" w:eastAsia="Arial" w:hAnsi="Arial"/>
                <w:sz w:val="18"/>
                <w:szCs w:val="18"/>
                <w:color w:val="auto"/>
              </w:rPr>
              <w:t>Resolved</w:t>
            </w: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Thrombocytopenia</w:t>
            </w:r>
          </w:p>
        </w:tc>
        <w:tc>
          <w:tcPr>
            <w:tcW w:w="3280" w:type="dxa"/>
            <w:vAlign w:val="bottom"/>
            <w:shd w:val="clear" w:color="auto" w:fill="CCEEFF"/>
          </w:tcPr>
          <w:p>
            <w:pPr>
              <w:jc w:val="center"/>
              <w:ind w:left="2252"/>
              <w:spacing w:after="0" w:line="202" w:lineRule="exact"/>
              <w:rPr>
                <w:sz w:val="20"/>
                <w:szCs w:val="20"/>
                <w:color w:val="auto"/>
              </w:rPr>
            </w:pPr>
            <w:r>
              <w:rPr>
                <w:rFonts w:ascii="Arial" w:cs="Arial" w:eastAsia="Arial" w:hAnsi="Arial"/>
                <w:sz w:val="18"/>
                <w:szCs w:val="18"/>
                <w:color w:val="auto"/>
                <w:w w:val="94"/>
              </w:rPr>
              <w:t>1 (2%)</w:t>
            </w:r>
          </w:p>
        </w:tc>
        <w:tc>
          <w:tcPr>
            <w:tcW w:w="1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80 mg daily</w:t>
            </w:r>
          </w:p>
        </w:tc>
        <w:tc>
          <w:tcPr>
            <w:tcW w:w="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w:t>
            </w:r>
          </w:p>
        </w:tc>
        <w:tc>
          <w:tcPr>
            <w:tcW w:w="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Unknown</w:t>
            </w: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8</w:t>
      </w:r>
      <w:r>
        <w:rPr>
          <w:rFonts w:ascii="Arial" w:cs="Arial" w:eastAsia="Arial" w:hAnsi="Arial"/>
          <w:sz w:val="18"/>
          <w:szCs w:val="18"/>
          <w:color w:val="auto"/>
        </w:rPr>
        <w:t>: Early data suggest intermittent schedule may be better tolerated than daily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Related AEs</w:t>
            </w:r>
          </w:p>
        </w:tc>
        <w:tc>
          <w:tcPr>
            <w:tcW w:w="1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Related AEs</w:t>
            </w:r>
          </w:p>
        </w:tc>
      </w:tr>
      <w:tr>
        <w:trPr>
          <w:trHeight w:val="221"/>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daily (N=49)</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intermittent (N=14)</w:t>
            </w:r>
          </w:p>
        </w:tc>
      </w:tr>
      <w:tr>
        <w:trPr>
          <w:trHeight w:val="177"/>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3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Any</w:t>
            </w:r>
          </w:p>
        </w:tc>
        <w:tc>
          <w:tcPr>
            <w:tcW w:w="11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Grade</w:t>
            </w:r>
          </w:p>
        </w:tc>
        <w:tc>
          <w:tcPr>
            <w:tcW w:w="100" w:type="dxa"/>
            <w:vAlign w:val="bottom"/>
          </w:tcPr>
          <w:p>
            <w:pPr>
              <w:spacing w:after="0"/>
              <w:rPr>
                <w:sz w:val="15"/>
                <w:szCs w:val="15"/>
                <w:color w:val="auto"/>
              </w:rPr>
            </w:pPr>
          </w:p>
        </w:tc>
        <w:tc>
          <w:tcPr>
            <w:tcW w:w="1200" w:type="dxa"/>
            <w:vAlign w:val="bottom"/>
            <w:tcBorders>
              <w:top w:val="single" w:sz="8" w:color="auto"/>
            </w:tcBorders>
          </w:tcPr>
          <w:p>
            <w:pPr>
              <w:jc w:val="right"/>
              <w:ind w:right="12"/>
              <w:spacing w:after="0" w:line="177" w:lineRule="exact"/>
              <w:rPr>
                <w:sz w:val="20"/>
                <w:szCs w:val="20"/>
                <w:color w:val="auto"/>
              </w:rPr>
            </w:pPr>
            <w:r>
              <w:rPr>
                <w:rFonts w:ascii="Arial" w:cs="Arial" w:eastAsia="Arial" w:hAnsi="Arial"/>
                <w:sz w:val="18"/>
                <w:szCs w:val="18"/>
                <w:b w:val="1"/>
                <w:bCs w:val="1"/>
                <w:color w:val="auto"/>
              </w:rPr>
              <w:t>Any</w:t>
            </w:r>
          </w:p>
        </w:tc>
        <w:tc>
          <w:tcPr>
            <w:tcW w:w="11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Grade</w:t>
            </w:r>
          </w:p>
        </w:tc>
      </w:tr>
      <w:tr>
        <w:trPr>
          <w:trHeight w:val="235"/>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Related adverse events occurring in ³10% of patients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grade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³3</w:t>
            </w:r>
          </w:p>
        </w:tc>
        <w:tc>
          <w:tcPr>
            <w:tcW w:w="1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grade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³ 3</w:t>
            </w:r>
          </w:p>
        </w:tc>
      </w:tr>
      <w:tr>
        <w:trPr>
          <w:trHeight w:val="196"/>
        </w:trPr>
        <w:tc>
          <w:tcPr>
            <w:tcW w:w="20" w:type="dxa"/>
            <w:vAlign w:val="bottom"/>
          </w:tcPr>
          <w:p>
            <w:pPr>
              <w:spacing w:after="0"/>
              <w:rPr>
                <w:sz w:val="17"/>
                <w:szCs w:val="17"/>
                <w:color w:val="auto"/>
              </w:rPr>
            </w:pPr>
          </w:p>
        </w:tc>
        <w:tc>
          <w:tcPr>
            <w:tcW w:w="6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Thrombocytopenia*</w:t>
            </w:r>
          </w:p>
        </w:tc>
        <w:tc>
          <w:tcPr>
            <w:tcW w:w="1320" w:type="dxa"/>
            <w:vAlign w:val="bottom"/>
            <w:tcBorders>
              <w:top w:val="single" w:sz="8" w:color="auto"/>
            </w:tcBorders>
            <w:shd w:val="clear" w:color="auto" w:fill="CCEEFF"/>
          </w:tcPr>
          <w:p>
            <w:pPr>
              <w:jc w:val="center"/>
              <w:ind w:right="12"/>
              <w:spacing w:after="0" w:line="196" w:lineRule="exact"/>
              <w:rPr>
                <w:sz w:val="20"/>
                <w:szCs w:val="20"/>
                <w:color w:val="auto"/>
              </w:rPr>
            </w:pPr>
            <w:r>
              <w:rPr>
                <w:rFonts w:ascii="Arial" w:cs="Arial" w:eastAsia="Arial" w:hAnsi="Arial"/>
                <w:sz w:val="18"/>
                <w:szCs w:val="18"/>
                <w:color w:val="auto"/>
                <w:w w:val="97"/>
              </w:rPr>
              <w:t>14 (28.6%)</w:t>
            </w: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7 (14.3%)</w:t>
            </w: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5 (35.7%)</w:t>
            </w:r>
          </w:p>
        </w:tc>
        <w:tc>
          <w:tcPr>
            <w:tcW w:w="11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Diarrhea</w:t>
            </w:r>
          </w:p>
        </w:tc>
        <w:tc>
          <w:tcPr>
            <w:tcW w:w="13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7"/>
              </w:rPr>
              <w:t>12 (24.5%)</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1 (2.0%)</w:t>
            </w:r>
          </w:p>
        </w:tc>
        <w:tc>
          <w:tcPr>
            <w:tcW w:w="1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3 (21.4%)</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Anemia**</w:t>
            </w:r>
          </w:p>
        </w:tc>
        <w:tc>
          <w:tcPr>
            <w:tcW w:w="13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7"/>
              </w:rPr>
              <w:t>11 (22.4%)</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6 (12.2%)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5 (35.7%)</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 (14.3%)</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Edema***</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9 (18.4%)</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1 (2.0%)</w:t>
            </w:r>
          </w:p>
        </w:tc>
        <w:tc>
          <w:tcPr>
            <w:tcW w:w="1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4 (28.6%)</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Aspartate aminotransferase increased</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8 (16.3%)</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2 (4.1%)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1 (7.1%)</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Fatigue</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8 (16.3%)</w:t>
            </w:r>
          </w:p>
        </w:tc>
        <w:tc>
          <w:tcPr>
            <w:tcW w:w="122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5 (35.7%)</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6"/>
              </w:rPr>
              <w:t>1 (7.1%)</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Hypertension</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7 (14.3%)</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4 (8.2%)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1 (7.1%)</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Nausea</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6 (12.2%)</w:t>
            </w:r>
          </w:p>
        </w:tc>
        <w:tc>
          <w:tcPr>
            <w:tcW w:w="122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6"/>
              </w:rPr>
              <w:t>1 (7.1%)</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ALT increased</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5 (10.2%)</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2 (4.1%)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1 (7.1%)</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Dry mouth</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5 (10.2%)</w:t>
            </w:r>
          </w:p>
        </w:tc>
        <w:tc>
          <w:tcPr>
            <w:tcW w:w="122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2 (14.3%)</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Abdominal distention</w:t>
            </w:r>
          </w:p>
        </w:tc>
        <w:tc>
          <w:tcPr>
            <w:tcW w:w="13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1 (2.0%)</w:t>
            </w:r>
          </w:p>
        </w:tc>
        <w:tc>
          <w:tcPr>
            <w:tcW w:w="122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 (14.3%)</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1 (7.1%)</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Blood creatine phosphokinase increased</w:t>
            </w:r>
          </w:p>
        </w:tc>
        <w:tc>
          <w:tcPr>
            <w:tcW w:w="13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6"/>
              </w:rPr>
              <w:t>1 (2.0%)</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1 (2.0%)</w:t>
            </w:r>
          </w:p>
        </w:tc>
        <w:tc>
          <w:tcPr>
            <w:tcW w:w="1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2 (14.3%)</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Neutropenia</w:t>
            </w:r>
          </w:p>
        </w:tc>
        <w:tc>
          <w:tcPr>
            <w:tcW w:w="13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1 (2.0%)</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1 (2.0%)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 (14.3%)</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spacing w:after="0" w:line="69" w:lineRule="exact"/>
        <w:rPr>
          <w:sz w:val="20"/>
          <w:szCs w:val="20"/>
          <w:color w:val="auto"/>
        </w:rPr>
      </w:pPr>
    </w:p>
    <w:p>
      <w:pPr>
        <w:ind w:left="200" w:right="8740" w:firstLine="4"/>
        <w:spacing w:after="0" w:line="375" w:lineRule="auto"/>
        <w:tabs>
          <w:tab w:leader="none" w:pos="524"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Includes platelet count decrease. ** Includes hemoglobin decrease.</w:t>
      </w:r>
    </w:p>
    <w:p>
      <w:pPr>
        <w:ind w:left="200"/>
        <w:spacing w:after="0"/>
        <w:rPr>
          <w:rFonts w:ascii="Arial" w:cs="Arial" w:eastAsia="Arial" w:hAnsi="Arial"/>
          <w:sz w:val="12"/>
          <w:szCs w:val="12"/>
          <w:color w:val="auto"/>
        </w:rPr>
      </w:pPr>
      <w:r>
        <w:rPr>
          <w:rFonts w:ascii="Arial" w:cs="Arial" w:eastAsia="Arial" w:hAnsi="Arial"/>
          <w:sz w:val="14"/>
          <w:szCs w:val="14"/>
          <w:color w:val="auto"/>
        </w:rPr>
        <w:t>***  Consists of eyelid edema, face edema, generalized edema, lip edema, edema, edema peripheral periorbital edema, and peripheral swelling.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Pharmacokinetics—daily dosing schedule</w:t>
      </w:r>
    </w:p>
    <w:p>
      <w:pPr>
        <w:spacing w:after="0" w:line="122" w:lineRule="exact"/>
        <w:rPr>
          <w:sz w:val="20"/>
          <w:szCs w:val="20"/>
          <w:color w:val="auto"/>
        </w:rPr>
      </w:pPr>
    </w:p>
    <w:p>
      <w:pPr>
        <w:ind w:left="200" w:right="20"/>
        <w:spacing w:after="0" w:line="237" w:lineRule="auto"/>
        <w:rPr>
          <w:sz w:val="20"/>
          <w:szCs w:val="20"/>
          <w:color w:val="auto"/>
        </w:rPr>
      </w:pPr>
      <w:r>
        <w:rPr>
          <w:rFonts w:ascii="Arial" w:cs="Arial" w:eastAsia="Arial" w:hAnsi="Arial"/>
          <w:sz w:val="17"/>
          <w:szCs w:val="17"/>
          <w:color w:val="auto"/>
        </w:rPr>
        <w:t xml:space="preserve">With daily dosing, plasma concentrations of RMC-4630 reached a steady state by day 22 (Table 9 and Figure 10). Plasma concentrations of RMC-4630 in the blood at all daily dose levels were consistently higher than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EC</w:t>
      </w:r>
      <w:r>
        <w:rPr>
          <w:rFonts w:ascii="Arial" w:cs="Arial" w:eastAsia="Arial" w:hAnsi="Arial"/>
          <w:sz w:val="21"/>
          <w:szCs w:val="21"/>
          <w:color w:val="auto"/>
          <w:vertAlign w:val="subscript"/>
        </w:rPr>
        <w:t>50</w:t>
      </w:r>
      <w:r>
        <w:rPr>
          <w:rFonts w:ascii="Arial" w:cs="Arial" w:eastAsia="Arial" w:hAnsi="Arial"/>
          <w:sz w:val="17"/>
          <w:szCs w:val="17"/>
          <w:color w:val="auto"/>
        </w:rPr>
        <w:t xml:space="preserve"> for pERK in tumor models. Exposure increased approximately proportionally with increasing dose. The total exposure to RMC-4630 over a 24-hour period at 60 mg daily was 14.6 uM.hr. This is more than twice the exposure that has been required to see anti-tumor effects, particularly tumor stasis, in animal models (6.44 uM.hr).</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Table 9: </w:t>
      </w:r>
      <w:r>
        <w:rPr>
          <w:rFonts w:ascii="Arial" w:cs="Arial" w:eastAsia="Arial" w:hAnsi="Arial"/>
          <w:sz w:val="18"/>
          <w:szCs w:val="18"/>
          <w:color w:val="auto"/>
        </w:rPr>
        <w:t>Pharmacokinetics—daily schedule in RMC-4630-01 study.</w:t>
      </w:r>
    </w:p>
    <w:p>
      <w:pPr>
        <w:spacing w:after="0" w:line="116"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3420" w:type="dxa"/>
            <w:vAlign w:val="bottom"/>
            <w:tcBorders>
              <w:top w:val="single" w:sz="8" w:color="auto"/>
              <w:left w:val="single" w:sz="8" w:color="auto"/>
              <w:right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480" w:type="dxa"/>
            <w:vAlign w:val="bottom"/>
            <w:tcBorders>
              <w:top w:val="single" w:sz="8" w:color="auto"/>
              <w:right w:val="single" w:sz="8" w:color="auto"/>
            </w:tcBorders>
          </w:tcPr>
          <w:p>
            <w:pPr>
              <w:spacing w:after="0"/>
              <w:rPr>
                <w:sz w:val="17"/>
                <w:szCs w:val="17"/>
                <w:color w:val="auto"/>
              </w:rPr>
            </w:pPr>
          </w:p>
        </w:tc>
        <w:tc>
          <w:tcPr>
            <w:tcW w:w="360" w:type="dxa"/>
            <w:vAlign w:val="bottom"/>
            <w:tcBorders>
              <w:top w:val="single" w:sz="8" w:color="auto"/>
              <w:right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420" w:type="dxa"/>
            <w:vAlign w:val="bottom"/>
            <w:tcBorders>
              <w:top w:val="single" w:sz="8" w:color="auto"/>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6"/>
              </w:rPr>
              <w:t>PK parameters [Mean(CV%)]</w:t>
            </w:r>
          </w:p>
        </w:tc>
        <w:tc>
          <w:tcPr>
            <w:tcW w:w="6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342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N(Cmax/</w:t>
            </w:r>
          </w:p>
        </w:tc>
        <w:tc>
          <w:tcPr>
            <w:tcW w:w="8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9"/>
              </w:rPr>
              <w:t>Median</w:t>
            </w:r>
          </w:p>
        </w:tc>
        <w:tc>
          <w:tcPr>
            <w:tcW w:w="6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Mean</w:t>
            </w:r>
          </w:p>
        </w:tc>
        <w:tc>
          <w:tcPr>
            <w:tcW w:w="6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9"/>
              </w:rPr>
              <w:t>Median</w:t>
            </w: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4"/>
                <w:szCs w:val="14"/>
                <w:b w:val="1"/>
                <w:bCs w:val="1"/>
                <w:color w:val="auto"/>
                <w:w w:val="97"/>
              </w:rPr>
              <w:t>Study</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Schedule</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Dose</w:t>
            </w:r>
          </w:p>
        </w:tc>
        <w:tc>
          <w:tcPr>
            <w:tcW w:w="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Cycle</w:t>
            </w: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w w:val="93"/>
              </w:rPr>
              <w:t>Day</w:t>
            </w:r>
          </w:p>
        </w:tc>
        <w:tc>
          <w:tcPr>
            <w:tcW w:w="68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vertAlign w:val="superscript"/>
              </w:rPr>
              <w:t>C</w:t>
            </w:r>
            <w:r>
              <w:rPr>
                <w:rFonts w:ascii="Arial" w:cs="Arial" w:eastAsia="Arial" w:hAnsi="Arial"/>
                <w:sz w:val="10"/>
                <w:szCs w:val="10"/>
                <w:b w:val="1"/>
                <w:bCs w:val="1"/>
                <w:color w:val="auto"/>
              </w:rPr>
              <w:t>max</w:t>
            </w:r>
          </w:p>
        </w:tc>
        <w:tc>
          <w:tcPr>
            <w:tcW w:w="72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vertAlign w:val="superscript"/>
              </w:rPr>
              <w:t>T</w:t>
            </w:r>
            <w:r>
              <w:rPr>
                <w:rFonts w:ascii="Arial" w:cs="Arial" w:eastAsia="Arial" w:hAnsi="Arial"/>
                <w:sz w:val="10"/>
                <w:szCs w:val="10"/>
                <w:b w:val="1"/>
                <w:bCs w:val="1"/>
                <w:color w:val="auto"/>
              </w:rPr>
              <w:t>max</w:t>
            </w:r>
          </w:p>
        </w:tc>
        <w:tc>
          <w:tcPr>
            <w:tcW w:w="66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w w:val="99"/>
                <w:vertAlign w:val="superscript"/>
              </w:rPr>
              <w:t>AUC</w:t>
            </w:r>
            <w:r>
              <w:rPr>
                <w:rFonts w:ascii="Arial" w:cs="Arial" w:eastAsia="Arial" w:hAnsi="Arial"/>
                <w:sz w:val="10"/>
                <w:szCs w:val="10"/>
                <w:b w:val="1"/>
                <w:bCs w:val="1"/>
                <w:color w:val="auto"/>
                <w:w w:val="99"/>
              </w:rPr>
              <w:t xml:space="preserve"> 0-24</w:t>
            </w:r>
          </w:p>
        </w:tc>
        <w:tc>
          <w:tcPr>
            <w:tcW w:w="104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w w:val="96"/>
                <w:vertAlign w:val="superscript"/>
              </w:rPr>
              <w:t>AUC</w:t>
            </w:r>
            <w:r>
              <w:rPr>
                <w:rFonts w:ascii="Arial" w:cs="Arial" w:eastAsia="Arial" w:hAnsi="Arial"/>
                <w:sz w:val="10"/>
                <w:szCs w:val="10"/>
                <w:b w:val="1"/>
                <w:bCs w:val="1"/>
                <w:color w:val="auto"/>
                <w:w w:val="96"/>
              </w:rPr>
              <w:t xml:space="preserve"> 0-72</w:t>
            </w:r>
          </w:p>
        </w:tc>
        <w:tc>
          <w:tcPr>
            <w:tcW w:w="74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vertAlign w:val="superscript"/>
              </w:rPr>
              <w:t>t</w:t>
            </w:r>
            <w:r>
              <w:rPr>
                <w:rFonts w:ascii="Arial" w:cs="Arial" w:eastAsia="Arial" w:hAnsi="Arial"/>
                <w:sz w:val="10"/>
                <w:szCs w:val="10"/>
                <w:b w:val="1"/>
                <w:bCs w:val="1"/>
                <w:color w:val="auto"/>
              </w:rPr>
              <w:t>1/2</w:t>
            </w:r>
          </w:p>
        </w:tc>
        <w:tc>
          <w:tcPr>
            <w:tcW w:w="0" w:type="dxa"/>
            <w:vAlign w:val="bottom"/>
          </w:tcPr>
          <w:p>
            <w:pPr>
              <w:spacing w:after="0"/>
              <w:rPr>
                <w:sz w:val="1"/>
                <w:szCs w:val="1"/>
                <w:color w:val="auto"/>
              </w:rPr>
            </w:pPr>
          </w:p>
        </w:tc>
      </w:tr>
      <w:tr>
        <w:trPr>
          <w:trHeight w:val="138"/>
        </w:trPr>
        <w:tc>
          <w:tcPr>
            <w:tcW w:w="3420" w:type="dxa"/>
            <w:vAlign w:val="bottom"/>
            <w:tcBorders>
              <w:left w:val="single" w:sz="8" w:color="auto"/>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480" w:type="dxa"/>
            <w:vAlign w:val="bottom"/>
            <w:tcBorders>
              <w:right w:val="single" w:sz="8" w:color="auto"/>
            </w:tcBorders>
            <w:vMerge w:val="continue"/>
          </w:tcPr>
          <w:p>
            <w:pPr>
              <w:spacing w:after="0"/>
              <w:rPr>
                <w:sz w:val="12"/>
                <w:szCs w:val="12"/>
                <w:color w:val="auto"/>
              </w:rPr>
            </w:pPr>
          </w:p>
        </w:tc>
        <w:tc>
          <w:tcPr>
            <w:tcW w:w="36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7"/>
              </w:rPr>
              <w:t>AUC)</w:t>
            </w:r>
          </w:p>
        </w:tc>
        <w:tc>
          <w:tcPr>
            <w:tcW w:w="8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accumulation</w:t>
            </w:r>
          </w:p>
        </w:tc>
        <w:tc>
          <w:tcPr>
            <w:tcW w:w="6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420" w:type="dxa"/>
            <w:vAlign w:val="bottom"/>
            <w:tcBorders>
              <w:left w:val="single" w:sz="8" w:color="auto"/>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(range)</w:t>
            </w:r>
          </w:p>
        </w:tc>
        <w:tc>
          <w:tcPr>
            <w:tcW w:w="660" w:type="dxa"/>
            <w:vAlign w:val="bottom"/>
            <w:tcBorders>
              <w:bottom w:val="single" w:sz="8" w:color="auto"/>
              <w:right w:val="single" w:sz="8" w:color="auto"/>
            </w:tcBorders>
          </w:tcPr>
          <w:p>
            <w:pPr>
              <w:spacing w:after="0"/>
              <w:rPr>
                <w:sz w:val="9"/>
                <w:szCs w:val="9"/>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(AUC ratio)</w:t>
            </w:r>
          </w:p>
        </w:tc>
        <w:tc>
          <w:tcPr>
            <w:tcW w:w="68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(range)</w:t>
            </w:r>
          </w:p>
        </w:tc>
        <w:tc>
          <w:tcPr>
            <w:tcW w:w="0" w:type="dxa"/>
            <w:vAlign w:val="bottom"/>
          </w:tcPr>
          <w:p>
            <w:pPr>
              <w:spacing w:after="0"/>
              <w:rPr>
                <w:sz w:val="1"/>
                <w:szCs w:val="1"/>
                <w:color w:val="auto"/>
              </w:rPr>
            </w:pPr>
          </w:p>
        </w:tc>
      </w:tr>
      <w:tr>
        <w:trPr>
          <w:trHeight w:val="61"/>
        </w:trPr>
        <w:tc>
          <w:tcPr>
            <w:tcW w:w="342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µM</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w w:val="92"/>
              </w:rPr>
              <w:t>h</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w w:val="94"/>
              </w:rPr>
              <w:t>µM*h</w:t>
            </w:r>
          </w:p>
        </w:tc>
        <w:tc>
          <w:tcPr>
            <w:tcW w:w="104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w w:val="94"/>
              </w:rPr>
              <w:t>µM*h</w:t>
            </w:r>
          </w:p>
        </w:tc>
        <w:tc>
          <w:tcPr>
            <w:tcW w:w="7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w w:val="92"/>
              </w:rPr>
              <w:t>h</w:t>
            </w:r>
          </w:p>
        </w:tc>
        <w:tc>
          <w:tcPr>
            <w:tcW w:w="0" w:type="dxa"/>
            <w:vAlign w:val="bottom"/>
          </w:tcPr>
          <w:p>
            <w:pPr>
              <w:spacing w:after="0"/>
              <w:rPr>
                <w:sz w:val="1"/>
                <w:szCs w:val="1"/>
                <w:color w:val="auto"/>
              </w:rPr>
            </w:pPr>
          </w:p>
        </w:tc>
      </w:tr>
      <w:tr>
        <w:trPr>
          <w:trHeight w:val="82"/>
        </w:trPr>
        <w:tc>
          <w:tcPr>
            <w:tcW w:w="3420" w:type="dxa"/>
            <w:vAlign w:val="bottom"/>
            <w:tcBorders>
              <w:left w:val="single" w:sz="8" w:color="auto"/>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vMerge w:val="continue"/>
          </w:tcPr>
          <w:p>
            <w:pPr>
              <w:spacing w:after="0"/>
              <w:rPr>
                <w:sz w:val="7"/>
                <w:szCs w:val="7"/>
                <w:color w:val="auto"/>
              </w:rPr>
            </w:pPr>
          </w:p>
        </w:tc>
        <w:tc>
          <w:tcPr>
            <w:tcW w:w="720" w:type="dxa"/>
            <w:vAlign w:val="bottom"/>
            <w:tcBorders>
              <w:bottom w:val="single" w:sz="8" w:color="auto"/>
              <w:right w:val="single" w:sz="8" w:color="auto"/>
            </w:tcBorders>
            <w:vMerge w:val="continue"/>
          </w:tcPr>
          <w:p>
            <w:pPr>
              <w:spacing w:after="0"/>
              <w:rPr>
                <w:sz w:val="7"/>
                <w:szCs w:val="7"/>
                <w:color w:val="auto"/>
              </w:rPr>
            </w:pPr>
          </w:p>
        </w:tc>
        <w:tc>
          <w:tcPr>
            <w:tcW w:w="660" w:type="dxa"/>
            <w:vAlign w:val="bottom"/>
            <w:tcBorders>
              <w:bottom w:val="single" w:sz="8" w:color="auto"/>
              <w:right w:val="single" w:sz="8" w:color="auto"/>
            </w:tcBorders>
            <w:vMerge w:val="continue"/>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42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4"/>
                <w:szCs w:val="14"/>
                <w:color w:val="auto"/>
                <w:w w:val="96"/>
              </w:rPr>
              <w:t>Mouse efficacy</w:t>
            </w: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10 mg/kg</w:t>
            </w:r>
          </w:p>
        </w:tc>
        <w:tc>
          <w:tcPr>
            <w:tcW w:w="48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5"/>
              </w:rPr>
              <w:t>0.98</w:t>
            </w:r>
          </w:p>
        </w:tc>
        <w:tc>
          <w:tcPr>
            <w:tcW w:w="72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5"/>
              </w:rPr>
              <w:t>6.44</w:t>
            </w:r>
          </w:p>
        </w:tc>
        <w:tc>
          <w:tcPr>
            <w:tcW w:w="1040" w:type="dxa"/>
            <w:vAlign w:val="bottom"/>
            <w:tcBorders>
              <w:bottom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30 mg/kg</w:t>
            </w:r>
          </w:p>
        </w:tc>
        <w:tc>
          <w:tcPr>
            <w:tcW w:w="480" w:type="dxa"/>
            <w:vAlign w:val="bottom"/>
            <w:tcBorders>
              <w:right w:val="single" w:sz="8" w:color="auto"/>
            </w:tcBorders>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5"/>
              </w:rPr>
              <w:t>4.81</w:t>
            </w:r>
          </w:p>
        </w:tc>
        <w:tc>
          <w:tcPr>
            <w:tcW w:w="72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5"/>
              </w:rPr>
              <w:t>22.8</w:t>
            </w:r>
          </w:p>
        </w:tc>
        <w:tc>
          <w:tcPr>
            <w:tcW w:w="104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2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20 mg</w:t>
            </w:r>
          </w:p>
        </w:tc>
        <w:tc>
          <w:tcPr>
            <w:tcW w:w="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1</w:t>
            </w:r>
          </w:p>
        </w:tc>
        <w:tc>
          <w:tcPr>
            <w:tcW w:w="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12/11</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0.0852 (54)</w:t>
            </w:r>
          </w:p>
        </w:tc>
        <w:tc>
          <w:tcPr>
            <w:tcW w:w="7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2 (1-4.6)</w:t>
            </w:r>
          </w:p>
        </w:tc>
        <w:tc>
          <w:tcPr>
            <w:tcW w:w="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1.06 (40)</w:t>
            </w:r>
          </w:p>
        </w:tc>
        <w:tc>
          <w:tcPr>
            <w:tcW w:w="1040" w:type="dxa"/>
            <w:vAlign w:val="bottom"/>
            <w:tcBorders>
              <w:bottom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89"/>
              </w:rPr>
              <w:t>22</w:t>
            </w: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5"/>
              </w:rPr>
              <w:t>11/9</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0.191 (36)</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2 (1-4)</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3.19 (37)</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3.0</w:t>
            </w: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2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40 mg</w:t>
            </w:r>
          </w:p>
        </w:tc>
        <w:tc>
          <w:tcPr>
            <w:tcW w:w="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1</w:t>
            </w:r>
          </w:p>
        </w:tc>
        <w:tc>
          <w:tcPr>
            <w:tcW w:w="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13/13</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0.267(58)</w:t>
            </w:r>
          </w:p>
        </w:tc>
        <w:tc>
          <w:tcPr>
            <w:tcW w:w="7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2 (0.5-24)</w:t>
            </w:r>
          </w:p>
        </w:tc>
        <w:tc>
          <w:tcPr>
            <w:tcW w:w="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3.14(48)</w:t>
            </w:r>
          </w:p>
        </w:tc>
        <w:tc>
          <w:tcPr>
            <w:tcW w:w="1040" w:type="dxa"/>
            <w:vAlign w:val="bottom"/>
            <w:tcBorders>
              <w:bottom w:val="single" w:sz="8" w:color="auto"/>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NA</w:t>
            </w:r>
          </w:p>
        </w:tc>
        <w:tc>
          <w:tcPr>
            <w:tcW w:w="7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4"/>
                <w:szCs w:val="14"/>
                <w:color w:val="auto"/>
                <w:w w:val="97"/>
              </w:rPr>
              <w:t>RMC-4630-01</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QD</w:t>
            </w:r>
          </w:p>
        </w:tc>
        <w:tc>
          <w:tcPr>
            <w:tcW w:w="700" w:type="dxa"/>
            <w:vAlign w:val="bottom"/>
            <w:tcBorders>
              <w:right w:val="single" w:sz="8" w:color="auto"/>
            </w:tcBorders>
            <w:vMerge w:val="continue"/>
          </w:tcPr>
          <w:p>
            <w:pPr>
              <w:spacing w:after="0"/>
              <w:rPr>
                <w:sz w:val="6"/>
                <w:szCs w:val="6"/>
                <w:color w:val="auto"/>
              </w:rPr>
            </w:pPr>
          </w:p>
        </w:tc>
        <w:tc>
          <w:tcPr>
            <w:tcW w:w="4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89"/>
              </w:rPr>
              <w:t>22</w:t>
            </w: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9/9</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0.556 (54)</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4 (1-8)</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10.3 (53)</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3.3</w:t>
            </w:r>
          </w:p>
        </w:tc>
        <w:tc>
          <w:tcPr>
            <w:tcW w:w="6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60 mg</w:t>
            </w:r>
          </w:p>
        </w:tc>
        <w:tc>
          <w:tcPr>
            <w:tcW w:w="4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76"/>
              </w:rPr>
              <w:t>1</w:t>
            </w: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16/16</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0.318 (29)</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8"/>
              </w:rPr>
              <w:t>2 (0.5-8)</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3.97 (24)</w:t>
            </w:r>
          </w:p>
        </w:tc>
        <w:tc>
          <w:tcPr>
            <w:tcW w:w="104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89"/>
              </w:rPr>
              <w:t>22</w:t>
            </w: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9/9</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0.857 (45)</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2 (1-8)</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14.6 (44)</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3.7</w:t>
            </w: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2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80 mg</w:t>
            </w:r>
          </w:p>
        </w:tc>
        <w:tc>
          <w:tcPr>
            <w:tcW w:w="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1</w:t>
            </w:r>
          </w:p>
        </w:tc>
        <w:tc>
          <w:tcPr>
            <w:tcW w:w="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6/6</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0.472 (84)</w:t>
            </w:r>
          </w:p>
        </w:tc>
        <w:tc>
          <w:tcPr>
            <w:tcW w:w="7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3 (1-4)</w:t>
            </w:r>
          </w:p>
        </w:tc>
        <w:tc>
          <w:tcPr>
            <w:tcW w:w="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6.03 (56)</w:t>
            </w:r>
          </w:p>
        </w:tc>
        <w:tc>
          <w:tcPr>
            <w:tcW w:w="1040" w:type="dxa"/>
            <w:vAlign w:val="bottom"/>
            <w:tcBorders>
              <w:bottom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89"/>
              </w:rPr>
              <w:t>22</w:t>
            </w: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2/2</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0.844</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3 (2-4)</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5"/>
              </w:rPr>
              <w:t>13.9</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2.3</w:t>
            </w: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Data as of October 8, 2019. Number of patients evaluated for parameters Cmax and AUC are shown in N(Cmax/AUC) column.</w:t>
      </w:r>
    </w:p>
    <w:p>
      <w:pPr>
        <w:spacing w:after="0" w:line="91"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6300" w:type="dxa"/>
            <w:vAlign w:val="bottom"/>
          </w:tcPr>
          <w:p>
            <w:pPr>
              <w:spacing w:after="0"/>
              <w:rPr>
                <w:sz w:val="20"/>
                <w:szCs w:val="20"/>
                <w:color w:val="auto"/>
              </w:rPr>
            </w:pPr>
            <w:r>
              <w:rPr>
                <w:rFonts w:ascii="Arial" w:cs="Arial" w:eastAsia="Arial" w:hAnsi="Arial"/>
                <w:sz w:val="18"/>
                <w:szCs w:val="18"/>
                <w:b w:val="1"/>
                <w:bCs w:val="1"/>
                <w:color w:val="auto"/>
              </w:rPr>
              <w:t>Figure 10</w:t>
            </w:r>
            <w:r>
              <w:rPr>
                <w:rFonts w:ascii="Arial" w:cs="Arial" w:eastAsia="Arial" w:hAnsi="Arial"/>
                <w:sz w:val="18"/>
                <w:szCs w:val="18"/>
                <w:color w:val="auto"/>
              </w:rPr>
              <w:t>: Pharmacokinetics—daily schedule in RMC-4630-01 study.</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6300" w:type="dxa"/>
            <w:vAlign w:val="bottom"/>
          </w:tcPr>
          <w:p>
            <w:pPr>
              <w:ind w:left="2140"/>
              <w:spacing w:after="0"/>
              <w:rPr>
                <w:sz w:val="20"/>
                <w:szCs w:val="20"/>
                <w:color w:val="auto"/>
              </w:rPr>
            </w:pPr>
            <w:r>
              <w:rPr>
                <w:rFonts w:ascii="Arial" w:cs="Arial" w:eastAsia="Arial" w:hAnsi="Arial"/>
                <w:sz w:val="32"/>
                <w:szCs w:val="32"/>
                <w:b w:val="1"/>
                <w:bCs w:val="1"/>
                <w:color w:val="auto"/>
              </w:rPr>
              <w:t>PK C1D1</w:t>
            </w:r>
          </w:p>
        </w:tc>
        <w:tc>
          <w:tcPr>
            <w:tcW w:w="3360" w:type="dxa"/>
            <w:vAlign w:val="bottom"/>
            <w:vMerge w:val="restart"/>
          </w:tcPr>
          <w:p>
            <w:pPr>
              <w:ind w:left="920"/>
              <w:spacing w:after="0"/>
              <w:rPr>
                <w:sz w:val="20"/>
                <w:szCs w:val="20"/>
                <w:color w:val="auto"/>
              </w:rPr>
            </w:pPr>
            <w:r>
              <w:rPr>
                <w:rFonts w:ascii="Arial" w:cs="Arial" w:eastAsia="Arial" w:hAnsi="Arial"/>
                <w:sz w:val="32"/>
                <w:szCs w:val="32"/>
                <w:b w:val="1"/>
                <w:bCs w:val="1"/>
                <w:color w:val="auto"/>
              </w:rPr>
              <w:t>Steady state PK</w:t>
            </w:r>
          </w:p>
        </w:tc>
        <w:tc>
          <w:tcPr>
            <w:tcW w:w="0" w:type="dxa"/>
            <w:vAlign w:val="bottom"/>
          </w:tcPr>
          <w:p>
            <w:pPr>
              <w:spacing w:after="0"/>
              <w:rPr>
                <w:sz w:val="1"/>
                <w:szCs w:val="1"/>
                <w:color w:val="auto"/>
              </w:rPr>
            </w:pPr>
          </w:p>
        </w:tc>
      </w:tr>
      <w:tr>
        <w:trPr>
          <w:trHeight w:val="122"/>
        </w:trPr>
        <w:tc>
          <w:tcPr>
            <w:tcW w:w="630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93345</wp:posOffset>
            </wp:positionV>
            <wp:extent cx="5917565" cy="18954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1756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Data as of October 8, 2019.</w:t>
      </w:r>
    </w:p>
    <w:p>
      <w:pPr>
        <w:spacing w:after="0" w:line="15" w:lineRule="exact"/>
        <w:rPr>
          <w:sz w:val="20"/>
          <w:szCs w:val="20"/>
          <w:color w:val="auto"/>
        </w:rPr>
      </w:pPr>
    </w:p>
    <w:p>
      <w:pPr>
        <w:ind w:left="200" w:right="580"/>
        <w:spacing w:after="0" w:line="238" w:lineRule="auto"/>
        <w:rPr>
          <w:sz w:val="20"/>
          <w:szCs w:val="20"/>
          <w:color w:val="auto"/>
        </w:rPr>
      </w:pPr>
      <w:r>
        <w:rPr>
          <w:rFonts w:ascii="Arial" w:cs="Arial" w:eastAsia="Arial" w:hAnsi="Arial"/>
          <w:sz w:val="14"/>
          <w:szCs w:val="14"/>
          <w:color w:val="auto"/>
        </w:rPr>
        <w:t>Pharmacokinetic profile of RMC-4630 dosed at either 20 mg, 40 mg, 60 mg or 80 mg daily. Steady state is considered to be day 22 of cycle 1. EC</w:t>
      </w:r>
      <w:r>
        <w:rPr>
          <w:rFonts w:ascii="Arial" w:cs="Arial" w:eastAsia="Arial" w:hAnsi="Arial"/>
          <w:sz w:val="22"/>
          <w:szCs w:val="22"/>
          <w:color w:val="auto"/>
          <w:vertAlign w:val="subscript"/>
        </w:rPr>
        <w:t>50</w:t>
      </w:r>
      <w:r>
        <w:rPr>
          <w:rFonts w:ascii="Arial" w:cs="Arial" w:eastAsia="Arial" w:hAnsi="Arial"/>
          <w:sz w:val="14"/>
          <w:szCs w:val="14"/>
          <w:color w:val="auto"/>
        </w:rPr>
        <w:t>/fu and EC</w:t>
      </w:r>
      <w:r>
        <w:rPr>
          <w:rFonts w:ascii="Arial" w:cs="Arial" w:eastAsia="Arial" w:hAnsi="Arial"/>
          <w:sz w:val="22"/>
          <w:szCs w:val="22"/>
          <w:color w:val="auto"/>
          <w:vertAlign w:val="subscript"/>
        </w:rPr>
        <w:t>75</w:t>
      </w:r>
      <w:r>
        <w:rPr>
          <w:rFonts w:ascii="Arial" w:cs="Arial" w:eastAsia="Arial" w:hAnsi="Arial"/>
          <w:sz w:val="14"/>
          <w:szCs w:val="14"/>
          <w:color w:val="auto"/>
        </w:rPr>
        <w:t>/fu are the total estimated plasma concentrations in humans that correspond to 50% and 75% inhibition of pERK in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tumor models.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Pharmacodynamic effects of RMC-4630—daily and intermittent dosing schedules</w:t>
      </w:r>
    </w:p>
    <w:p>
      <w:pPr>
        <w:spacing w:after="0" w:line="104" w:lineRule="exact"/>
        <w:rPr>
          <w:sz w:val="20"/>
          <w:szCs w:val="20"/>
          <w:color w:val="auto"/>
        </w:rPr>
      </w:pPr>
    </w:p>
    <w:p>
      <w:pPr>
        <w:ind w:left="200" w:right="40"/>
        <w:spacing w:after="0" w:line="273" w:lineRule="auto"/>
        <w:rPr>
          <w:sz w:val="20"/>
          <w:szCs w:val="20"/>
          <w:color w:val="auto"/>
        </w:rPr>
      </w:pPr>
      <w:r>
        <w:rPr>
          <w:rFonts w:ascii="Arial" w:cs="Arial" w:eastAsia="Arial" w:hAnsi="Arial"/>
          <w:sz w:val="16"/>
          <w:szCs w:val="16"/>
          <w:color w:val="auto"/>
        </w:rPr>
        <w:t>Activation of the protein ERK, which is an important protein in the RAS signaling pathway and a substrate for MEK, is a good surrogate for the inhibition of pathway activity by a SHP2 inhibitor. The pharmacodynamic effects of RMC-4630 on activation of ERK were studied in the blood cells of patients being treated with RMC-4630. Despite considerable assay variability and inter-patient variability, which is common for these types of dynamic assays in patients, there was a trend in favor of inhibition of activated ERK in peripheral blood cells at all dose levels tested. These effects are consistent with engagement and inhibition of the SHP2 target and downstream RAS signaling by RMC-4630.</w:t>
      </w:r>
    </w:p>
    <w:p>
      <w:pPr>
        <w:spacing w:after="0" w:line="75"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Phosphorylation of ERK has been assessed in tumors before and during RMC-4630 administration (Figure 11). In three cases, there was a reduction in phosphorylation of cytoplasmic and nuclear ERK in the tumor while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240" w:top="459" w:right="4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99" w:lineRule="auto"/>
        <w:rPr>
          <w:sz w:val="20"/>
          <w:szCs w:val="20"/>
          <w:color w:val="auto"/>
        </w:rPr>
      </w:pPr>
      <w:r>
        <w:rPr>
          <w:rFonts w:ascii="Arial" w:cs="Arial" w:eastAsia="Arial" w:hAnsi="Arial"/>
          <w:sz w:val="16"/>
          <w:szCs w:val="16"/>
          <w:color w:val="auto"/>
        </w:rPr>
        <w:t>RMC-4630 was at steady state. One patient’s tumor showed no reduction in tumor pERK, but this tumor showed very little phosphorylation in the pre-treatment sample and the patient had not received any RMC-4630 for eight days prior to the second tumor biopsy.</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11</w:t>
      </w:r>
      <w:r>
        <w:rPr>
          <w:rFonts w:ascii="Arial" w:cs="Arial" w:eastAsia="Arial" w:hAnsi="Arial"/>
          <w:sz w:val="18"/>
          <w:szCs w:val="18"/>
          <w:color w:val="auto"/>
        </w:rPr>
        <w:t>: pERK inhibition in tumors on RMC-4630 in RMC-4630-01 study.</w:t>
      </w:r>
    </w:p>
    <w:p>
      <w:pPr>
        <w:spacing w:after="0" w:line="11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Tumor pERK Staining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8890</wp:posOffset>
            </wp:positionV>
            <wp:extent cx="5171440" cy="2958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7144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line="226" w:lineRule="auto"/>
        <w:rPr>
          <w:sz w:val="20"/>
          <w:szCs w:val="20"/>
          <w:color w:val="auto"/>
        </w:rPr>
      </w:pPr>
      <w:r>
        <w:rPr>
          <w:rFonts w:ascii="Arial" w:cs="Arial" w:eastAsia="Arial" w:hAnsi="Arial"/>
          <w:sz w:val="14"/>
          <w:szCs w:val="14"/>
          <w:color w:val="auto"/>
        </w:rPr>
        <w:t>Quantitation of phospho-ERK (pERK) in tumor tissue taken from patients treated with daily RMC-4630 at either 20 mg, 40 mg or 60 mg daily. Panel A represents the H score for pERK before and after dosing in four patients. H score is the product of percentage of tumor cells staining positive for pERK and the intensity of staining per cell. Both nuclear and cytoplasmic pERK are shown. Panel B shows the immunohistochemistry sections from which the H score is estimated. pERK stains brown. Panel C provides information for each patient on whom paired biopsies were obtained.</w:t>
      </w:r>
    </w:p>
    <w:p>
      <w:pPr>
        <w:spacing w:after="0" w:line="100"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Allelic burden of circulating KRAS</w:t>
      </w:r>
      <w:r>
        <w:rPr>
          <w:rFonts w:ascii="Arial" w:cs="Arial" w:eastAsia="Arial" w:hAnsi="Arial"/>
          <w:sz w:val="11"/>
          <w:szCs w:val="11"/>
          <w:color w:val="auto"/>
        </w:rPr>
        <w:t>G12C</w:t>
      </w:r>
      <w:r>
        <w:rPr>
          <w:rFonts w:ascii="Arial" w:cs="Arial" w:eastAsia="Arial" w:hAnsi="Arial"/>
          <w:sz w:val="18"/>
          <w:szCs w:val="18"/>
          <w:color w:val="auto"/>
        </w:rPr>
        <w:t xml:space="preserve"> tumor DNA, or ctDNA, has been assessed prior to the study and at least once during the study in seven patients with tumors harboring 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G12C</w:t>
      </w:r>
      <w:r>
        <w:rPr>
          <w:rFonts w:ascii="Arial" w:cs="Arial" w:eastAsia="Arial" w:hAnsi="Arial"/>
          <w:sz w:val="18"/>
          <w:szCs w:val="18"/>
          <w:color w:val="auto"/>
        </w:rPr>
        <w:t xml:space="preserve"> ctDNA was detected in four of seven patients prior to the study. In two patients, with NSCLC and either partial response or stable disease as best response, there was a reduction in circulating KRAS</w:t>
      </w:r>
      <w:r>
        <w:rPr>
          <w:rFonts w:ascii="Arial" w:cs="Arial" w:eastAsia="Arial" w:hAnsi="Arial"/>
          <w:sz w:val="11"/>
          <w:szCs w:val="11"/>
          <w:color w:val="auto"/>
        </w:rPr>
        <w:t>G12C</w:t>
      </w:r>
      <w:r>
        <w:rPr>
          <w:rFonts w:ascii="Arial" w:cs="Arial" w:eastAsia="Arial" w:hAnsi="Arial"/>
          <w:sz w:val="18"/>
          <w:szCs w:val="18"/>
          <w:color w:val="auto"/>
        </w:rPr>
        <w:t xml:space="preserve"> ctDNA. In one patient with colon cancer who had a progressive disease the allelic frequency of KRAS</w:t>
      </w:r>
      <w:r>
        <w:rPr>
          <w:rFonts w:ascii="Arial" w:cs="Arial" w:eastAsia="Arial" w:hAnsi="Arial"/>
          <w:sz w:val="11"/>
          <w:szCs w:val="11"/>
          <w:color w:val="auto"/>
        </w:rPr>
        <w:t>G12C</w:t>
      </w:r>
      <w:r>
        <w:rPr>
          <w:rFonts w:ascii="Arial" w:cs="Arial" w:eastAsia="Arial" w:hAnsi="Arial"/>
          <w:sz w:val="18"/>
          <w:szCs w:val="18"/>
          <w:color w:val="auto"/>
        </w:rPr>
        <w:t xml:space="preserve"> ctDNA increased.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Interim evidence of clinical activity—daily and intermittent schedules</w:t>
      </w:r>
    </w:p>
    <w:p>
      <w:pPr>
        <w:spacing w:after="0" w:line="122"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There is preliminary evidence that RMC-4630 has single agent anti-tumor activity in KRAS mutant NSCLC. One patient, with KRAS</w:t>
      </w:r>
      <w:r>
        <w:rPr>
          <w:rFonts w:ascii="Arial" w:cs="Arial" w:eastAsia="Arial" w:hAnsi="Arial"/>
          <w:sz w:val="11"/>
          <w:szCs w:val="11"/>
          <w:color w:val="auto"/>
        </w:rPr>
        <w:t>G12C</w:t>
      </w:r>
      <w:r>
        <w:rPr>
          <w:rFonts w:ascii="Arial" w:cs="Arial" w:eastAsia="Arial" w:hAnsi="Arial"/>
          <w:sz w:val="18"/>
          <w:szCs w:val="18"/>
          <w:color w:val="auto"/>
        </w:rPr>
        <w:t xml:space="preserve"> NSCLC treated at 60 mg daily, had a confirmed partial response, with a 45% reduction in tumor volume as measured by CT imaging and is ongoing on study therapy at 16 weeks. A second, NSCLC patient with KRAS</w:t>
      </w:r>
      <w:r>
        <w:rPr>
          <w:rFonts w:ascii="Arial" w:cs="Arial" w:eastAsia="Arial" w:hAnsi="Arial"/>
          <w:sz w:val="11"/>
          <w:szCs w:val="11"/>
          <w:color w:val="auto"/>
        </w:rPr>
        <w:t>G12D</w:t>
      </w:r>
      <w:r>
        <w:rPr>
          <w:rFonts w:ascii="Arial" w:cs="Arial" w:eastAsia="Arial" w:hAnsi="Arial"/>
          <w:sz w:val="18"/>
          <w:szCs w:val="18"/>
          <w:color w:val="auto"/>
        </w:rPr>
        <w:t xml:space="preserve"> and a mutation in the SHP2 gene (SHP2</w:t>
      </w:r>
      <w:r>
        <w:rPr>
          <w:rFonts w:ascii="Arial" w:cs="Arial" w:eastAsia="Arial" w:hAnsi="Arial"/>
          <w:sz w:val="11"/>
          <w:szCs w:val="11"/>
          <w:color w:val="auto"/>
        </w:rPr>
        <w:t>V428M</w:t>
      </w:r>
      <w:r>
        <w:rPr>
          <w:rFonts w:ascii="Arial" w:cs="Arial" w:eastAsia="Arial" w:hAnsi="Arial"/>
          <w:sz w:val="18"/>
          <w:szCs w:val="18"/>
          <w:color w:val="auto"/>
        </w:rPr>
        <w:t>), treated with 140 mg on the intermittent schedule, had an unconfirmed partial response (unconfirmed by RECIST 1.1, recorded as best response of stable disease). Disease control rate, or DCR, the sum of best response of partial response and stable disease cases for patients with KRAS</w:t>
      </w:r>
      <w:r>
        <w:rPr>
          <w:rFonts w:ascii="Arial" w:cs="Arial" w:eastAsia="Arial" w:hAnsi="Arial"/>
          <w:sz w:val="11"/>
          <w:szCs w:val="11"/>
          <w:color w:val="auto"/>
        </w:rPr>
        <w:t>G12C</w:t>
      </w:r>
      <w:r>
        <w:rPr>
          <w:rFonts w:ascii="Arial" w:cs="Arial" w:eastAsia="Arial" w:hAnsi="Arial"/>
          <w:sz w:val="18"/>
          <w:szCs w:val="18"/>
          <w:color w:val="auto"/>
        </w:rPr>
        <w:t xml:space="preserve"> NSCLC as of the cut-off date was 6/8 (75%).</w:t>
      </w:r>
    </w:p>
    <w:p>
      <w:pPr>
        <w:spacing w:after="0" w:line="102"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As of the cut-off date, five patients with KRAS</w:t>
      </w:r>
      <w:r>
        <w:rPr>
          <w:rFonts w:ascii="Arial" w:cs="Arial" w:eastAsia="Arial" w:hAnsi="Arial"/>
          <w:sz w:val="11"/>
          <w:szCs w:val="11"/>
          <w:color w:val="auto"/>
        </w:rPr>
        <w:t>G12C</w:t>
      </w:r>
      <w:r>
        <w:rPr>
          <w:rFonts w:ascii="Arial" w:cs="Arial" w:eastAsia="Arial" w:hAnsi="Arial"/>
          <w:sz w:val="18"/>
          <w:szCs w:val="18"/>
          <w:color w:val="auto"/>
        </w:rPr>
        <w:t xml:space="preserve"> NSCLC had follow-up CT scans of target lesions and had either partial response or stable disease (Figure 12); three patients had not reported follow-up measurements of target lesions, of which one has been recorded as best response of stable disease and two of progressive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24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360"/>
        <w:spacing w:after="0" w:line="275" w:lineRule="auto"/>
        <w:rPr>
          <w:sz w:val="20"/>
          <w:szCs w:val="20"/>
          <w:color w:val="auto"/>
        </w:rPr>
      </w:pPr>
      <w:r>
        <w:rPr>
          <w:rFonts w:ascii="Arial" w:cs="Arial" w:eastAsia="Arial" w:hAnsi="Arial"/>
          <w:sz w:val="16"/>
          <w:szCs w:val="16"/>
          <w:color w:val="auto"/>
        </w:rPr>
        <w:t>disease. For all patients with KRAS mutant NSCLC, DCR was 12/18 (67%) (Figure 13). One patient with KRAS</w:t>
      </w:r>
      <w:r>
        <w:rPr>
          <w:rFonts w:ascii="Arial" w:cs="Arial" w:eastAsia="Arial" w:hAnsi="Arial"/>
          <w:sz w:val="10"/>
          <w:szCs w:val="10"/>
          <w:color w:val="auto"/>
        </w:rPr>
        <w:t>G12V</w:t>
      </w:r>
      <w:r>
        <w:rPr>
          <w:rFonts w:ascii="Arial" w:cs="Arial" w:eastAsia="Arial" w:hAnsi="Arial"/>
          <w:sz w:val="16"/>
          <w:szCs w:val="16"/>
          <w:color w:val="auto"/>
        </w:rPr>
        <w:t xml:space="preserve"> NSCLC had been on treatment for over 14 months with stable disease (and approximately 15% reduction in tumor volume) as of the cut-off date. Duration of treatment, time to first and best response, duration of response and time to progression in NSCLC patients with any KRAS mutation are shown in Figure 14. In histotypes other than NSCLC, the best response as of the cut-off date was stable disease.</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Figure 12: </w:t>
      </w:r>
      <w:r>
        <w:rPr>
          <w:rFonts w:ascii="Arial" w:cs="Arial" w:eastAsia="Arial" w:hAnsi="Arial"/>
          <w:sz w:val="18"/>
          <w:szCs w:val="18"/>
          <w:color w:val="auto"/>
        </w:rPr>
        <w:t>Best change in tumor burden from baseline in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NSCLC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86360</wp:posOffset>
            </wp:positionV>
            <wp:extent cx="4871085" cy="2684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871085"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ind w:left="200" w:right="40"/>
        <w:spacing w:after="0" w:line="200" w:lineRule="auto"/>
        <w:rPr>
          <w:sz w:val="20"/>
          <w:szCs w:val="20"/>
          <w:color w:val="auto"/>
        </w:rPr>
      </w:pPr>
      <w:r>
        <w:rPr>
          <w:rFonts w:ascii="Arial" w:cs="Arial" w:eastAsia="Arial" w:hAnsi="Arial"/>
          <w:sz w:val="14"/>
          <w:szCs w:val="14"/>
          <w:color w:val="auto"/>
        </w:rPr>
        <w:t>Waterfall plot of best tumor response for five patients with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NSCLC who had baseline target lesions assessed and at least one radiologic follow-up assessment of target lesion size. Percentage (Y axis) represents the percentage change from baseline in the Sum of Longest Diameters of target lesions using RECIST 1.1. Colors represent different dose levels.</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Confirmed PR</w:t>
      </w:r>
    </w:p>
    <w:p>
      <w:pPr>
        <w:spacing w:after="0" w:line="42" w:lineRule="exact"/>
        <w:rPr>
          <w:sz w:val="20"/>
          <w:szCs w:val="20"/>
          <w:color w:val="auto"/>
        </w:rPr>
      </w:pPr>
    </w:p>
    <w:p>
      <w:pPr>
        <w:jc w:val="both"/>
        <w:ind w:left="200"/>
        <w:spacing w:after="0" w:line="228" w:lineRule="auto"/>
        <w:rPr>
          <w:sz w:val="20"/>
          <w:szCs w:val="20"/>
          <w:color w:val="auto"/>
        </w:rPr>
      </w:pPr>
      <w:r>
        <w:rPr>
          <w:rFonts w:ascii="Arial" w:cs="Arial" w:eastAsia="Arial" w:hAnsi="Arial"/>
          <w:sz w:val="14"/>
          <w:szCs w:val="14"/>
          <w:color w:val="auto"/>
        </w:rPr>
        <w:t>Data are presented for the efficacy evaluable population (N=8) defined as participants with baseline and at least one post-baseline scan or who died or had clinical progression prior to first post-baseline scan. Three patients are not represented in this figure: 2 PD (1 clinical progression and 1 did not have measurement for one of the target lesions but had new lesion) and 1 SD (pending data entry in EDC).</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240" w:top="459" w:right="5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13</w:t>
      </w:r>
      <w:r>
        <w:rPr>
          <w:rFonts w:ascii="Arial" w:cs="Arial" w:eastAsia="Arial" w:hAnsi="Arial"/>
          <w:sz w:val="18"/>
          <w:szCs w:val="18"/>
          <w:color w:val="auto"/>
        </w:rPr>
        <w:t>: Best change in tumor burden from baseline for NSCLC with any KRAS mutation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2795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4855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ind w:left="200"/>
        <w:spacing w:after="0" w:line="222" w:lineRule="auto"/>
        <w:rPr>
          <w:sz w:val="20"/>
          <w:szCs w:val="20"/>
          <w:color w:val="auto"/>
        </w:rPr>
      </w:pPr>
      <w:r>
        <w:rPr>
          <w:rFonts w:ascii="Arial" w:cs="Arial" w:eastAsia="Arial" w:hAnsi="Arial"/>
          <w:sz w:val="13"/>
          <w:szCs w:val="13"/>
          <w:color w:val="auto"/>
        </w:rPr>
        <w:t>Waterfall plot of best tumor response for fourteen patients with KRAS mutant NSCLC, including KRAS</w:t>
      </w:r>
      <w:r>
        <w:rPr>
          <w:rFonts w:ascii="Arial" w:cs="Arial" w:eastAsia="Arial" w:hAnsi="Arial"/>
          <w:sz w:val="21"/>
          <w:szCs w:val="21"/>
          <w:color w:val="auto"/>
          <w:vertAlign w:val="superscript"/>
        </w:rPr>
        <w:t>G12C</w:t>
      </w:r>
      <w:r>
        <w:rPr>
          <w:rFonts w:ascii="Arial" w:cs="Arial" w:eastAsia="Arial" w:hAnsi="Arial"/>
          <w:sz w:val="13"/>
          <w:szCs w:val="13"/>
          <w:color w:val="auto"/>
        </w:rPr>
        <w:t>, who had baseline target lesions assessed and at least one radiologic follow-up assessment of target lesion size. Percentage (Y axis) represents the percentage change from baseline in the Sum of Longest Diameters of target lesions using RECIST 1.1. Colors represent different KRAS mutations. Data are presented for the efficacy evaluable population (N=18) defined as participants with baseline and at least one post-baseline scan or who died or had clinical progression prior to first post-baseline scan. Four patients are not represented in this figure: 2 patients had clinical progression prior to first scan, 1 patient did not have measurements for one of the target lesions but progressed developing new lesion, and 1 patient had missing tumor measurements in the database at the time of data extract.</w:t>
      </w:r>
    </w:p>
    <w:p>
      <w:pPr>
        <w:spacing w:after="0" w:line="54" w:lineRule="exact"/>
        <w:rPr>
          <w:sz w:val="20"/>
          <w:szCs w:val="20"/>
          <w:color w:val="auto"/>
        </w:rPr>
      </w:pPr>
    </w:p>
    <w:p>
      <w:pPr>
        <w:ind w:left="520" w:hanging="316"/>
        <w:spacing w:after="0"/>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Confirmed PR</w:t>
      </w:r>
    </w:p>
    <w:p>
      <w:pPr>
        <w:spacing w:after="0" w:line="55" w:lineRule="exact"/>
        <w:rPr>
          <w:sz w:val="20"/>
          <w:szCs w:val="20"/>
          <w:color w:val="auto"/>
        </w:rPr>
      </w:pPr>
    </w:p>
    <w:p>
      <w:pPr>
        <w:ind w:left="520" w:hanging="316"/>
        <w:spacing w:after="0"/>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PR initially, subsequently unconfirmed</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60"/>
          </w:cols>
          <w:pgMar w:left="24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14</w:t>
      </w:r>
      <w:r>
        <w:rPr>
          <w:rFonts w:ascii="Arial" w:cs="Arial" w:eastAsia="Arial" w:hAnsi="Arial"/>
          <w:sz w:val="18"/>
          <w:szCs w:val="18"/>
          <w:color w:val="auto"/>
        </w:rPr>
        <w:t>: Duration of treatment, time to and duration of response in NSCLC with any KRAS mutation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86360</wp:posOffset>
            </wp:positionV>
            <wp:extent cx="5188585" cy="29673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8858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ind w:left="200"/>
        <w:spacing w:after="0" w:line="193" w:lineRule="auto"/>
        <w:rPr>
          <w:sz w:val="20"/>
          <w:szCs w:val="20"/>
          <w:color w:val="auto"/>
        </w:rPr>
      </w:pPr>
      <w:r>
        <w:rPr>
          <w:rFonts w:ascii="Arial" w:cs="Arial" w:eastAsia="Arial" w:hAnsi="Arial"/>
          <w:sz w:val="14"/>
          <w:szCs w:val="14"/>
          <w:color w:val="auto"/>
        </w:rPr>
        <w:t>Swimmer plot of duration of treatment, time to first and best response, duration of response and time to progression for eighteen patients with KRAS mutant NSCLC, including</w:t>
      </w:r>
    </w:p>
    <w:p>
      <w:pPr>
        <w:spacing w:after="0" w:line="1" w:lineRule="exact"/>
        <w:rPr>
          <w:sz w:val="20"/>
          <w:szCs w:val="20"/>
          <w:color w:val="auto"/>
        </w:rPr>
      </w:pPr>
    </w:p>
    <w:p>
      <w:pPr>
        <w:ind w:left="200" w:right="20"/>
        <w:spacing w:after="0" w:line="191" w:lineRule="auto"/>
        <w:rPr>
          <w:sz w:val="20"/>
          <w:szCs w:val="20"/>
          <w:color w:val="auto"/>
        </w:rPr>
      </w:pPr>
      <w:r>
        <w:rPr>
          <w:rFonts w:ascii="Arial" w:cs="Arial" w:eastAsia="Arial" w:hAnsi="Arial"/>
          <w:sz w:val="14"/>
          <w:szCs w:val="14"/>
          <w:color w:val="auto"/>
        </w:rPr>
        <w:t>KRAS</w:t>
      </w:r>
      <w:r>
        <w:rPr>
          <w:rFonts w:ascii="Arial" w:cs="Arial" w:eastAsia="Arial" w:hAnsi="Arial"/>
          <w:sz w:val="22"/>
          <w:szCs w:val="22"/>
          <w:color w:val="auto"/>
          <w:vertAlign w:val="superscript"/>
        </w:rPr>
        <w:t>G12C</w:t>
      </w:r>
      <w:r>
        <w:rPr>
          <w:rFonts w:ascii="Arial" w:cs="Arial" w:eastAsia="Arial" w:hAnsi="Arial"/>
          <w:sz w:val="14"/>
          <w:szCs w:val="14"/>
          <w:color w:val="auto"/>
        </w:rPr>
        <w:t>. Percentage (Y axis) represents each individual patient. Colors represent different KRAS mutations. Data are presented for the efficacy evaluable population (N=18) defined as participants with baseline and at least one post-baseline scan or who died or had clinical progression prior to first post-baseline scan.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RMC-4630-02 study of RMC-4630 in combination with cobimetinib in patients with advanced solid tumors</w:t>
      </w:r>
    </w:p>
    <w:p>
      <w:pPr>
        <w:spacing w:after="0" w:line="124" w:lineRule="exact"/>
        <w:rPr>
          <w:sz w:val="20"/>
          <w:szCs w:val="20"/>
          <w:color w:val="auto"/>
        </w:rPr>
      </w:pPr>
    </w:p>
    <w:p>
      <w:pPr>
        <w:jc w:val="both"/>
        <w:ind w:left="200" w:right="100"/>
        <w:spacing w:after="0" w:line="238" w:lineRule="auto"/>
        <w:rPr>
          <w:sz w:val="20"/>
          <w:szCs w:val="20"/>
          <w:color w:val="auto"/>
        </w:rPr>
      </w:pPr>
      <w:r>
        <w:rPr>
          <w:rFonts w:ascii="Arial" w:cs="Arial" w:eastAsia="Arial" w:hAnsi="Arial"/>
          <w:sz w:val="18"/>
          <w:szCs w:val="18"/>
          <w:color w:val="auto"/>
        </w:rPr>
        <w:t>RMC-4630-02 is a Phase 1b/2 study of RMC-4630 in combination with the MEK inhibitor cobimetinib in patients with advanced cancers that harbor mutations in the RAS signaling pathway. The study is designed to evaluate the safety, tolerability and pharmacokinetics of RMC-4630 and cobimetinib under two different dose administration schedules.</w:t>
      </w:r>
    </w:p>
    <w:p>
      <w:pPr>
        <w:spacing w:after="0" w:line="100" w:lineRule="exact"/>
        <w:rPr>
          <w:sz w:val="20"/>
          <w:szCs w:val="20"/>
          <w:color w:val="auto"/>
        </w:rPr>
      </w:pPr>
    </w:p>
    <w:p>
      <w:pPr>
        <w:ind w:left="200" w:right="60"/>
        <w:spacing w:after="0" w:line="281" w:lineRule="auto"/>
        <w:rPr>
          <w:sz w:val="20"/>
          <w:szCs w:val="20"/>
          <w:color w:val="auto"/>
        </w:rPr>
      </w:pPr>
      <w:r>
        <w:rPr>
          <w:rFonts w:ascii="Arial" w:cs="Arial" w:eastAsia="Arial" w:hAnsi="Arial"/>
          <w:sz w:val="16"/>
          <w:szCs w:val="16"/>
          <w:color w:val="auto"/>
        </w:rPr>
        <w:t>The objective of this study is to determine a recommended dose and schedule and further test clinical activity of the combination. Initially, the study assesses twice weekly RMC-4630 (D1,D4) with daily cobimetinib (21 days on, 7 off). In the second schedule, which has not begun dosing, both RMC-4630 and cobimetinib are dosed intermittently. A preliminary evaluation of anti-tumor activity is also being made.</w:t>
      </w:r>
    </w:p>
    <w:p>
      <w:pPr>
        <w:spacing w:after="0" w:line="70"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At the latest data cut-off on November 14, 2019, 8 patients had been enrolled and all had received study medication at the first dose level and were evaluable for safety. Dose escalation to the next highest dose level has occurred and enrollment is ongoing.</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Interim safety and tolerability</w:t>
      </w:r>
    </w:p>
    <w:p>
      <w:pPr>
        <w:spacing w:after="0" w:line="122"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Eight patients have been evaluated for safety with a median RMC-4630 exposure of 1.4 months (range 0.1 – 2.5 months). Demographic and baseline characteristics information is shown in Table 10.</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24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10</w:t>
      </w:r>
      <w:r>
        <w:rPr>
          <w:rFonts w:ascii="Arial" w:cs="Arial" w:eastAsia="Arial" w:hAnsi="Arial"/>
          <w:sz w:val="18"/>
          <w:szCs w:val="18"/>
          <w:color w:val="auto"/>
        </w:rPr>
        <w:t>: Demographics and baseline characteristics for RMC-4630-02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RMC-4630 80 mg</w:t>
            </w: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4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D1,D4</w:t>
            </w: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4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cobimetinib 20 mg</w:t>
            </w: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4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daily</w:t>
            </w:r>
          </w:p>
        </w:tc>
      </w:tr>
      <w:tr>
        <w:trPr>
          <w:trHeight w:val="234"/>
        </w:trPr>
        <w:tc>
          <w:tcPr>
            <w:tcW w:w="20" w:type="dxa"/>
            <w:vAlign w:val="bottom"/>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(N=8)</w:t>
            </w:r>
          </w:p>
        </w:tc>
      </w:tr>
      <w:tr>
        <w:trPr>
          <w:trHeight w:val="197"/>
        </w:trPr>
        <w:tc>
          <w:tcPr>
            <w:tcW w:w="20" w:type="dxa"/>
            <w:vAlign w:val="bottom"/>
          </w:tcPr>
          <w:p>
            <w:pPr>
              <w:spacing w:after="0"/>
              <w:rPr>
                <w:sz w:val="17"/>
                <w:szCs w:val="17"/>
                <w:color w:val="auto"/>
              </w:rPr>
            </w:pPr>
          </w:p>
        </w:tc>
        <w:tc>
          <w:tcPr>
            <w:tcW w:w="66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Age, median (range)</w:t>
            </w:r>
          </w:p>
        </w:tc>
        <w:tc>
          <w:tcPr>
            <w:tcW w:w="4400" w:type="dxa"/>
            <w:vAlign w:val="bottom"/>
            <w:gridSpan w:val="2"/>
            <w:shd w:val="clear" w:color="auto" w:fill="CCEEFF"/>
          </w:tcPr>
          <w:p>
            <w:pPr>
              <w:jc w:val="right"/>
              <w:ind w:right="80"/>
              <w:spacing w:after="0" w:line="197" w:lineRule="exact"/>
              <w:rPr>
                <w:sz w:val="20"/>
                <w:szCs w:val="20"/>
                <w:color w:val="auto"/>
              </w:rPr>
            </w:pPr>
            <w:r>
              <w:rPr>
                <w:rFonts w:ascii="Arial" w:cs="Arial" w:eastAsia="Arial" w:hAnsi="Arial"/>
                <w:sz w:val="18"/>
                <w:szCs w:val="18"/>
                <w:color w:val="auto"/>
              </w:rPr>
              <w:t>61.5 (35.0 – 64.0)</w:t>
            </w:r>
          </w:p>
        </w:tc>
      </w:tr>
      <w:tr>
        <w:trPr>
          <w:trHeight w:val="214"/>
        </w:trPr>
        <w:tc>
          <w:tcPr>
            <w:tcW w:w="6640" w:type="dxa"/>
            <w:vAlign w:val="bottom"/>
            <w:gridSpan w:val="2"/>
          </w:tcPr>
          <w:p>
            <w:pPr>
              <w:spacing w:after="0"/>
              <w:rPr>
                <w:sz w:val="20"/>
                <w:szCs w:val="20"/>
                <w:color w:val="auto"/>
              </w:rPr>
            </w:pPr>
            <w:r>
              <w:rPr>
                <w:rFonts w:ascii="Arial" w:cs="Arial" w:eastAsia="Arial" w:hAnsi="Arial"/>
                <w:sz w:val="18"/>
                <w:szCs w:val="18"/>
                <w:color w:val="auto"/>
              </w:rPr>
              <w:t>Male (%)</w:t>
            </w:r>
          </w:p>
        </w:tc>
        <w:tc>
          <w:tcPr>
            <w:tcW w:w="4320" w:type="dxa"/>
            <w:vAlign w:val="bottom"/>
          </w:tcPr>
          <w:p>
            <w:pPr>
              <w:jc w:val="right"/>
              <w:spacing w:after="0"/>
              <w:rPr>
                <w:sz w:val="20"/>
                <w:szCs w:val="20"/>
                <w:color w:val="auto"/>
              </w:rPr>
            </w:pPr>
            <w:r>
              <w:rPr>
                <w:rFonts w:ascii="Arial" w:cs="Arial" w:eastAsia="Arial" w:hAnsi="Arial"/>
                <w:sz w:val="18"/>
                <w:szCs w:val="18"/>
                <w:color w:val="auto"/>
              </w:rPr>
              <w:t>3 (37.5%)</w:t>
            </w:r>
          </w:p>
        </w:tc>
        <w:tc>
          <w:tcPr>
            <w:tcW w:w="80" w:type="dxa"/>
            <w:vAlign w:val="bottom"/>
          </w:tcPr>
          <w:p>
            <w:pPr>
              <w:spacing w:after="0"/>
              <w:rPr>
                <w:sz w:val="18"/>
                <w:szCs w:val="18"/>
                <w:color w:val="auto"/>
              </w:rPr>
            </w:pPr>
          </w:p>
        </w:tc>
      </w:tr>
      <w:tr>
        <w:trPr>
          <w:trHeight w:val="56"/>
        </w:trPr>
        <w:tc>
          <w:tcPr>
            <w:tcW w:w="66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Cancer Type</w:t>
            </w:r>
          </w:p>
        </w:tc>
        <w:tc>
          <w:tcPr>
            <w:tcW w:w="4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Lung (%)</w:t>
            </w:r>
          </w:p>
        </w:tc>
        <w:tc>
          <w:tcPr>
            <w:tcW w:w="4400" w:type="dxa"/>
            <w:vAlign w:val="bottom"/>
            <w:gridSpan w:val="2"/>
          </w:tcPr>
          <w:p>
            <w:pPr>
              <w:ind w:left="4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Colon and/or Rectal (%)</w:t>
            </w:r>
          </w:p>
        </w:tc>
        <w:tc>
          <w:tcPr>
            <w:tcW w:w="4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(62.5%)</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Pancreatic (%)</w:t>
            </w:r>
          </w:p>
        </w:tc>
        <w:tc>
          <w:tcPr>
            <w:tcW w:w="4320" w:type="dxa"/>
            <w:vAlign w:val="bottom"/>
          </w:tcPr>
          <w:p>
            <w:pPr>
              <w:jc w:val="right"/>
              <w:spacing w:after="0" w:line="202" w:lineRule="exact"/>
              <w:rPr>
                <w:sz w:val="20"/>
                <w:szCs w:val="20"/>
                <w:color w:val="auto"/>
              </w:rPr>
            </w:pPr>
            <w:r>
              <w:rPr>
                <w:rFonts w:ascii="Arial" w:cs="Arial" w:eastAsia="Arial" w:hAnsi="Arial"/>
                <w:sz w:val="18"/>
                <w:szCs w:val="18"/>
                <w:color w:val="auto"/>
              </w:rPr>
              <w:t>2 (25.0%)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Ovarian (%)</w:t>
            </w:r>
          </w:p>
        </w:tc>
        <w:tc>
          <w:tcPr>
            <w:tcW w:w="4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 (12.5%)</w:t>
            </w:r>
          </w:p>
        </w:tc>
        <w:tc>
          <w:tcPr>
            <w:tcW w:w="80" w:type="dxa"/>
            <w:vAlign w:val="bottom"/>
            <w:shd w:val="clear" w:color="auto" w:fill="CCEEFF"/>
          </w:tcPr>
          <w:p>
            <w:pPr>
              <w:spacing w:after="0"/>
              <w:rPr>
                <w:sz w:val="17"/>
                <w:szCs w:val="17"/>
                <w:color w:val="auto"/>
              </w:rPr>
            </w:pPr>
          </w:p>
        </w:tc>
      </w:tr>
      <w:tr>
        <w:trPr>
          <w:trHeight w:val="270"/>
        </w:trPr>
        <w:tc>
          <w:tcPr>
            <w:tcW w:w="6640" w:type="dxa"/>
            <w:vAlign w:val="bottom"/>
            <w:gridSpan w:val="2"/>
          </w:tcPr>
          <w:p>
            <w:pPr>
              <w:spacing w:after="0"/>
              <w:rPr>
                <w:sz w:val="20"/>
                <w:szCs w:val="20"/>
                <w:color w:val="auto"/>
              </w:rPr>
            </w:pPr>
            <w:r>
              <w:rPr>
                <w:rFonts w:ascii="Arial" w:cs="Arial" w:eastAsia="Arial" w:hAnsi="Arial"/>
                <w:sz w:val="18"/>
                <w:szCs w:val="18"/>
                <w:color w:val="auto"/>
              </w:rPr>
              <w:t>ECOG performance status</w:t>
            </w:r>
          </w:p>
        </w:tc>
        <w:tc>
          <w:tcPr>
            <w:tcW w:w="43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0</w:t>
            </w:r>
          </w:p>
        </w:tc>
        <w:tc>
          <w:tcPr>
            <w:tcW w:w="4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(62.5%)</w:t>
            </w:r>
          </w:p>
        </w:tc>
        <w:tc>
          <w:tcPr>
            <w:tcW w:w="80" w:type="dxa"/>
            <w:vAlign w:val="bottom"/>
            <w:shd w:val="clear" w:color="auto" w:fill="CCEEFF"/>
          </w:tcPr>
          <w:p>
            <w:pPr>
              <w:spacing w:after="0"/>
              <w:rPr>
                <w:sz w:val="17"/>
                <w:szCs w:val="17"/>
                <w:color w:val="auto"/>
              </w:rPr>
            </w:pPr>
          </w:p>
        </w:tc>
      </w:tr>
      <w:tr>
        <w:trPr>
          <w:trHeight w:val="203"/>
        </w:trPr>
        <w:tc>
          <w:tcPr>
            <w:tcW w:w="66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w:t>
            </w:r>
          </w:p>
        </w:tc>
        <w:tc>
          <w:tcPr>
            <w:tcW w:w="4320" w:type="dxa"/>
            <w:vAlign w:val="bottom"/>
          </w:tcPr>
          <w:p>
            <w:pPr>
              <w:jc w:val="right"/>
              <w:spacing w:after="0" w:line="202" w:lineRule="exact"/>
              <w:rPr>
                <w:sz w:val="20"/>
                <w:szCs w:val="20"/>
                <w:color w:val="auto"/>
              </w:rPr>
            </w:pPr>
            <w:r>
              <w:rPr>
                <w:rFonts w:ascii="Arial" w:cs="Arial" w:eastAsia="Arial" w:hAnsi="Arial"/>
                <w:sz w:val="18"/>
                <w:szCs w:val="18"/>
                <w:color w:val="auto"/>
              </w:rPr>
              <w:t>3 (37.5%)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prior cancer therapies, median (range)</w:t>
            </w:r>
          </w:p>
        </w:tc>
        <w:tc>
          <w:tcPr>
            <w:tcW w:w="4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 (2 – 6)</w:t>
            </w:r>
          </w:p>
        </w:tc>
      </w:tr>
      <w:tr>
        <w:trPr>
          <w:trHeight w:val="20"/>
        </w:trPr>
        <w:tc>
          <w:tcPr>
            <w:tcW w:w="20" w:type="dxa"/>
            <w:vAlign w:val="bottom"/>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14, 2019.</w:t>
      </w:r>
    </w:p>
    <w:p>
      <w:pPr>
        <w:spacing w:after="0" w:line="69"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4"/>
          <w:szCs w:val="14"/>
          <w:color w:val="auto"/>
        </w:rPr>
        <w:t>The</w:t>
      </w:r>
      <w:r>
        <w:rPr>
          <w:sz w:val="20"/>
          <w:szCs w:val="20"/>
          <w:color w:val="auto"/>
        </w:rPr>
        <w:tab/>
      </w:r>
      <w:r>
        <w:rPr>
          <w:rFonts w:ascii="Arial" w:cs="Arial" w:eastAsia="Arial" w:hAnsi="Arial"/>
          <w:sz w:val="12"/>
          <w:szCs w:val="12"/>
          <w:color w:val="auto"/>
        </w:rPr>
        <w:t>ECOG (Eastern Cooperative Oncology Group) performance status is a scale often used to assess how a patient’s disease is progressing.</w:t>
      </w:r>
    </w:p>
    <w:p>
      <w:pPr>
        <w:spacing w:after="0" w:line="45"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The emerging safety profile is consistent with the mechanistic effects of both SHP2 inhibition and MEK inhibition, including edema, diarrhea and other gastrointestinal toxicity, anemia and rash. This safety profile was largely predictable from single agent clinical studies of both agents.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11</w:t>
      </w:r>
      <w:r>
        <w:rPr>
          <w:rFonts w:ascii="Arial" w:cs="Arial" w:eastAsia="Arial" w:hAnsi="Arial"/>
          <w:sz w:val="18"/>
          <w:szCs w:val="18"/>
          <w:color w:val="auto"/>
        </w:rPr>
        <w:t>: Related AEs attributed to RMC-4630 in RMC-4630-02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Preferred term</w:t>
            </w:r>
          </w:p>
        </w:tc>
        <w:tc>
          <w:tcPr>
            <w:tcW w:w="3320" w:type="dxa"/>
            <w:vAlign w:val="bottom"/>
          </w:tcPr>
          <w:p>
            <w:pPr>
              <w:jc w:val="right"/>
              <w:ind w:right="32"/>
              <w:spacing w:after="0"/>
              <w:rPr>
                <w:sz w:val="20"/>
                <w:szCs w:val="20"/>
                <w:color w:val="auto"/>
              </w:rPr>
            </w:pPr>
            <w:r>
              <w:rPr>
                <w:rFonts w:ascii="Arial" w:cs="Arial" w:eastAsia="Arial" w:hAnsi="Arial"/>
                <w:sz w:val="18"/>
                <w:szCs w:val="18"/>
                <w:b w:val="1"/>
                <w:bCs w:val="1"/>
                <w:color w:val="auto"/>
              </w:rPr>
              <w:t>Any grade</w:t>
            </w: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Grade 1</w:t>
            </w: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Grade 2</w:t>
            </w:r>
          </w:p>
        </w:tc>
        <w:tc>
          <w:tcPr>
            <w:tcW w:w="1080" w:type="dxa"/>
            <w:vAlign w:val="bottom"/>
          </w:tcPr>
          <w:p>
            <w:pPr>
              <w:ind w:left="420"/>
              <w:spacing w:after="0"/>
              <w:rPr>
                <w:sz w:val="20"/>
                <w:szCs w:val="20"/>
                <w:color w:val="auto"/>
              </w:rPr>
            </w:pPr>
            <w:r>
              <w:rPr>
                <w:rFonts w:ascii="Arial" w:cs="Arial" w:eastAsia="Arial" w:hAnsi="Arial"/>
                <w:sz w:val="18"/>
                <w:szCs w:val="18"/>
                <w:b w:val="1"/>
                <w:bCs w:val="1"/>
                <w:color w:val="auto"/>
                <w:w w:val="95"/>
              </w:rPr>
              <w:t>Grade 3</w:t>
            </w:r>
          </w:p>
        </w:tc>
      </w:tr>
      <w:tr>
        <w:trPr>
          <w:trHeight w:val="196"/>
        </w:trPr>
        <w:tc>
          <w:tcPr>
            <w:tcW w:w="20" w:type="dxa"/>
            <w:vAlign w:val="bottom"/>
          </w:tcPr>
          <w:p>
            <w:pPr>
              <w:spacing w:after="0"/>
              <w:rPr>
                <w:sz w:val="17"/>
                <w:szCs w:val="17"/>
                <w:color w:val="auto"/>
              </w:rPr>
            </w:pPr>
          </w:p>
        </w:tc>
        <w:tc>
          <w:tcPr>
            <w:tcW w:w="4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Diarrhea</w:t>
            </w:r>
          </w:p>
        </w:tc>
        <w:tc>
          <w:tcPr>
            <w:tcW w:w="3320" w:type="dxa"/>
            <w:vAlign w:val="bottom"/>
            <w:tcBorders>
              <w:top w:val="single" w:sz="8" w:color="auto"/>
            </w:tcBorders>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2 (25.0%)</w:t>
            </w:r>
          </w:p>
        </w:tc>
        <w:tc>
          <w:tcPr>
            <w:tcW w:w="1180" w:type="dxa"/>
            <w:vAlign w:val="bottom"/>
            <w:tcBorders>
              <w:top w:val="single" w:sz="8" w:color="auto"/>
            </w:tcBorders>
            <w:shd w:val="clear" w:color="auto" w:fill="CCEEFF"/>
          </w:tcPr>
          <w:p>
            <w:pPr>
              <w:jc w:val="center"/>
              <w:ind w:right="52"/>
              <w:spacing w:after="0" w:line="196" w:lineRule="exact"/>
              <w:rPr>
                <w:sz w:val="20"/>
                <w:szCs w:val="20"/>
                <w:color w:val="auto"/>
              </w:rPr>
            </w:pPr>
            <w:r>
              <w:rPr>
                <w:rFonts w:ascii="Arial" w:cs="Arial" w:eastAsia="Arial" w:hAnsi="Arial"/>
                <w:sz w:val="18"/>
                <w:szCs w:val="18"/>
                <w:color w:val="auto"/>
                <w:w w:val="97"/>
              </w:rPr>
              <w:t>2 (25.0%)</w:t>
            </w:r>
          </w:p>
        </w:tc>
        <w:tc>
          <w:tcPr>
            <w:tcW w:w="1180" w:type="dxa"/>
            <w:vAlign w:val="bottom"/>
            <w:tcBorders>
              <w:top w:val="single" w:sz="8" w:color="auto"/>
            </w:tcBorders>
            <w:shd w:val="clear" w:color="auto" w:fill="CCEEFF"/>
          </w:tcPr>
          <w:p>
            <w:pPr>
              <w:jc w:val="center"/>
              <w:ind w:right="72"/>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Edema*</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 (25.0%)</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Abdominal discomfort</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Abdominal distension</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Blood creatinine increased</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Dry mouth</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Leukopenia</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Nephropathy</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Rash</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 (12.5%)</w:t>
            </w:r>
          </w:p>
        </w:tc>
      </w:tr>
      <w:tr>
        <w:trPr>
          <w:trHeight w:val="21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Rash maculo-papular</w:t>
            </w:r>
          </w:p>
        </w:tc>
        <w:tc>
          <w:tcPr>
            <w:tcW w:w="33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 (12.5%)</w:t>
            </w: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7"/>
              </w:rPr>
              <w:t>1 (12.5%)</w:t>
            </w: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14, 2019.</w:t>
      </w:r>
    </w:p>
    <w:p>
      <w:pPr>
        <w:spacing w:after="0" w:line="69" w:lineRule="exact"/>
        <w:rPr>
          <w:sz w:val="20"/>
          <w:szCs w:val="20"/>
          <w:color w:val="auto"/>
        </w:rPr>
      </w:pPr>
    </w:p>
    <w:p>
      <w:pPr>
        <w:ind w:left="520" w:hanging="316"/>
        <w:spacing w:after="0"/>
        <w:tabs>
          <w:tab w:leader="none" w:pos="5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eyelid edema, face edema, generalized edema, lip edema, edema, edema peripheral, periorbital edema and peripheral swelling.</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Table 12: </w:t>
      </w:r>
      <w:r>
        <w:rPr>
          <w:rFonts w:ascii="Arial" w:cs="Arial" w:eastAsia="Arial" w:hAnsi="Arial"/>
          <w:sz w:val="18"/>
          <w:szCs w:val="18"/>
          <w:color w:val="auto"/>
        </w:rPr>
        <w:t>Related AEs attributed to cobimetinib in RMC-4630-02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Preferred term</w:t>
            </w:r>
          </w:p>
        </w:tc>
        <w:tc>
          <w:tcPr>
            <w:tcW w:w="3320" w:type="dxa"/>
            <w:vAlign w:val="bottom"/>
          </w:tcPr>
          <w:p>
            <w:pPr>
              <w:jc w:val="right"/>
              <w:ind w:right="32"/>
              <w:spacing w:after="0"/>
              <w:rPr>
                <w:sz w:val="20"/>
                <w:szCs w:val="20"/>
                <w:color w:val="auto"/>
              </w:rPr>
            </w:pPr>
            <w:r>
              <w:rPr>
                <w:rFonts w:ascii="Arial" w:cs="Arial" w:eastAsia="Arial" w:hAnsi="Arial"/>
                <w:sz w:val="18"/>
                <w:szCs w:val="18"/>
                <w:b w:val="1"/>
                <w:bCs w:val="1"/>
                <w:color w:val="auto"/>
              </w:rPr>
              <w:t>Any grade</w:t>
            </w: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Grade 1</w:t>
            </w: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Grade 2</w:t>
            </w:r>
          </w:p>
        </w:tc>
        <w:tc>
          <w:tcPr>
            <w:tcW w:w="1080" w:type="dxa"/>
            <w:vAlign w:val="bottom"/>
          </w:tcPr>
          <w:p>
            <w:pPr>
              <w:ind w:left="420"/>
              <w:spacing w:after="0"/>
              <w:rPr>
                <w:sz w:val="20"/>
                <w:szCs w:val="20"/>
                <w:color w:val="auto"/>
              </w:rPr>
            </w:pPr>
            <w:r>
              <w:rPr>
                <w:rFonts w:ascii="Arial" w:cs="Arial" w:eastAsia="Arial" w:hAnsi="Arial"/>
                <w:sz w:val="18"/>
                <w:szCs w:val="18"/>
                <w:b w:val="1"/>
                <w:bCs w:val="1"/>
                <w:color w:val="auto"/>
                <w:w w:val="95"/>
              </w:rPr>
              <w:t>Grade 3</w:t>
            </w:r>
          </w:p>
        </w:tc>
      </w:tr>
      <w:tr>
        <w:trPr>
          <w:trHeight w:val="196"/>
        </w:trPr>
        <w:tc>
          <w:tcPr>
            <w:tcW w:w="20" w:type="dxa"/>
            <w:vAlign w:val="bottom"/>
          </w:tcPr>
          <w:p>
            <w:pPr>
              <w:spacing w:after="0"/>
              <w:rPr>
                <w:sz w:val="17"/>
                <w:szCs w:val="17"/>
                <w:color w:val="auto"/>
              </w:rPr>
            </w:pPr>
          </w:p>
        </w:tc>
        <w:tc>
          <w:tcPr>
            <w:tcW w:w="4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Edema*</w:t>
            </w:r>
          </w:p>
        </w:tc>
        <w:tc>
          <w:tcPr>
            <w:tcW w:w="3320" w:type="dxa"/>
            <w:vAlign w:val="bottom"/>
            <w:tcBorders>
              <w:top w:val="single" w:sz="8" w:color="auto"/>
            </w:tcBorders>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2 (25.0%)</w:t>
            </w:r>
          </w:p>
        </w:tc>
        <w:tc>
          <w:tcPr>
            <w:tcW w:w="1180" w:type="dxa"/>
            <w:vAlign w:val="bottom"/>
            <w:tcBorders>
              <w:top w:val="single" w:sz="8" w:color="auto"/>
            </w:tcBorders>
            <w:shd w:val="clear" w:color="auto" w:fill="CCEEFF"/>
          </w:tcPr>
          <w:p>
            <w:pPr>
              <w:jc w:val="center"/>
              <w:ind w:right="52"/>
              <w:spacing w:after="0" w:line="196" w:lineRule="exact"/>
              <w:rPr>
                <w:sz w:val="20"/>
                <w:szCs w:val="20"/>
                <w:color w:val="auto"/>
              </w:rPr>
            </w:pPr>
            <w:r>
              <w:rPr>
                <w:rFonts w:ascii="Arial" w:cs="Arial" w:eastAsia="Arial" w:hAnsi="Arial"/>
                <w:sz w:val="18"/>
                <w:szCs w:val="18"/>
                <w:color w:val="auto"/>
                <w:w w:val="97"/>
              </w:rPr>
              <w:t>1 (12.5%)</w:t>
            </w:r>
          </w:p>
        </w:tc>
        <w:tc>
          <w:tcPr>
            <w:tcW w:w="1180" w:type="dxa"/>
            <w:vAlign w:val="bottom"/>
            <w:tcBorders>
              <w:top w:val="single" w:sz="8" w:color="auto"/>
            </w:tcBorders>
            <w:shd w:val="clear" w:color="auto" w:fill="CCEEFF"/>
          </w:tcPr>
          <w:p>
            <w:pPr>
              <w:jc w:val="center"/>
              <w:ind w:right="52"/>
              <w:spacing w:after="0" w:line="196" w:lineRule="exact"/>
              <w:rPr>
                <w:sz w:val="20"/>
                <w:szCs w:val="20"/>
                <w:color w:val="auto"/>
              </w:rPr>
            </w:pPr>
            <w:r>
              <w:rPr>
                <w:rFonts w:ascii="Arial" w:cs="Arial" w:eastAsia="Arial" w:hAnsi="Arial"/>
                <w:sz w:val="18"/>
                <w:szCs w:val="18"/>
                <w:color w:val="auto"/>
                <w:w w:val="97"/>
              </w:rPr>
              <w:t>1 (12.5%)</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Abdominal discomfort</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Abdominal distension</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Blood creatinine increased</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Decreased appetite</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Dizziness</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Diarrhea</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Leukopenia</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Rash</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 (12.5%)</w:t>
            </w:r>
          </w:p>
        </w:tc>
      </w:tr>
      <w:tr>
        <w:trPr>
          <w:trHeight w:val="21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Rash maculo-papular</w:t>
            </w:r>
          </w:p>
        </w:tc>
        <w:tc>
          <w:tcPr>
            <w:tcW w:w="33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 (12.5%)</w:t>
            </w: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7"/>
              </w:rPr>
              <w:t>1 (12.5%)</w:t>
            </w: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14, 2019.</w:t>
      </w:r>
    </w:p>
    <w:p>
      <w:pPr>
        <w:spacing w:after="0" w:line="69" w:lineRule="exact"/>
        <w:rPr>
          <w:sz w:val="20"/>
          <w:szCs w:val="20"/>
          <w:color w:val="auto"/>
        </w:rPr>
      </w:pPr>
    </w:p>
    <w:p>
      <w:pPr>
        <w:ind w:left="520" w:hanging="316"/>
        <w:spacing w:after="0"/>
        <w:tabs>
          <w:tab w:leader="none" w:pos="5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Consists of eyelid edema, face edema, generalized edema, lip edema, edema, edema peripheral, periorbital edema and peripheral swelling.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Pharmacokinetics</w:t>
      </w:r>
    </w:p>
    <w:p>
      <w:pPr>
        <w:spacing w:after="0" w:line="122" w:lineRule="exact"/>
        <w:rPr>
          <w:sz w:val="20"/>
          <w:szCs w:val="20"/>
          <w:color w:val="auto"/>
        </w:rPr>
      </w:pPr>
    </w:p>
    <w:p>
      <w:pPr>
        <w:ind w:left="200" w:right="640"/>
        <w:spacing w:after="0" w:line="221" w:lineRule="auto"/>
        <w:rPr>
          <w:sz w:val="20"/>
          <w:szCs w:val="20"/>
          <w:color w:val="auto"/>
        </w:rPr>
      </w:pPr>
      <w:r>
        <w:rPr>
          <w:rFonts w:ascii="Arial" w:cs="Arial" w:eastAsia="Arial" w:hAnsi="Arial"/>
          <w:sz w:val="18"/>
          <w:szCs w:val="18"/>
          <w:color w:val="auto"/>
        </w:rPr>
        <w:t>The pharmacokinetic profiles of RMC-4630 and cobimetinib are shown in Table 13 and Figure 14. Plasma levels of RMC-4630 were consistent with those obtained in the RMC-4630-01 study and were continuously greater than our predicted EC</w:t>
      </w:r>
      <w:r>
        <w:rPr>
          <w:rFonts w:ascii="Arial" w:cs="Arial" w:eastAsia="Arial" w:hAnsi="Arial"/>
          <w:sz w:val="22"/>
          <w:szCs w:val="22"/>
          <w:color w:val="auto"/>
          <w:vertAlign w:val="subscript"/>
        </w:rPr>
        <w:t>50</w:t>
      </w:r>
      <w:r>
        <w:rPr>
          <w:rFonts w:ascii="Arial" w:cs="Arial" w:eastAsia="Arial" w:hAnsi="Arial"/>
          <w:sz w:val="18"/>
          <w:szCs w:val="18"/>
          <w:color w:val="auto"/>
        </w:rPr>
        <w:t xml:space="preserve"> for pERK inhibition in preclinical tumor models.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Table 13: </w:t>
      </w:r>
      <w:r>
        <w:rPr>
          <w:rFonts w:ascii="Arial" w:cs="Arial" w:eastAsia="Arial" w:hAnsi="Arial"/>
          <w:sz w:val="18"/>
          <w:szCs w:val="18"/>
          <w:color w:val="auto"/>
        </w:rPr>
        <w:t>Summary of pharmacokinetics in the RMC-4630-02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b w:val="1"/>
                <w:bCs w:val="1"/>
                <w:color w:val="auto"/>
                <w:w w:val="96"/>
              </w:rPr>
              <w:t>Dose (mg)</w:t>
            </w: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PK parameters [Mean(CV%)]</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gridSpan w:val="2"/>
          </w:tcPr>
          <w:p>
            <w:pPr>
              <w:jc w:val="right"/>
              <w:ind w:right="95"/>
              <w:spacing w:after="0" w:line="125" w:lineRule="exact"/>
              <w:rPr>
                <w:sz w:val="20"/>
                <w:szCs w:val="20"/>
                <w:color w:val="auto"/>
              </w:rPr>
            </w:pPr>
            <w:r>
              <w:rPr>
                <w:rFonts w:ascii="Arial" w:cs="Arial" w:eastAsia="Arial" w:hAnsi="Arial"/>
                <w:sz w:val="14"/>
                <w:szCs w:val="14"/>
                <w:b w:val="1"/>
                <w:bCs w:val="1"/>
                <w:color w:val="auto"/>
              </w:rPr>
              <w:t>Median</w:t>
            </w:r>
          </w:p>
        </w:tc>
        <w:tc>
          <w:tcPr>
            <w:tcW w:w="9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54"/>
              <w:spacing w:after="0"/>
              <w:rPr>
                <w:sz w:val="20"/>
                <w:szCs w:val="20"/>
                <w:color w:val="auto"/>
              </w:rPr>
            </w:pPr>
            <w:r>
              <w:rPr>
                <w:rFonts w:ascii="Arial" w:cs="Arial" w:eastAsia="Arial" w:hAnsi="Arial"/>
                <w:sz w:val="27"/>
                <w:szCs w:val="27"/>
                <w:b w:val="1"/>
                <w:bCs w:val="1"/>
                <w:color w:val="auto"/>
                <w:vertAlign w:val="superscript"/>
              </w:rPr>
              <w:t>C</w:t>
            </w:r>
            <w:r>
              <w:rPr>
                <w:rFonts w:ascii="Arial" w:cs="Arial" w:eastAsia="Arial" w:hAnsi="Arial"/>
                <w:sz w:val="11"/>
                <w:szCs w:val="11"/>
                <w:b w:val="1"/>
                <w:bCs w:val="1"/>
                <w:color w:val="auto"/>
              </w:rPr>
              <w:t>max</w:t>
            </w:r>
          </w:p>
        </w:tc>
        <w:tc>
          <w:tcPr>
            <w:tcW w:w="320" w:type="dxa"/>
            <w:vAlign w:val="bottom"/>
          </w:tcPr>
          <w:p>
            <w:pPr>
              <w:spacing w:after="0"/>
              <w:rPr>
                <w:sz w:val="14"/>
                <w:szCs w:val="14"/>
                <w:color w:val="auto"/>
              </w:rPr>
            </w:pPr>
          </w:p>
        </w:tc>
        <w:tc>
          <w:tcPr>
            <w:tcW w:w="480" w:type="dxa"/>
            <w:vAlign w:val="bottom"/>
          </w:tcPr>
          <w:p>
            <w:pPr>
              <w:jc w:val="right"/>
              <w:ind w:right="95"/>
              <w:spacing w:after="0" w:line="165" w:lineRule="exact"/>
              <w:rPr>
                <w:sz w:val="20"/>
                <w:szCs w:val="20"/>
                <w:color w:val="auto"/>
              </w:rPr>
            </w:pPr>
            <w:r>
              <w:rPr>
                <w:rFonts w:ascii="Arial" w:cs="Arial" w:eastAsia="Arial" w:hAnsi="Arial"/>
                <w:sz w:val="19"/>
                <w:szCs w:val="19"/>
                <w:b w:val="1"/>
                <w:bCs w:val="1"/>
                <w:color w:val="auto"/>
                <w:vertAlign w:val="superscript"/>
              </w:rPr>
              <w:t>T</w:t>
            </w:r>
            <w:r>
              <w:rPr>
                <w:rFonts w:ascii="Arial" w:cs="Arial" w:eastAsia="Arial" w:hAnsi="Arial"/>
                <w:sz w:val="9"/>
                <w:szCs w:val="9"/>
                <w:b w:val="1"/>
                <w:bCs w:val="1"/>
                <w:color w:val="auto"/>
              </w:rPr>
              <w:t>max</w:t>
            </w:r>
          </w:p>
        </w:tc>
        <w:tc>
          <w:tcPr>
            <w:tcW w:w="940" w:type="dxa"/>
            <w:vAlign w:val="bottom"/>
            <w:vMerge w:val="restart"/>
          </w:tcPr>
          <w:p>
            <w:pPr>
              <w:jc w:val="right"/>
              <w:ind w:right="174"/>
              <w:spacing w:after="0"/>
              <w:rPr>
                <w:sz w:val="20"/>
                <w:szCs w:val="20"/>
                <w:color w:val="auto"/>
              </w:rPr>
            </w:pPr>
            <w:r>
              <w:rPr>
                <w:rFonts w:ascii="Arial" w:cs="Arial" w:eastAsia="Arial" w:hAnsi="Arial"/>
                <w:sz w:val="27"/>
                <w:szCs w:val="27"/>
                <w:b w:val="1"/>
                <w:bCs w:val="1"/>
                <w:color w:val="auto"/>
                <w:vertAlign w:val="superscript"/>
              </w:rPr>
              <w:t>AUC</w:t>
            </w:r>
            <w:r>
              <w:rPr>
                <w:rFonts w:ascii="Arial" w:cs="Arial" w:eastAsia="Arial" w:hAnsi="Arial"/>
                <w:sz w:val="11"/>
                <w:szCs w:val="11"/>
                <w:b w:val="1"/>
                <w:bCs w:val="1"/>
                <w:color w:val="auto"/>
              </w:rPr>
              <w:t>0-24</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Mean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N(Cmax/</w:t>
            </w:r>
          </w:p>
        </w:tc>
        <w:tc>
          <w:tcPr>
            <w:tcW w:w="8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gridSpan w:val="2"/>
          </w:tcPr>
          <w:p>
            <w:pPr>
              <w:jc w:val="right"/>
              <w:ind w:right="95"/>
              <w:spacing w:after="0" w:line="148" w:lineRule="exact"/>
              <w:rPr>
                <w:sz w:val="20"/>
                <w:szCs w:val="20"/>
                <w:color w:val="auto"/>
              </w:rPr>
            </w:pPr>
            <w:r>
              <w:rPr>
                <w:rFonts w:ascii="Arial" w:cs="Arial" w:eastAsia="Arial" w:hAnsi="Arial"/>
                <w:sz w:val="14"/>
                <w:szCs w:val="14"/>
                <w:b w:val="1"/>
                <w:bCs w:val="1"/>
                <w:color w:val="auto"/>
              </w:rPr>
              <w:t>(range)</w:t>
            </w:r>
          </w:p>
        </w:tc>
        <w:tc>
          <w:tcPr>
            <w:tcW w:w="940" w:type="dxa"/>
            <w:vAlign w:val="bottom"/>
            <w:tcBorders>
              <w:bottom w:val="single" w:sz="8" w:color="auto"/>
            </w:tcBorders>
            <w:vMerge w:val="continue"/>
          </w:tcPr>
          <w:p>
            <w:pPr>
              <w:spacing w:after="0"/>
              <w:rPr>
                <w:sz w:val="12"/>
                <w:szCs w:val="12"/>
                <w:color w:val="auto"/>
              </w:rPr>
            </w:pPr>
          </w:p>
        </w:tc>
        <w:tc>
          <w:tcPr>
            <w:tcW w:w="116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rPr>
              <w:t>accumulation</w:t>
            </w:r>
          </w:p>
        </w:tc>
        <w:tc>
          <w:tcPr>
            <w:tcW w:w="0" w:type="dxa"/>
            <w:vAlign w:val="bottom"/>
          </w:tcPr>
          <w:p>
            <w:pPr>
              <w:spacing w:after="0"/>
              <w:rPr>
                <w:sz w:val="1"/>
                <w:szCs w:val="1"/>
                <w:color w:val="auto"/>
              </w:rPr>
            </w:pPr>
          </w:p>
        </w:tc>
      </w:tr>
      <w:tr>
        <w:trPr>
          <w:trHeight w:val="143"/>
        </w:trPr>
        <w:tc>
          <w:tcPr>
            <w:tcW w:w="27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Study</w:t>
            </w:r>
          </w:p>
        </w:tc>
        <w:tc>
          <w:tcPr>
            <w:tcW w:w="160" w:type="dxa"/>
            <w:vAlign w:val="bottom"/>
          </w:tcPr>
          <w:p>
            <w:pPr>
              <w:spacing w:after="0"/>
              <w:rPr>
                <w:sz w:val="12"/>
                <w:szCs w:val="12"/>
                <w:color w:val="auto"/>
              </w:rPr>
            </w:pPr>
          </w:p>
        </w:tc>
        <w:tc>
          <w:tcPr>
            <w:tcW w:w="760" w:type="dxa"/>
            <w:vAlign w:val="bottom"/>
          </w:tcPr>
          <w:p>
            <w:pPr>
              <w:jc w:val="right"/>
              <w:ind w:right="32"/>
              <w:spacing w:after="0" w:line="143" w:lineRule="exact"/>
              <w:rPr>
                <w:sz w:val="20"/>
                <w:szCs w:val="20"/>
                <w:color w:val="auto"/>
              </w:rPr>
            </w:pPr>
            <w:r>
              <w:rPr>
                <w:rFonts w:ascii="Arial" w:cs="Arial" w:eastAsia="Arial" w:hAnsi="Arial"/>
                <w:sz w:val="14"/>
                <w:szCs w:val="14"/>
                <w:b w:val="1"/>
                <w:bCs w:val="1"/>
                <w:color w:val="auto"/>
                <w:w w:val="94"/>
              </w:rPr>
              <w:t>RMC-4630</w:t>
            </w:r>
          </w:p>
        </w:tc>
        <w:tc>
          <w:tcPr>
            <w:tcW w:w="920" w:type="dxa"/>
            <w:vAlign w:val="bottom"/>
          </w:tcPr>
          <w:p>
            <w:pPr>
              <w:ind w:left="100"/>
              <w:spacing w:after="0" w:line="143" w:lineRule="exact"/>
              <w:rPr>
                <w:sz w:val="20"/>
                <w:szCs w:val="20"/>
                <w:color w:val="auto"/>
              </w:rPr>
            </w:pPr>
            <w:r>
              <w:rPr>
                <w:rFonts w:ascii="Arial" w:cs="Arial" w:eastAsia="Arial" w:hAnsi="Arial"/>
                <w:sz w:val="14"/>
                <w:szCs w:val="14"/>
                <w:b w:val="1"/>
                <w:bCs w:val="1"/>
                <w:color w:val="auto"/>
                <w:w w:val="98"/>
              </w:rPr>
              <w:t>Cobimetinib</w:t>
            </w:r>
          </w:p>
        </w:tc>
        <w:tc>
          <w:tcPr>
            <w:tcW w:w="1020" w:type="dxa"/>
            <w:vAlign w:val="bottom"/>
          </w:tcPr>
          <w:p>
            <w:pPr>
              <w:ind w:left="440"/>
              <w:spacing w:after="0" w:line="143" w:lineRule="exact"/>
              <w:rPr>
                <w:sz w:val="20"/>
                <w:szCs w:val="20"/>
                <w:color w:val="auto"/>
              </w:rPr>
            </w:pPr>
            <w:r>
              <w:rPr>
                <w:rFonts w:ascii="Arial" w:cs="Arial" w:eastAsia="Arial" w:hAnsi="Arial"/>
                <w:sz w:val="14"/>
                <w:szCs w:val="14"/>
                <w:b w:val="1"/>
                <w:bCs w:val="1"/>
                <w:color w:val="auto"/>
              </w:rPr>
              <w:t>Analyte</w:t>
            </w:r>
          </w:p>
        </w:tc>
        <w:tc>
          <w:tcPr>
            <w:tcW w:w="580" w:type="dxa"/>
            <w:vAlign w:val="bottom"/>
          </w:tcPr>
          <w:p>
            <w:pPr>
              <w:jc w:val="right"/>
              <w:ind w:right="52"/>
              <w:spacing w:after="0" w:line="143" w:lineRule="exact"/>
              <w:rPr>
                <w:sz w:val="20"/>
                <w:szCs w:val="20"/>
                <w:color w:val="auto"/>
              </w:rPr>
            </w:pPr>
            <w:r>
              <w:rPr>
                <w:rFonts w:ascii="Arial" w:cs="Arial" w:eastAsia="Arial" w:hAnsi="Arial"/>
                <w:sz w:val="14"/>
                <w:szCs w:val="14"/>
                <w:b w:val="1"/>
                <w:bCs w:val="1"/>
                <w:color w:val="auto"/>
              </w:rPr>
              <w:t>Cycle</w:t>
            </w:r>
          </w:p>
        </w:tc>
        <w:tc>
          <w:tcPr>
            <w:tcW w:w="460" w:type="dxa"/>
            <w:vAlign w:val="bottom"/>
          </w:tcPr>
          <w:p>
            <w:pPr>
              <w:jc w:val="right"/>
              <w:ind w:right="52"/>
              <w:spacing w:after="0" w:line="143" w:lineRule="exact"/>
              <w:rPr>
                <w:sz w:val="20"/>
                <w:szCs w:val="20"/>
                <w:color w:val="auto"/>
              </w:rPr>
            </w:pPr>
            <w:r>
              <w:rPr>
                <w:rFonts w:ascii="Arial" w:cs="Arial" w:eastAsia="Arial" w:hAnsi="Arial"/>
                <w:sz w:val="14"/>
                <w:szCs w:val="14"/>
                <w:b w:val="1"/>
                <w:bCs w:val="1"/>
                <w:color w:val="auto"/>
              </w:rPr>
              <w:t>Day</w:t>
            </w: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AUC)</w:t>
            </w:r>
          </w:p>
        </w:tc>
        <w:tc>
          <w:tcPr>
            <w:tcW w:w="800" w:type="dxa"/>
            <w:vAlign w:val="bottom"/>
          </w:tcPr>
          <w:p>
            <w:pPr>
              <w:jc w:val="right"/>
              <w:ind w:right="54"/>
              <w:spacing w:after="0" w:line="143" w:lineRule="exact"/>
              <w:rPr>
                <w:sz w:val="20"/>
                <w:szCs w:val="20"/>
                <w:color w:val="auto"/>
              </w:rPr>
            </w:pPr>
            <w:r>
              <w:rPr>
                <w:rFonts w:ascii="Arial" w:cs="Arial" w:eastAsia="Arial" w:hAnsi="Arial"/>
                <w:sz w:val="14"/>
                <w:szCs w:val="14"/>
                <w:b w:val="1"/>
                <w:bCs w:val="1"/>
                <w:color w:val="auto"/>
              </w:rPr>
              <w:t>µM</w:t>
            </w:r>
          </w:p>
        </w:tc>
        <w:tc>
          <w:tcPr>
            <w:tcW w:w="320" w:type="dxa"/>
            <w:vAlign w:val="bottom"/>
          </w:tcPr>
          <w:p>
            <w:pPr>
              <w:spacing w:after="0"/>
              <w:rPr>
                <w:sz w:val="12"/>
                <w:szCs w:val="12"/>
                <w:color w:val="auto"/>
              </w:rPr>
            </w:pPr>
          </w:p>
        </w:tc>
        <w:tc>
          <w:tcPr>
            <w:tcW w:w="480" w:type="dxa"/>
            <w:vAlign w:val="bottom"/>
          </w:tcPr>
          <w:p>
            <w:pPr>
              <w:jc w:val="right"/>
              <w:ind w:right="95"/>
              <w:spacing w:after="0" w:line="143" w:lineRule="exact"/>
              <w:rPr>
                <w:sz w:val="20"/>
                <w:szCs w:val="20"/>
                <w:color w:val="auto"/>
              </w:rPr>
            </w:pPr>
            <w:r>
              <w:rPr>
                <w:rFonts w:ascii="Arial" w:cs="Arial" w:eastAsia="Arial" w:hAnsi="Arial"/>
                <w:sz w:val="14"/>
                <w:szCs w:val="14"/>
                <w:b w:val="1"/>
                <w:bCs w:val="1"/>
                <w:color w:val="auto"/>
              </w:rPr>
              <w:t>h</w:t>
            </w:r>
          </w:p>
        </w:tc>
        <w:tc>
          <w:tcPr>
            <w:tcW w:w="940" w:type="dxa"/>
            <w:vAlign w:val="bottom"/>
          </w:tcPr>
          <w:p>
            <w:pPr>
              <w:jc w:val="right"/>
              <w:ind w:right="174"/>
              <w:spacing w:after="0" w:line="143" w:lineRule="exact"/>
              <w:rPr>
                <w:sz w:val="20"/>
                <w:szCs w:val="20"/>
                <w:color w:val="auto"/>
              </w:rPr>
            </w:pPr>
            <w:r>
              <w:rPr>
                <w:rFonts w:ascii="Arial" w:cs="Arial" w:eastAsia="Arial" w:hAnsi="Arial"/>
                <w:sz w:val="14"/>
                <w:szCs w:val="14"/>
                <w:b w:val="1"/>
                <w:bCs w:val="1"/>
                <w:color w:val="auto"/>
              </w:rPr>
              <w:t>µM*h</w:t>
            </w:r>
          </w:p>
        </w:tc>
        <w:tc>
          <w:tcPr>
            <w:tcW w:w="1160" w:type="dxa"/>
            <w:vAlign w:val="bottom"/>
            <w:gridSpan w:val="2"/>
          </w:tcPr>
          <w:p>
            <w:pPr>
              <w:jc w:val="right"/>
              <w:ind w:right="60"/>
              <w:spacing w:after="0" w:line="143" w:lineRule="exact"/>
              <w:rPr>
                <w:sz w:val="20"/>
                <w:szCs w:val="20"/>
                <w:color w:val="auto"/>
              </w:rPr>
            </w:pPr>
            <w:r>
              <w:rPr>
                <w:rFonts w:ascii="Arial" w:cs="Arial" w:eastAsia="Arial" w:hAnsi="Arial"/>
                <w:sz w:val="14"/>
                <w:szCs w:val="14"/>
                <w:b w:val="1"/>
                <w:bCs w:val="1"/>
                <w:color w:val="auto"/>
              </w:rPr>
              <w:t>(AUC Ratio)</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RMC-4630-02</w:t>
            </w:r>
          </w:p>
        </w:tc>
        <w:tc>
          <w:tcPr>
            <w:tcW w:w="920" w:type="dxa"/>
            <w:vAlign w:val="bottom"/>
            <w:tcBorders>
              <w:top w:val="single" w:sz="8" w:color="auto"/>
            </w:tcBorders>
            <w:gridSpan w:val="2"/>
            <w:shd w:val="clear" w:color="auto" w:fill="CCEEFF"/>
          </w:tcPr>
          <w:p>
            <w:pPr>
              <w:jc w:val="right"/>
              <w:ind w:right="232"/>
              <w:spacing w:after="0" w:line="141" w:lineRule="exact"/>
              <w:rPr>
                <w:sz w:val="20"/>
                <w:szCs w:val="20"/>
                <w:color w:val="auto"/>
              </w:rPr>
            </w:pPr>
            <w:r>
              <w:rPr>
                <w:rFonts w:ascii="Arial" w:cs="Arial" w:eastAsia="Arial" w:hAnsi="Arial"/>
                <w:sz w:val="14"/>
                <w:szCs w:val="14"/>
                <w:color w:val="auto"/>
              </w:rPr>
              <w:t>80</w:t>
            </w:r>
          </w:p>
        </w:tc>
        <w:tc>
          <w:tcPr>
            <w:tcW w:w="920" w:type="dxa"/>
            <w:vAlign w:val="bottom"/>
            <w:tcBorders>
              <w:top w:val="single" w:sz="8" w:color="auto"/>
            </w:tcBorders>
            <w:shd w:val="clear" w:color="auto" w:fill="CCEEFF"/>
          </w:tcPr>
          <w:p>
            <w:pPr>
              <w:jc w:val="center"/>
              <w:ind w:left="132"/>
              <w:spacing w:after="0" w:line="141" w:lineRule="exact"/>
              <w:rPr>
                <w:sz w:val="20"/>
                <w:szCs w:val="20"/>
                <w:color w:val="auto"/>
              </w:rPr>
            </w:pPr>
            <w:r>
              <w:rPr>
                <w:rFonts w:ascii="Arial" w:cs="Arial" w:eastAsia="Arial" w:hAnsi="Arial"/>
                <w:sz w:val="14"/>
                <w:szCs w:val="14"/>
                <w:color w:val="auto"/>
              </w:rPr>
              <w:t>20</w:t>
            </w:r>
          </w:p>
        </w:tc>
        <w:tc>
          <w:tcPr>
            <w:tcW w:w="1020" w:type="dxa"/>
            <w:vAlign w:val="bottom"/>
            <w:tcBorders>
              <w:top w:val="single" w:sz="8" w:color="auto"/>
            </w:tcBorders>
            <w:shd w:val="clear" w:color="auto" w:fill="CCEEFF"/>
          </w:tcPr>
          <w:p>
            <w:pPr>
              <w:jc w:val="center"/>
              <w:ind w:left="32"/>
              <w:spacing w:after="0" w:line="141" w:lineRule="exact"/>
              <w:rPr>
                <w:sz w:val="20"/>
                <w:szCs w:val="20"/>
                <w:color w:val="auto"/>
              </w:rPr>
            </w:pPr>
            <w:r>
              <w:rPr>
                <w:rFonts w:ascii="Arial" w:cs="Arial" w:eastAsia="Arial" w:hAnsi="Arial"/>
                <w:sz w:val="14"/>
                <w:szCs w:val="14"/>
                <w:color w:val="auto"/>
                <w:w w:val="94"/>
              </w:rPr>
              <w:t>RMC-4630</w:t>
            </w:r>
          </w:p>
        </w:tc>
        <w:tc>
          <w:tcPr>
            <w:tcW w:w="580" w:type="dxa"/>
            <w:vAlign w:val="bottom"/>
            <w:tcBorders>
              <w:top w:val="single" w:sz="8" w:color="auto"/>
            </w:tcBorders>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1</w:t>
            </w:r>
          </w:p>
        </w:tc>
        <w:tc>
          <w:tcPr>
            <w:tcW w:w="460" w:type="dxa"/>
            <w:vAlign w:val="bottom"/>
            <w:tcBorders>
              <w:top w:val="single" w:sz="8" w:color="auto"/>
            </w:tcBorders>
            <w:shd w:val="clear" w:color="auto" w:fill="CCEEFF"/>
          </w:tcPr>
          <w:p>
            <w:pPr>
              <w:jc w:val="right"/>
              <w:ind w:right="52"/>
              <w:spacing w:after="0" w:line="141" w:lineRule="exact"/>
              <w:rPr>
                <w:sz w:val="20"/>
                <w:szCs w:val="20"/>
                <w:color w:val="auto"/>
              </w:rPr>
            </w:pPr>
            <w:r>
              <w:rPr>
                <w:rFonts w:ascii="Arial" w:cs="Arial" w:eastAsia="Arial" w:hAnsi="Arial"/>
                <w:sz w:val="14"/>
                <w:szCs w:val="14"/>
                <w:color w:val="auto"/>
              </w:rPr>
              <w:t>1</w:t>
            </w:r>
          </w:p>
        </w:tc>
        <w:tc>
          <w:tcPr>
            <w:tcW w:w="700" w:type="dxa"/>
            <w:vAlign w:val="bottom"/>
            <w:tcBorders>
              <w:top w:val="single" w:sz="8" w:color="auto"/>
            </w:tcBorders>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8/8</w:t>
            </w:r>
          </w:p>
        </w:tc>
        <w:tc>
          <w:tcPr>
            <w:tcW w:w="800" w:type="dxa"/>
            <w:vAlign w:val="bottom"/>
            <w:tcBorders>
              <w:top w:val="single" w:sz="8" w:color="auto"/>
            </w:tcBorders>
            <w:shd w:val="clear" w:color="auto" w:fill="CCEEFF"/>
          </w:tcPr>
          <w:p>
            <w:pPr>
              <w:jc w:val="right"/>
              <w:ind w:right="54"/>
              <w:spacing w:after="0" w:line="141" w:lineRule="exact"/>
              <w:rPr>
                <w:sz w:val="20"/>
                <w:szCs w:val="20"/>
                <w:color w:val="auto"/>
              </w:rPr>
            </w:pPr>
            <w:r>
              <w:rPr>
                <w:rFonts w:ascii="Arial" w:cs="Arial" w:eastAsia="Arial" w:hAnsi="Arial"/>
                <w:sz w:val="14"/>
                <w:szCs w:val="14"/>
                <w:color w:val="auto"/>
              </w:rPr>
              <w:t>0.518 (47)</w:t>
            </w:r>
          </w:p>
        </w:tc>
        <w:tc>
          <w:tcPr>
            <w:tcW w:w="3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w:t>
            </w:r>
          </w:p>
        </w:tc>
        <w:tc>
          <w:tcPr>
            <w:tcW w:w="480" w:type="dxa"/>
            <w:vAlign w:val="bottom"/>
            <w:tcBorders>
              <w:top w:val="single" w:sz="8" w:color="auto"/>
            </w:tcBorders>
            <w:shd w:val="clear" w:color="auto" w:fill="CCEEFF"/>
          </w:tcPr>
          <w:p>
            <w:pPr>
              <w:jc w:val="right"/>
              <w:ind w:right="95"/>
              <w:spacing w:after="0" w:line="141" w:lineRule="exact"/>
              <w:rPr>
                <w:sz w:val="20"/>
                <w:szCs w:val="20"/>
                <w:color w:val="auto"/>
              </w:rPr>
            </w:pPr>
            <w:r>
              <w:rPr>
                <w:rFonts w:ascii="Arial" w:cs="Arial" w:eastAsia="Arial" w:hAnsi="Arial"/>
                <w:sz w:val="14"/>
                <w:szCs w:val="14"/>
                <w:color w:val="auto"/>
              </w:rPr>
              <w:t>(1-4)</w:t>
            </w:r>
          </w:p>
        </w:tc>
        <w:tc>
          <w:tcPr>
            <w:tcW w:w="940" w:type="dxa"/>
            <w:vAlign w:val="bottom"/>
            <w:tcBorders>
              <w:top w:val="single" w:sz="8" w:color="auto"/>
            </w:tcBorders>
            <w:shd w:val="clear" w:color="auto" w:fill="CCEEFF"/>
          </w:tcPr>
          <w:p>
            <w:pPr>
              <w:jc w:val="right"/>
              <w:ind w:right="174"/>
              <w:spacing w:after="0" w:line="141" w:lineRule="exact"/>
              <w:rPr>
                <w:sz w:val="20"/>
                <w:szCs w:val="20"/>
                <w:color w:val="auto"/>
              </w:rPr>
            </w:pPr>
            <w:r>
              <w:rPr>
                <w:rFonts w:ascii="Arial" w:cs="Arial" w:eastAsia="Arial" w:hAnsi="Arial"/>
                <w:sz w:val="14"/>
                <w:szCs w:val="14"/>
                <w:color w:val="auto"/>
              </w:rPr>
              <w:t>6.14 (35)</w:t>
            </w:r>
          </w:p>
        </w:tc>
        <w:tc>
          <w:tcPr>
            <w:tcW w:w="1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800" w:type="dxa"/>
            <w:vAlign w:val="bottom"/>
            <w:shd w:val="clear" w:color="auto" w:fill="CCEEFF"/>
          </w:tcPr>
          <w:p>
            <w:pPr>
              <w:jc w:val="right"/>
              <w:ind w:right="54"/>
              <w:spacing w:after="0" w:line="149" w:lineRule="exact"/>
              <w:rPr>
                <w:sz w:val="20"/>
                <w:szCs w:val="20"/>
                <w:color w:val="auto"/>
              </w:rPr>
            </w:pPr>
            <w:r>
              <w:rPr>
                <w:rFonts w:ascii="Arial" w:cs="Arial" w:eastAsia="Arial" w:hAnsi="Arial"/>
                <w:sz w:val="14"/>
                <w:szCs w:val="14"/>
                <w:color w:val="auto"/>
              </w:rPr>
              <w:t>0.657 (53)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(1-4)</w:t>
            </w:r>
          </w:p>
        </w:tc>
        <w:tc>
          <w:tcPr>
            <w:tcW w:w="940" w:type="dxa"/>
            <w:vAlign w:val="bottom"/>
            <w:shd w:val="clear" w:color="auto" w:fill="CCEEFF"/>
          </w:tcPr>
          <w:p>
            <w:pPr>
              <w:jc w:val="right"/>
              <w:ind w:right="174"/>
              <w:spacing w:after="0" w:line="149" w:lineRule="exact"/>
              <w:rPr>
                <w:sz w:val="20"/>
                <w:szCs w:val="20"/>
                <w:color w:val="auto"/>
              </w:rPr>
            </w:pPr>
            <w:r>
              <w:rPr>
                <w:rFonts w:ascii="Arial" w:cs="Arial" w:eastAsia="Arial" w:hAnsi="Arial"/>
                <w:sz w:val="14"/>
                <w:szCs w:val="14"/>
                <w:color w:val="auto"/>
              </w:rPr>
              <w:t>10.7 (67)</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7"/>
              </w:rPr>
              <w:t>Cobimetinib</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800" w:type="dxa"/>
            <w:vAlign w:val="bottom"/>
            <w:shd w:val="clear" w:color="auto" w:fill="CCEEFF"/>
          </w:tcPr>
          <w:p>
            <w:pPr>
              <w:jc w:val="right"/>
              <w:ind w:right="54"/>
              <w:spacing w:after="0" w:line="149" w:lineRule="exact"/>
              <w:rPr>
                <w:sz w:val="20"/>
                <w:szCs w:val="20"/>
                <w:color w:val="auto"/>
              </w:rPr>
            </w:pPr>
            <w:r>
              <w:rPr>
                <w:rFonts w:ascii="Arial" w:cs="Arial" w:eastAsia="Arial" w:hAnsi="Arial"/>
                <w:sz w:val="14"/>
                <w:szCs w:val="14"/>
                <w:color w:val="auto"/>
              </w:rPr>
              <w:t>0.126 (71)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(1-4)</w:t>
            </w:r>
          </w:p>
        </w:tc>
        <w:tc>
          <w:tcPr>
            <w:tcW w:w="940" w:type="dxa"/>
            <w:vAlign w:val="bottom"/>
            <w:shd w:val="clear" w:color="auto" w:fill="CCEEFF"/>
          </w:tcPr>
          <w:p>
            <w:pPr>
              <w:jc w:val="right"/>
              <w:ind w:right="174"/>
              <w:spacing w:after="0" w:line="149" w:lineRule="exact"/>
              <w:rPr>
                <w:sz w:val="20"/>
                <w:szCs w:val="20"/>
                <w:color w:val="auto"/>
              </w:rPr>
            </w:pPr>
            <w:r>
              <w:rPr>
                <w:rFonts w:ascii="Arial" w:cs="Arial" w:eastAsia="Arial" w:hAnsi="Arial"/>
                <w:sz w:val="14"/>
                <w:szCs w:val="14"/>
                <w:color w:val="auto"/>
              </w:rPr>
              <w:t>1.55 (85)</w:t>
            </w: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w:t>
            </w:r>
          </w:p>
        </w:tc>
        <w:tc>
          <w:tcPr>
            <w:tcW w:w="7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5/5</w:t>
            </w:r>
          </w:p>
        </w:tc>
        <w:tc>
          <w:tcPr>
            <w:tcW w:w="800" w:type="dxa"/>
            <w:vAlign w:val="bottom"/>
            <w:shd w:val="clear" w:color="auto" w:fill="CCEEFF"/>
          </w:tcPr>
          <w:p>
            <w:pPr>
              <w:jc w:val="right"/>
              <w:ind w:right="54"/>
              <w:spacing w:after="0" w:line="149" w:lineRule="exact"/>
              <w:rPr>
                <w:sz w:val="20"/>
                <w:szCs w:val="20"/>
                <w:color w:val="auto"/>
              </w:rPr>
            </w:pPr>
            <w:r>
              <w:rPr>
                <w:rFonts w:ascii="Arial" w:cs="Arial" w:eastAsia="Arial" w:hAnsi="Arial"/>
                <w:sz w:val="14"/>
                <w:szCs w:val="14"/>
                <w:color w:val="auto"/>
              </w:rPr>
              <w:t>0.374 (41)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8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(1-8)</w:t>
            </w:r>
          </w:p>
        </w:tc>
        <w:tc>
          <w:tcPr>
            <w:tcW w:w="940" w:type="dxa"/>
            <w:vAlign w:val="bottom"/>
            <w:shd w:val="clear" w:color="auto" w:fill="CCEEFF"/>
          </w:tcPr>
          <w:p>
            <w:pPr>
              <w:jc w:val="right"/>
              <w:ind w:right="174"/>
              <w:spacing w:after="0" w:line="149" w:lineRule="exact"/>
              <w:rPr>
                <w:sz w:val="20"/>
                <w:szCs w:val="20"/>
                <w:color w:val="auto"/>
              </w:rPr>
            </w:pPr>
            <w:r>
              <w:rPr>
                <w:rFonts w:ascii="Arial" w:cs="Arial" w:eastAsia="Arial" w:hAnsi="Arial"/>
                <w:sz w:val="14"/>
                <w:szCs w:val="14"/>
                <w:color w:val="auto"/>
              </w:rPr>
              <w:t>7.09 (51)</w:t>
            </w:r>
          </w:p>
        </w:tc>
        <w:tc>
          <w:tcPr>
            <w:tcW w:w="112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4.6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line="148" w:lineRule="exact"/>
              <w:rPr>
                <w:sz w:val="20"/>
                <w:szCs w:val="20"/>
                <w:color w:val="auto"/>
              </w:rPr>
            </w:pPr>
            <w:r>
              <w:rPr>
                <w:rFonts w:ascii="Arial" w:cs="Arial" w:eastAsia="Arial" w:hAnsi="Arial"/>
                <w:sz w:val="14"/>
                <w:szCs w:val="14"/>
                <w:color w:val="auto"/>
              </w:rPr>
              <w:t>RMC-4630-01</w:t>
            </w:r>
          </w:p>
        </w:tc>
        <w:tc>
          <w:tcPr>
            <w:tcW w:w="160" w:type="dxa"/>
            <w:vAlign w:val="bottom"/>
          </w:tcPr>
          <w:p>
            <w:pPr>
              <w:spacing w:after="0"/>
              <w:rPr>
                <w:sz w:val="12"/>
                <w:szCs w:val="12"/>
                <w:color w:val="auto"/>
              </w:rPr>
            </w:pPr>
          </w:p>
        </w:tc>
        <w:tc>
          <w:tcPr>
            <w:tcW w:w="760" w:type="dxa"/>
            <w:vAlign w:val="bottom"/>
          </w:tcPr>
          <w:p>
            <w:pPr>
              <w:jc w:val="right"/>
              <w:ind w:right="232"/>
              <w:spacing w:after="0" w:line="148" w:lineRule="exact"/>
              <w:rPr>
                <w:sz w:val="20"/>
                <w:szCs w:val="20"/>
                <w:color w:val="auto"/>
              </w:rPr>
            </w:pPr>
            <w:r>
              <w:rPr>
                <w:rFonts w:ascii="Arial" w:cs="Arial" w:eastAsia="Arial" w:hAnsi="Arial"/>
                <w:sz w:val="14"/>
                <w:szCs w:val="14"/>
                <w:color w:val="auto"/>
              </w:rPr>
              <w:t>80</w:t>
            </w:r>
          </w:p>
        </w:tc>
        <w:tc>
          <w:tcPr>
            <w:tcW w:w="920" w:type="dxa"/>
            <w:vAlign w:val="bottom"/>
          </w:tcPr>
          <w:p>
            <w:pPr>
              <w:jc w:val="center"/>
              <w:ind w:left="132"/>
              <w:spacing w:after="0" w:line="148" w:lineRule="exact"/>
              <w:rPr>
                <w:sz w:val="20"/>
                <w:szCs w:val="20"/>
                <w:color w:val="auto"/>
              </w:rPr>
            </w:pPr>
            <w:r>
              <w:rPr>
                <w:rFonts w:ascii="Arial" w:cs="Arial" w:eastAsia="Arial" w:hAnsi="Arial"/>
                <w:sz w:val="14"/>
                <w:szCs w:val="14"/>
                <w:color w:val="auto"/>
              </w:rPr>
              <w:t>NA</w:t>
            </w:r>
          </w:p>
        </w:tc>
        <w:tc>
          <w:tcPr>
            <w:tcW w:w="1020" w:type="dxa"/>
            <w:vAlign w:val="bottom"/>
          </w:tcPr>
          <w:p>
            <w:pPr>
              <w:jc w:val="center"/>
              <w:ind w:left="32"/>
              <w:spacing w:after="0" w:line="148" w:lineRule="exact"/>
              <w:rPr>
                <w:sz w:val="20"/>
                <w:szCs w:val="20"/>
                <w:color w:val="auto"/>
              </w:rPr>
            </w:pPr>
            <w:r>
              <w:rPr>
                <w:rFonts w:ascii="Arial" w:cs="Arial" w:eastAsia="Arial" w:hAnsi="Arial"/>
                <w:sz w:val="14"/>
                <w:szCs w:val="14"/>
                <w:color w:val="auto"/>
                <w:w w:val="94"/>
              </w:rPr>
              <w:t>RMC-4630</w:t>
            </w:r>
          </w:p>
        </w:tc>
        <w:tc>
          <w:tcPr>
            <w:tcW w:w="580" w:type="dxa"/>
            <w:vAlign w:val="bottom"/>
          </w:tcPr>
          <w:p>
            <w:pPr>
              <w:jc w:val="right"/>
              <w:ind w:right="132"/>
              <w:spacing w:after="0" w:line="148" w:lineRule="exact"/>
              <w:rPr>
                <w:sz w:val="20"/>
                <w:szCs w:val="20"/>
                <w:color w:val="auto"/>
              </w:rPr>
            </w:pPr>
            <w:r>
              <w:rPr>
                <w:rFonts w:ascii="Arial" w:cs="Arial" w:eastAsia="Arial" w:hAnsi="Arial"/>
                <w:sz w:val="14"/>
                <w:szCs w:val="14"/>
                <w:color w:val="auto"/>
              </w:rPr>
              <w:t>1</w:t>
            </w:r>
          </w:p>
        </w:tc>
        <w:tc>
          <w:tcPr>
            <w:tcW w:w="4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1</w:t>
            </w:r>
          </w:p>
        </w:tc>
        <w:tc>
          <w:tcPr>
            <w:tcW w:w="700" w:type="dxa"/>
            <w:vAlign w:val="bottom"/>
          </w:tcPr>
          <w:p>
            <w:pPr>
              <w:jc w:val="right"/>
              <w:ind w:right="132"/>
              <w:spacing w:after="0" w:line="148" w:lineRule="exact"/>
              <w:rPr>
                <w:sz w:val="20"/>
                <w:szCs w:val="20"/>
                <w:color w:val="auto"/>
              </w:rPr>
            </w:pPr>
            <w:r>
              <w:rPr>
                <w:rFonts w:ascii="Arial" w:cs="Arial" w:eastAsia="Arial" w:hAnsi="Arial"/>
                <w:sz w:val="14"/>
                <w:szCs w:val="14"/>
                <w:color w:val="auto"/>
              </w:rPr>
              <w:t>6/6</w:t>
            </w:r>
          </w:p>
        </w:tc>
        <w:tc>
          <w:tcPr>
            <w:tcW w:w="800" w:type="dxa"/>
            <w:vAlign w:val="bottom"/>
          </w:tcPr>
          <w:p>
            <w:pPr>
              <w:jc w:val="right"/>
              <w:ind w:right="54"/>
              <w:spacing w:after="0" w:line="148" w:lineRule="exact"/>
              <w:rPr>
                <w:sz w:val="20"/>
                <w:szCs w:val="20"/>
                <w:color w:val="auto"/>
              </w:rPr>
            </w:pPr>
            <w:r>
              <w:rPr>
                <w:rFonts w:ascii="Arial" w:cs="Arial" w:eastAsia="Arial" w:hAnsi="Arial"/>
                <w:sz w:val="14"/>
                <w:szCs w:val="14"/>
                <w:color w:val="auto"/>
              </w:rPr>
              <w:t>0.472 (84)</w:t>
            </w:r>
          </w:p>
        </w:tc>
        <w:tc>
          <w:tcPr>
            <w:tcW w:w="320" w:type="dxa"/>
            <w:vAlign w:val="bottom"/>
          </w:tcPr>
          <w:p>
            <w:pPr>
              <w:jc w:val="right"/>
              <w:spacing w:after="0" w:line="148" w:lineRule="exact"/>
              <w:rPr>
                <w:sz w:val="20"/>
                <w:szCs w:val="20"/>
                <w:color w:val="auto"/>
              </w:rPr>
            </w:pPr>
            <w:r>
              <w:rPr>
                <w:rFonts w:ascii="Arial" w:cs="Arial" w:eastAsia="Arial" w:hAnsi="Arial"/>
                <w:sz w:val="14"/>
                <w:szCs w:val="14"/>
                <w:color w:val="auto"/>
              </w:rPr>
              <w:t>3</w:t>
            </w:r>
          </w:p>
        </w:tc>
        <w:tc>
          <w:tcPr>
            <w:tcW w:w="480" w:type="dxa"/>
            <w:vAlign w:val="bottom"/>
          </w:tcPr>
          <w:p>
            <w:pPr>
              <w:jc w:val="right"/>
              <w:ind w:right="95"/>
              <w:spacing w:after="0" w:line="148" w:lineRule="exact"/>
              <w:rPr>
                <w:sz w:val="20"/>
                <w:szCs w:val="20"/>
                <w:color w:val="auto"/>
              </w:rPr>
            </w:pPr>
            <w:r>
              <w:rPr>
                <w:rFonts w:ascii="Arial" w:cs="Arial" w:eastAsia="Arial" w:hAnsi="Arial"/>
                <w:sz w:val="14"/>
                <w:szCs w:val="14"/>
                <w:color w:val="auto"/>
              </w:rPr>
              <w:t>(1-4)</w:t>
            </w:r>
          </w:p>
        </w:tc>
        <w:tc>
          <w:tcPr>
            <w:tcW w:w="940" w:type="dxa"/>
            <w:vAlign w:val="bottom"/>
          </w:tcPr>
          <w:p>
            <w:pPr>
              <w:jc w:val="right"/>
              <w:ind w:right="174"/>
              <w:spacing w:after="0" w:line="148" w:lineRule="exact"/>
              <w:rPr>
                <w:sz w:val="20"/>
                <w:szCs w:val="20"/>
                <w:color w:val="auto"/>
              </w:rPr>
            </w:pPr>
            <w:r>
              <w:rPr>
                <w:rFonts w:ascii="Arial" w:cs="Arial" w:eastAsia="Arial" w:hAnsi="Arial"/>
                <w:sz w:val="14"/>
                <w:szCs w:val="14"/>
                <w:color w:val="auto"/>
              </w:rPr>
              <w:t>6.03 (56)</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22</w:t>
            </w: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2/2</w:t>
            </w: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0.844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(2-4)</w:t>
            </w: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13.9</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1, 2019.</w:t>
      </w:r>
    </w:p>
    <w:p>
      <w:pPr>
        <w:spacing w:after="0" w:line="69"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2"/>
          <w:szCs w:val="12"/>
          <w:color w:val="auto"/>
        </w:rPr>
        <w:t>of patients evaluated for parameters Cmax and AUC are shown in N(Cmax/AUC) column.</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59" w:right="4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15</w:t>
      </w:r>
      <w:r>
        <w:rPr>
          <w:rFonts w:ascii="Arial" w:cs="Arial" w:eastAsia="Arial" w:hAnsi="Arial"/>
          <w:sz w:val="18"/>
          <w:szCs w:val="18"/>
          <w:color w:val="auto"/>
        </w:rPr>
        <w:t>: RMC-4630 pharmacokinetics in RMC-4630-02 study.</w:t>
      </w:r>
    </w:p>
    <w:p>
      <w:pPr>
        <w:spacing w:after="0" w:line="100" w:lineRule="exact"/>
        <w:rPr>
          <w:sz w:val="20"/>
          <w:szCs w:val="20"/>
          <w:color w:val="auto"/>
        </w:rPr>
      </w:pPr>
    </w:p>
    <w:p>
      <w:pPr>
        <w:ind w:left="2340"/>
        <w:spacing w:after="0"/>
        <w:tabs>
          <w:tab w:leader="none" w:pos="7400" w:val="left"/>
        </w:tabs>
        <w:rPr>
          <w:sz w:val="20"/>
          <w:szCs w:val="20"/>
          <w:color w:val="auto"/>
        </w:rPr>
      </w:pPr>
      <w:r>
        <w:rPr>
          <w:rFonts w:ascii="Arial" w:cs="Arial" w:eastAsia="Arial" w:hAnsi="Arial"/>
          <w:sz w:val="32"/>
          <w:szCs w:val="32"/>
          <w:b w:val="1"/>
          <w:bCs w:val="1"/>
          <w:color w:val="auto"/>
        </w:rPr>
        <w:t>PK C1D1</w:t>
      </w:r>
      <w:r>
        <w:rPr>
          <w:sz w:val="20"/>
          <w:szCs w:val="20"/>
          <w:color w:val="auto"/>
        </w:rPr>
        <w:tab/>
      </w:r>
      <w:r>
        <w:rPr>
          <w:rFonts w:ascii="Arial" w:cs="Arial" w:eastAsia="Arial" w:hAnsi="Arial"/>
          <w:sz w:val="32"/>
          <w:szCs w:val="32"/>
          <w:b w:val="1"/>
          <w:bCs w:val="1"/>
          <w:color w:val="auto"/>
        </w:rPr>
        <w:t>Steady state 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97790</wp:posOffset>
            </wp:positionV>
            <wp:extent cx="5857240" cy="17494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5724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1, 2019.</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activity</w:t>
      </w:r>
    </w:p>
    <w:p>
      <w:pPr>
        <w:spacing w:after="0" w:line="122"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Only two patients have been evaluated for efficacy in this study. No efficacy data or ctDNA data were available in the electronic database as of the cut-off date.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Ongoing and planned clinical studies with RMC-4630</w:t>
      </w:r>
    </w:p>
    <w:p>
      <w:pPr>
        <w:spacing w:after="0" w:line="12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RMC-4630-01 Phase 1 study is continuing to enroll patients to determine the maximum tolerated dose and recommended Phase 2 dose for the intermittent dosing schedule. Alternative intermittent schedules may be explored as part of the RMC-4630-01 study and these data may be translated to ongoing combination studies or future studies.</w:t>
      </w:r>
    </w:p>
    <w:p>
      <w:pPr>
        <w:spacing w:after="0" w:line="100" w:lineRule="exact"/>
        <w:rPr>
          <w:sz w:val="20"/>
          <w:szCs w:val="20"/>
          <w:color w:val="auto"/>
        </w:rPr>
      </w:pPr>
    </w:p>
    <w:p>
      <w:pPr>
        <w:ind w:left="200" w:right="760"/>
        <w:spacing w:after="0" w:line="239" w:lineRule="auto"/>
        <w:rPr>
          <w:sz w:val="20"/>
          <w:szCs w:val="20"/>
          <w:color w:val="auto"/>
        </w:rPr>
      </w:pPr>
      <w:r>
        <w:rPr>
          <w:rFonts w:ascii="Arial" w:cs="Arial" w:eastAsia="Arial" w:hAnsi="Arial"/>
          <w:sz w:val="18"/>
          <w:szCs w:val="18"/>
          <w:color w:val="auto"/>
        </w:rPr>
        <w:t>The RMC-4630-02 study, evaluating intermittent dosing of RMC-4630 in combination with cobimetinib, has been activated and dose escalation is ongoing.</w:t>
      </w:r>
    </w:p>
    <w:p>
      <w:pPr>
        <w:spacing w:after="0" w:line="101" w:lineRule="exact"/>
        <w:rPr>
          <w:sz w:val="20"/>
          <w:szCs w:val="20"/>
          <w:color w:val="auto"/>
        </w:rPr>
      </w:pPr>
    </w:p>
    <w:p>
      <w:pPr>
        <w:ind w:left="200"/>
        <w:spacing w:after="0" w:line="299" w:lineRule="auto"/>
        <w:rPr>
          <w:sz w:val="20"/>
          <w:szCs w:val="20"/>
          <w:color w:val="auto"/>
        </w:rPr>
      </w:pPr>
      <w:r>
        <w:rPr>
          <w:rFonts w:ascii="Arial" w:cs="Arial" w:eastAsia="Arial" w:hAnsi="Arial"/>
          <w:sz w:val="16"/>
          <w:szCs w:val="16"/>
          <w:color w:val="auto"/>
        </w:rPr>
        <w:t>In collaboration with others, during 2020, we intend to start dosing patients in Phase 1b studies evaluating the combination of RMC-4630 with the KRAS</w:t>
      </w:r>
      <w:r>
        <w:rPr>
          <w:rFonts w:ascii="Arial" w:cs="Arial" w:eastAsia="Arial" w:hAnsi="Arial"/>
          <w:sz w:val="10"/>
          <w:szCs w:val="10"/>
          <w:color w:val="auto"/>
        </w:rPr>
        <w:t>G12C</w:t>
      </w:r>
      <w:r>
        <w:rPr>
          <w:rFonts w:ascii="Arial" w:cs="Arial" w:eastAsia="Arial" w:hAnsi="Arial"/>
          <w:sz w:val="16"/>
          <w:szCs w:val="16"/>
          <w:color w:val="auto"/>
        </w:rPr>
        <w:t>(OFF) inhibitor AMG 510, with the EGFR inhibitor osimertinib, and with a PD-1 inhibitor such as pembrolizumab (Figure 16).</w:t>
      </w:r>
    </w:p>
    <w:p>
      <w:pPr>
        <w:spacing w:after="0" w:line="9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60"/>
          </w:cols>
          <w:pgMar w:left="240" w:top="459"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Figure 16: </w:t>
      </w:r>
      <w:r>
        <w:rPr>
          <w:rFonts w:ascii="Arial" w:cs="Arial" w:eastAsia="Arial" w:hAnsi="Arial"/>
          <w:sz w:val="18"/>
          <w:szCs w:val="18"/>
          <w:color w:val="auto"/>
        </w:rPr>
        <w:t>Phase 1/2 planned clinical development program for RMC-4630.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86360</wp:posOffset>
            </wp:positionV>
            <wp:extent cx="4793615" cy="24955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93615"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RAS(ON) portfolio</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 xml:space="preserve">We are also developing a portfolio of what we believe to be the first potent, selective and cell-active inhibitors of mutant RAS(ON) proteins. These inhibitors have also exhibited anti-tumor activity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preclinical models. We believe that direct inhibitors of RAS(ON) will suppress cell growth and survival as well as be less susceptible to adaptive resistance mechanisms recognized for RAS(OFF) inhibitors. Initially, we will prioritize four mutant RAS(ON) targets—KRAS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—and expect to nominate our first development candidate in 2020. We plan to evaluate our RAS(ON) inhibitors alone and in combination with other drugs and investigational new drugs, particularly in-pathway agents. Our proprietary tri-complex technology platform provides us the opportunity to build a portfolio of genetically targeted RAS(ON) inhibitors by discovering and developing compounds that target diverse oncogenic RAS mutants.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Challenges and limitations of current approaches for RAS mutant cancers</w:t>
      </w:r>
    </w:p>
    <w:p>
      <w:pPr>
        <w:spacing w:after="0" w:line="12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To our knowledge, every targeted therapy approved or in clinical development for the treatment of RAS-dependent cancers acts on targets that lie either upstream or downstream of RAS(ON) within the cellular signaling cascade. Historically, direct inhibition of any RAS protein has been challenging due to a lack of tractable, or “druggable,” binding pockets. However, selective inhibitors of the inactive GDP-bound, or “OFF” form, of KRAS</w:t>
      </w:r>
      <w:r>
        <w:rPr>
          <w:rFonts w:ascii="Arial" w:cs="Arial" w:eastAsia="Arial" w:hAnsi="Arial"/>
          <w:sz w:val="11"/>
          <w:szCs w:val="11"/>
          <w:color w:val="auto"/>
        </w:rPr>
        <w:t>G12C</w:t>
      </w:r>
      <w:r>
        <w:rPr>
          <w:rFonts w:ascii="Arial" w:cs="Arial" w:eastAsia="Arial" w:hAnsi="Arial"/>
          <w:sz w:val="18"/>
          <w:szCs w:val="18"/>
          <w:color w:val="auto"/>
        </w:rPr>
        <w:t xml:space="preserve"> are being developed by several companies. Recently reported initial clinical results from two RAS(OFF) inhibitors targeting mutant KRAS</w:t>
      </w:r>
      <w:r>
        <w:rPr>
          <w:rFonts w:ascii="Arial" w:cs="Arial" w:eastAsia="Arial" w:hAnsi="Arial"/>
          <w:sz w:val="11"/>
          <w:szCs w:val="11"/>
          <w:color w:val="auto"/>
        </w:rPr>
        <w:t>G12C</w:t>
      </w:r>
      <w:r>
        <w:rPr>
          <w:rFonts w:ascii="Arial" w:cs="Arial" w:eastAsia="Arial" w:hAnsi="Arial"/>
          <w:sz w:val="18"/>
          <w:szCs w:val="18"/>
          <w:color w:val="auto"/>
        </w:rPr>
        <w:t xml:space="preserve"> suggest significant clinical benefit and provide strong pharmacologic validation of this oncoprotein as a cancer driver. These results, along with other preclinical data, provide a compelling basis for our commitment to targeting oncogenic mutant forms of RAS(ON). We are not aware of any programs in clinical development that have successfully targeted any RAS(ON) protein. In tumor cells addicted to RAS(ON), we believe that selective inhibitors of RAS(ON) will suppress cell growth and survival and be less susceptible to adaptive resistance mechanisms recognized for RAS(OFF) inhibitors.</w:t>
      </w:r>
    </w:p>
    <w:p>
      <w:pPr>
        <w:spacing w:after="0" w:line="107"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The key drug discovery challenge for any known RAS(ON) protein is the absence of a tractable drug binding site on these RAS(ON) proteins, including different RAS isoforms and mutants. One molecular site of particular focus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has been a switch region protein shallow, solvent-exposed groove, or “valley,” that has been detected exclusively in the GTP-bound forms of RAS. Our proprietary tri-complex technology enables us to discover small molecule compounds that inhibit this site by inducing new druggable pockets. This approach is inspired by a biological phenomenon observed in nature, as exemplified by rapamycin. These tri-complexes exploit the surfaces of the two adjacent proteins to form a new ligand-binding pocket. The chaperone protein in the tri-complex helps to form the ligand binding site for the small molecule compound. Further, by physically participating in the tri-complex in the presence of the compound, the chaperone protein sterically occludes the target protein and prevents interaction with affiliated proteins required for propagating oncogenic signals.</w:t>
      </w:r>
    </w:p>
    <w:p>
      <w:pPr>
        <w:spacing w:after="0" w:line="79" w:lineRule="exact"/>
        <w:rPr>
          <w:sz w:val="20"/>
          <w:szCs w:val="20"/>
          <w:color w:val="auto"/>
        </w:rPr>
      </w:pPr>
    </w:p>
    <w:p>
      <w:pPr>
        <w:ind w:left="200" w:right="900"/>
        <w:spacing w:after="0" w:line="264" w:lineRule="auto"/>
        <w:rPr>
          <w:sz w:val="20"/>
          <w:szCs w:val="20"/>
          <w:color w:val="auto"/>
        </w:rPr>
      </w:pPr>
      <w:r>
        <w:rPr>
          <w:rFonts w:ascii="Arial" w:cs="Arial" w:eastAsia="Arial" w:hAnsi="Arial"/>
          <w:sz w:val="18"/>
          <w:szCs w:val="18"/>
          <w:b w:val="1"/>
          <w:bCs w:val="1"/>
          <w:color w:val="auto"/>
        </w:rPr>
        <w:t>Figure 17</w:t>
      </w:r>
      <w:r>
        <w:rPr>
          <w:rFonts w:ascii="Arial" w:cs="Arial" w:eastAsia="Arial" w:hAnsi="Arial"/>
          <w:sz w:val="18"/>
          <w:szCs w:val="18"/>
          <w:color w:val="auto"/>
        </w:rPr>
        <w:t>: KRAS</w:t>
      </w:r>
      <w:r>
        <w:rPr>
          <w:rFonts w:ascii="Arial" w:cs="Arial" w:eastAsia="Arial" w:hAnsi="Arial"/>
          <w:sz w:val="11"/>
          <w:szCs w:val="11"/>
          <w:color w:val="auto"/>
        </w:rPr>
        <w:t>G12C</w:t>
      </w:r>
      <w:r>
        <w:rPr>
          <w:rFonts w:ascii="Arial" w:cs="Arial" w:eastAsia="Arial" w:hAnsi="Arial"/>
          <w:sz w:val="18"/>
          <w:szCs w:val="18"/>
          <w:color w:val="auto"/>
        </w:rPr>
        <w:t>(ON) inhibitor RM-009 drives formation of a tri-complex binding to an induced pocket at the interface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KRAS</w:t>
      </w:r>
      <w:r>
        <w:rPr>
          <w:rFonts w:ascii="Arial" w:cs="Arial" w:eastAsia="Arial" w:hAnsi="Arial"/>
          <w:sz w:val="11"/>
          <w:szCs w:val="11"/>
          <w:color w:val="auto"/>
        </w:rPr>
        <w:t>G12C</w:t>
      </w:r>
      <w:r>
        <w:rPr>
          <w:rFonts w:ascii="Arial" w:cs="Arial" w:eastAsia="Arial" w:hAnsi="Arial"/>
          <w:sz w:val="18"/>
          <w:szCs w:val="18"/>
          <w:color w:val="auto"/>
        </w:rPr>
        <w:t>(ON) and cyclophilin A.</w:t>
      </w:r>
    </w:p>
    <w:p>
      <w:pPr>
        <w:spacing w:after="0" w:line="6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b w:val="1"/>
                <w:bCs w:val="1"/>
                <w:color w:val="auto"/>
              </w:rPr>
              <w:t>(a)</w:t>
            </w:r>
          </w:p>
        </w:tc>
        <w:tc>
          <w:tcPr>
            <w:tcW w:w="5000" w:type="dxa"/>
            <w:vAlign w:val="bottom"/>
          </w:tcPr>
          <w:p>
            <w:pPr>
              <w:ind w:left="188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Highly selective for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oncogenic</w:t>
            </w:r>
          </w:p>
        </w:tc>
        <w:tc>
          <w:tcPr>
            <w:tcW w:w="500" w:type="dxa"/>
            <w:vAlign w:val="bottom"/>
          </w:tcPr>
          <w:p>
            <w:pPr>
              <w:ind w:left="300"/>
              <w:spacing w:after="0"/>
              <w:rPr>
                <w:sz w:val="20"/>
                <w:szCs w:val="20"/>
                <w:color w:val="auto"/>
              </w:rPr>
            </w:pPr>
            <w:r>
              <w:rPr>
                <w:rFonts w:ascii="Arial" w:cs="Arial" w:eastAsia="Arial" w:hAnsi="Arial"/>
                <w:sz w:val="18"/>
                <w:szCs w:val="18"/>
                <w:b w:val="1"/>
                <w:bCs w:val="1"/>
                <w:color w:val="auto"/>
                <w:w w:val="81"/>
              </w:rPr>
              <w:t>(c)</w:t>
            </w:r>
          </w:p>
        </w:tc>
      </w:tr>
      <w:tr>
        <w:trPr>
          <w:trHeight w:val="233"/>
        </w:trPr>
        <w:tc>
          <w:tcPr>
            <w:tcW w:w="2100" w:type="dxa"/>
            <w:vAlign w:val="bottom"/>
          </w:tcPr>
          <w:p>
            <w:pPr>
              <w:spacing w:after="0"/>
              <w:rPr>
                <w:sz w:val="20"/>
                <w:szCs w:val="20"/>
                <w:color w:val="auto"/>
              </w:rPr>
            </w:pPr>
          </w:p>
        </w:tc>
        <w:tc>
          <w:tcPr>
            <w:tcW w:w="5000" w:type="dxa"/>
            <w:vAlign w:val="bottom"/>
          </w:tcPr>
          <w:p>
            <w:pPr>
              <w:ind w:left="2320"/>
              <w:spacing w:after="0"/>
              <w:rPr>
                <w:sz w:val="20"/>
                <w:szCs w:val="20"/>
                <w:color w:val="auto"/>
              </w:rPr>
            </w:pPr>
            <w:r>
              <w:rPr>
                <w:rFonts w:ascii="Arial" w:cs="Arial" w:eastAsia="Arial" w:hAnsi="Arial"/>
                <w:sz w:val="18"/>
                <w:szCs w:val="18"/>
                <w:b w:val="1"/>
                <w:bCs w:val="1"/>
                <w:color w:val="auto"/>
              </w:rPr>
              <w:t xml:space="preserve">GTP-bound </w:t>
            </w:r>
            <w:r>
              <w:rPr>
                <w:rFonts w:ascii="Arial" w:cs="Arial" w:eastAsia="Arial" w:hAnsi="Arial"/>
                <w:sz w:val="18"/>
                <w:szCs w:val="18"/>
                <w:color w:val="auto"/>
              </w:rPr>
              <w:t>form of KRAS</w:t>
            </w:r>
            <w:r>
              <w:rPr>
                <w:rFonts w:ascii="Arial" w:cs="Arial" w:eastAsia="Arial" w:hAnsi="Arial"/>
                <w:sz w:val="11"/>
                <w:szCs w:val="11"/>
                <w:color w:val="auto"/>
              </w:rPr>
              <w:t>G12C</w:t>
            </w:r>
          </w:p>
        </w:tc>
        <w:tc>
          <w:tcPr>
            <w:tcW w:w="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44450</wp:posOffset>
            </wp:positionV>
            <wp:extent cx="5068570" cy="3104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68570"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Surface representation of atomic resolution crystal structures of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(loaded with a non-hydrolysable analog of GTP in grey, gamma phosphate shown in yellow)</w:t>
      </w:r>
    </w:p>
    <w:p>
      <w:pPr>
        <w:ind w:left="200"/>
        <w:spacing w:after="0" w:line="182" w:lineRule="auto"/>
        <w:rPr>
          <w:sz w:val="20"/>
          <w:szCs w:val="20"/>
          <w:color w:val="auto"/>
        </w:rPr>
      </w:pPr>
      <w:r>
        <w:rPr>
          <w:rFonts w:ascii="Arial" w:cs="Arial" w:eastAsia="Arial" w:hAnsi="Arial"/>
          <w:sz w:val="11"/>
          <w:szCs w:val="11"/>
          <w:color w:val="auto"/>
        </w:rPr>
        <w:t>(KRAS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(ON), green) and a binary complex of RM-009 (ochre) and cyclophilin A (brown) </w:t>
      </w:r>
      <w:r>
        <w:rPr>
          <w:rFonts w:ascii="Arial" w:cs="Arial" w:eastAsia="Arial" w:hAnsi="Arial"/>
          <w:sz w:val="11"/>
          <w:szCs w:val="11"/>
          <w:b w:val="1"/>
          <w:bCs w:val="1"/>
          <w:color w:val="auto"/>
        </w:rPr>
        <w:t>(a)</w:t>
      </w:r>
      <w:r>
        <w:rPr>
          <w:rFonts w:ascii="Arial" w:cs="Arial" w:eastAsia="Arial" w:hAnsi="Arial"/>
          <w:sz w:val="11"/>
          <w:szCs w:val="11"/>
          <w:color w:val="auto"/>
        </w:rPr>
        <w:t>. The shallow, solvent-exposed groove, or “valley,” between the switch I (blue) and switch</w:t>
      </w:r>
    </w:p>
    <w:p>
      <w:pPr>
        <w:ind w:left="200" w:right="100" w:firstLine="4"/>
        <w:spacing w:after="0" w:line="191" w:lineRule="auto"/>
        <w:tabs>
          <w:tab w:leader="none" w:pos="313"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(red) regions of KRAS is highlighted. The cyclophilin A-RM-009 binary complex binds to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(ON) to form a tri-complex </w:t>
      </w:r>
      <w:r>
        <w:rPr>
          <w:rFonts w:ascii="Arial" w:cs="Arial" w:eastAsia="Arial" w:hAnsi="Arial"/>
          <w:sz w:val="14"/>
          <w:szCs w:val="14"/>
          <w:b w:val="1"/>
          <w:bCs w:val="1"/>
          <w:color w:val="auto"/>
        </w:rPr>
        <w:t>(b)</w:t>
      </w:r>
      <w:r>
        <w:rPr>
          <w:rFonts w:ascii="Arial" w:cs="Arial" w:eastAsia="Arial" w:hAnsi="Arial"/>
          <w:sz w:val="14"/>
          <w:szCs w:val="14"/>
          <w:color w:val="auto"/>
        </w:rPr>
        <w:t xml:space="preserve"> with RM-009 bound in an induced binding pocket at the interface between the two proteins, visible following digital removal of the ligand </w:t>
      </w:r>
      <w:r>
        <w:rPr>
          <w:rFonts w:ascii="Arial" w:cs="Arial" w:eastAsia="Arial" w:hAnsi="Arial"/>
          <w:sz w:val="14"/>
          <w:szCs w:val="14"/>
          <w:b w:val="1"/>
          <w:bCs w:val="1"/>
          <w:color w:val="auto"/>
        </w:rPr>
        <w:t>(c)</w:t>
      </w:r>
      <w:r>
        <w:rPr>
          <w:rFonts w:ascii="Arial" w:cs="Arial" w:eastAsia="Arial" w:hAnsi="Arial"/>
          <w:sz w:val="14"/>
          <w:szCs w:val="14"/>
          <w:color w:val="auto"/>
        </w:rPr>
        <w:t>.</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design and synthesize novel RAS(ON) inhibitors that enter a cell and bind to the highly abundant chaperone protein cyclophilin A to create a “binary complex.” This binary complex presents a unique surface that has the molecular features needed to engage the RAS mutant of interest in a “tri-complex” with the inhibitor sandwiched in an induced binding pocket at the interface between the two proteins. This tri-complex is held together by chemical interactions between cyclophilin A and the respective RAS(ON) mutant and between the compound and each of the two proteins. In some instances, including in the case of cysteine-containing RAS mutants, our RAS(ON) inhibitors can form a covalent bond with RAS. We use our structure-based drug discovery capabilities to drive rational design and optimization of tri-complex inhibitors of RAS(ON).</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RAS(ON) inhibitor programs</w:t>
      </w:r>
    </w:p>
    <w:p>
      <w:pPr>
        <w:spacing w:after="0" w:line="122" w:lineRule="exact"/>
        <w:rPr>
          <w:sz w:val="20"/>
          <w:szCs w:val="20"/>
          <w:color w:val="auto"/>
        </w:rPr>
      </w:pPr>
    </w:p>
    <w:p>
      <w:pPr>
        <w:ind w:left="200" w:right="100"/>
        <w:spacing w:after="0" w:line="270" w:lineRule="auto"/>
        <w:rPr>
          <w:sz w:val="20"/>
          <w:szCs w:val="20"/>
          <w:color w:val="auto"/>
        </w:rPr>
      </w:pPr>
      <w:r>
        <w:rPr>
          <w:rFonts w:ascii="Arial" w:cs="Arial" w:eastAsia="Arial" w:hAnsi="Arial"/>
          <w:sz w:val="16"/>
          <w:szCs w:val="16"/>
          <w:color w:val="auto"/>
        </w:rPr>
        <w:t>We are initially prioritizing four mutant RAS(ON) targets—KRAS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 xml:space="preserve">. We believe our tri-complex RAS inhibitors can act in three ways to suppress growth signaling: (1) we have demonstrated direct disruption of the critical RAS-RAF interaction that triggers the downstream portion of the growth signaling cascade. By extension, our RAS(ON) inhibitors likely also: (2) directly disrupt the RAS-PI3K interaction that stimulates mTOR-dependent growth signaling, and (3) prevent the binding of RAS to a recognized allosteric site of SOS1, thereby blocking a positive feedback loop that amplifies conversion of RAS(OFF) to RAS(ON). The first two effects represent direct suppression of oncogenic RAS signaling. The third effect may attenuate the ability of RAS(ON) to increase GTP-bound levels of other </w:t>
      </w:r>
      <w:r>
        <w:rPr>
          <w:rFonts w:ascii="Arial" w:cs="Arial" w:eastAsia="Arial" w:hAnsi="Arial"/>
          <w:sz w:val="16"/>
          <w:szCs w:val="16"/>
          <w:i w:val="1"/>
          <w:iCs w:val="1"/>
          <w:color w:val="auto"/>
        </w:rPr>
        <w:t xml:space="preserve">non-mutant </w:t>
      </w:r>
      <w:r>
        <w:rPr>
          <w:rFonts w:ascii="Arial" w:cs="Arial" w:eastAsia="Arial" w:hAnsi="Arial"/>
          <w:sz w:val="16"/>
          <w:szCs w:val="16"/>
          <w:color w:val="auto"/>
        </w:rPr>
        <w:t>forms, i.e. wild-type, of RAS in the same cancer cells that may contribute to overall cell survival and proliferation.</w:t>
      </w:r>
    </w:p>
    <w:p>
      <w:pPr>
        <w:spacing w:after="0" w:line="5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b w:val="1"/>
          <w:bCs w:val="1"/>
          <w:color w:val="auto"/>
        </w:rPr>
        <w:t>Figure 18</w:t>
      </w:r>
      <w:r>
        <w:rPr>
          <w:rFonts w:ascii="Arial" w:cs="Arial" w:eastAsia="Arial" w:hAnsi="Arial"/>
          <w:sz w:val="18"/>
          <w:szCs w:val="18"/>
          <w:color w:val="auto"/>
        </w:rPr>
        <w:t>: Layered structural models illustrating potential for tri-complex KRAS</w:t>
      </w:r>
      <w:r>
        <w:rPr>
          <w:rFonts w:ascii="Arial" w:cs="Arial" w:eastAsia="Arial" w:hAnsi="Arial"/>
          <w:sz w:val="11"/>
          <w:szCs w:val="11"/>
          <w:color w:val="auto"/>
        </w:rPr>
        <w:t>G12C</w:t>
      </w:r>
      <w:r>
        <w:rPr>
          <w:rFonts w:ascii="Arial" w:cs="Arial" w:eastAsia="Arial" w:hAnsi="Arial"/>
          <w:sz w:val="18"/>
          <w:szCs w:val="18"/>
          <w:color w:val="auto"/>
        </w:rPr>
        <w:t>(ON) inhibitors to sterically preclude engagement of RAF,</w:t>
      </w:r>
      <w:r>
        <w:rPr>
          <w:rFonts w:ascii="Arial" w:cs="Arial" w:eastAsia="Arial" w:hAnsi="Arial"/>
          <w:sz w:val="18"/>
          <w:szCs w:val="18"/>
          <w:b w:val="1"/>
          <w:bCs w:val="1"/>
          <w:color w:val="auto"/>
        </w:rPr>
        <w:t xml:space="preserve"> </w:t>
      </w:r>
      <w:r>
        <w:rPr>
          <w:rFonts w:ascii="Arial" w:cs="Arial" w:eastAsia="Arial" w:hAnsi="Arial"/>
          <w:sz w:val="18"/>
          <w:szCs w:val="18"/>
          <w:color w:val="auto"/>
        </w:rPr>
        <w:t>PI3K and SOS1 by KRAS</w:t>
      </w:r>
      <w:r>
        <w:rPr>
          <w:rFonts w:ascii="Arial" w:cs="Arial" w:eastAsia="Arial" w:hAnsi="Arial"/>
          <w:sz w:val="11"/>
          <w:szCs w:val="11"/>
          <w:color w:val="auto"/>
        </w:rPr>
        <w:t>G12C</w:t>
      </w:r>
      <w:r>
        <w:rPr>
          <w:rFonts w:ascii="Arial" w:cs="Arial" w:eastAsia="Arial" w:hAnsi="Arial"/>
          <w:sz w:val="18"/>
          <w:szCs w:val="18"/>
          <w:color w:val="auto"/>
        </w:rPr>
        <w:t>(ON).</w:t>
      </w:r>
    </w:p>
    <w:p>
      <w:pPr>
        <w:spacing w:after="0" w:line="71" w:lineRule="exact"/>
        <w:rPr>
          <w:sz w:val="20"/>
          <w:szCs w:val="20"/>
          <w:color w:val="auto"/>
        </w:rPr>
      </w:pPr>
    </w:p>
    <w:p>
      <w:pPr>
        <w:ind w:left="200"/>
        <w:spacing w:after="0"/>
        <w:tabs>
          <w:tab w:leader="none" w:pos="4060" w:val="left"/>
          <w:tab w:leader="none" w:pos="78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8890</wp:posOffset>
            </wp:positionV>
            <wp:extent cx="5025390" cy="20154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2539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right="200"/>
        <w:spacing w:after="0" w:line="191" w:lineRule="auto"/>
        <w:rPr>
          <w:sz w:val="20"/>
          <w:szCs w:val="20"/>
          <w:color w:val="auto"/>
        </w:rPr>
      </w:pPr>
      <w:r>
        <w:rPr>
          <w:rFonts w:ascii="Arial" w:cs="Arial" w:eastAsia="Arial" w:hAnsi="Arial"/>
          <w:sz w:val="14"/>
          <w:szCs w:val="14"/>
          <w:color w:val="auto"/>
        </w:rPr>
        <w:t>Surface representation of atomic resolution crystal structures of tri-complex of RM-009 with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(ON) with structural overlays showing (in grey) interaction with </w:t>
      </w:r>
      <w:r>
        <w:rPr>
          <w:rFonts w:ascii="Arial" w:cs="Arial" w:eastAsia="Arial" w:hAnsi="Arial"/>
          <w:sz w:val="14"/>
          <w:szCs w:val="14"/>
          <w:b w:val="1"/>
          <w:bCs w:val="1"/>
          <w:color w:val="auto"/>
        </w:rPr>
        <w:t>(a)</w:t>
      </w:r>
      <w:r>
        <w:rPr>
          <w:rFonts w:ascii="Arial" w:cs="Arial" w:eastAsia="Arial" w:hAnsi="Arial"/>
          <w:sz w:val="14"/>
          <w:szCs w:val="14"/>
          <w:color w:val="auto"/>
        </w:rPr>
        <w:t xml:space="preserve"> RAS binding domain (RBD) of BRAF, </w:t>
      </w:r>
      <w:r>
        <w:rPr>
          <w:rFonts w:ascii="Arial" w:cs="Arial" w:eastAsia="Arial" w:hAnsi="Arial"/>
          <w:sz w:val="14"/>
          <w:szCs w:val="14"/>
          <w:b w:val="1"/>
          <w:bCs w:val="1"/>
          <w:color w:val="auto"/>
        </w:rPr>
        <w:t>(b)</w:t>
      </w:r>
      <w:r>
        <w:rPr>
          <w:rFonts w:ascii="Arial" w:cs="Arial" w:eastAsia="Arial" w:hAnsi="Arial"/>
          <w:sz w:val="14"/>
          <w:szCs w:val="14"/>
          <w:color w:val="auto"/>
        </w:rPr>
        <w:t xml:space="preserve"> p110a catalytic subunit of PI3K and </w:t>
      </w:r>
      <w:r>
        <w:rPr>
          <w:rFonts w:ascii="Arial" w:cs="Arial" w:eastAsia="Arial" w:hAnsi="Arial"/>
          <w:sz w:val="14"/>
          <w:szCs w:val="14"/>
          <w:b w:val="1"/>
          <w:bCs w:val="1"/>
          <w:color w:val="auto"/>
        </w:rPr>
        <w:t>(c)</w:t>
      </w:r>
      <w:r>
        <w:rPr>
          <w:rFonts w:ascii="Arial" w:cs="Arial" w:eastAsia="Arial" w:hAnsi="Arial"/>
          <w:sz w:val="14"/>
          <w:szCs w:val="14"/>
          <w:color w:val="auto"/>
        </w:rPr>
        <w:t xml:space="preserve"> allosteric site on SOS1.</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 representative KRAS</w:t>
      </w:r>
      <w:r>
        <w:rPr>
          <w:rFonts w:ascii="Arial" w:cs="Arial" w:eastAsia="Arial" w:hAnsi="Arial"/>
          <w:sz w:val="11"/>
          <w:szCs w:val="11"/>
          <w:color w:val="auto"/>
        </w:rPr>
        <w:t>G12C</w:t>
      </w:r>
      <w:r>
        <w:rPr>
          <w:rFonts w:ascii="Arial" w:cs="Arial" w:eastAsia="Arial" w:hAnsi="Arial"/>
          <w:sz w:val="18"/>
          <w:szCs w:val="18"/>
          <w:color w:val="auto"/>
        </w:rPr>
        <w:t>(ON) tri-complex inhibitor causes concentration-dependent disruption of the interaction between KRAS</w:t>
      </w:r>
      <w:r>
        <w:rPr>
          <w:rFonts w:ascii="Arial" w:cs="Arial" w:eastAsia="Arial" w:hAnsi="Arial"/>
          <w:sz w:val="11"/>
          <w:szCs w:val="11"/>
          <w:color w:val="auto"/>
        </w:rPr>
        <w:t>G12C</w:t>
      </w:r>
      <w:r>
        <w:rPr>
          <w:rFonts w:ascii="Arial" w:cs="Arial" w:eastAsia="Arial" w:hAnsi="Arial"/>
          <w:sz w:val="18"/>
          <w:szCs w:val="18"/>
          <w:color w:val="auto"/>
        </w:rPr>
        <w:t>(ON) and RAF-binding domain of BRAF (Figure 18). This inhibitor also penetrates KRAS</w:t>
      </w:r>
      <w:r>
        <w:rPr>
          <w:rFonts w:ascii="Arial" w:cs="Arial" w:eastAsia="Arial" w:hAnsi="Arial"/>
          <w:sz w:val="11"/>
          <w:szCs w:val="11"/>
          <w:color w:val="auto"/>
        </w:rPr>
        <w:t>G12C</w:t>
      </w:r>
      <w:r>
        <w:rPr>
          <w:rFonts w:ascii="Arial" w:cs="Arial" w:eastAsia="Arial" w:hAnsi="Arial"/>
          <w:sz w:val="18"/>
          <w:szCs w:val="18"/>
          <w:color w:val="auto"/>
        </w:rPr>
        <w:t xml:space="preserve"> mutant tumor cells and potently suppresses pERK levels and cell growth. Most tumor cells carrying this RAS variant are highly sensitive to the inhibitor, whereas none of those with mutations elsewhere in the pathway are sensitive to this inhibitor at pharmacologically relevant concentrations. We believe the range of sensitivities reflects the level of addiction of each specific cell line to KRAS</w:t>
      </w:r>
      <w:r>
        <w:rPr>
          <w:rFonts w:ascii="Arial" w:cs="Arial" w:eastAsia="Arial" w:hAnsi="Arial"/>
          <w:sz w:val="11"/>
          <w:szCs w:val="11"/>
          <w:color w:val="auto"/>
        </w:rPr>
        <w:t>G12C</w:t>
      </w:r>
      <w:r>
        <w:rPr>
          <w:rFonts w:ascii="Arial" w:cs="Arial" w:eastAsia="Arial" w:hAnsi="Arial"/>
          <w:sz w:val="18"/>
          <w:szCs w:val="18"/>
          <w:color w:val="auto"/>
        </w:rPr>
        <w:t xml:space="preserve">(ON).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administration of a representative KRAS</w:t>
      </w:r>
      <w:r>
        <w:rPr>
          <w:rFonts w:ascii="Arial" w:cs="Arial" w:eastAsia="Arial" w:hAnsi="Arial"/>
          <w:sz w:val="11"/>
          <w:szCs w:val="11"/>
          <w:color w:val="auto"/>
        </w:rPr>
        <w:t>G12C</w:t>
      </w:r>
      <w:r>
        <w:rPr>
          <w:rFonts w:ascii="Arial" w:cs="Arial" w:eastAsia="Arial" w:hAnsi="Arial"/>
          <w:sz w:val="18"/>
          <w:szCs w:val="18"/>
          <w:color w:val="auto"/>
        </w:rPr>
        <w:t>(ON) tri-complex inhibitor (RM-010) drives tumor regressions in a KRAS</w:t>
      </w:r>
      <w:r>
        <w:rPr>
          <w:rFonts w:ascii="Arial" w:cs="Arial" w:eastAsia="Arial" w:hAnsi="Arial"/>
          <w:sz w:val="11"/>
          <w:szCs w:val="11"/>
          <w:color w:val="auto"/>
        </w:rPr>
        <w:t>G12C</w:t>
      </w:r>
      <w:r>
        <w:rPr>
          <w:rFonts w:ascii="Arial" w:cs="Arial" w:eastAsia="Arial" w:hAnsi="Arial"/>
          <w:sz w:val="18"/>
          <w:szCs w:val="18"/>
          <w:color w:val="auto"/>
        </w:rPr>
        <w:t xml:space="preserve"> tumor model following repeat dosing (Figure 19). Covalent cross-linking of RAS in the tumor, consistent with KRAS</w:t>
      </w:r>
      <w:r>
        <w:rPr>
          <w:rFonts w:ascii="Arial" w:cs="Arial" w:eastAsia="Arial" w:hAnsi="Arial"/>
          <w:sz w:val="11"/>
          <w:szCs w:val="11"/>
          <w:color w:val="auto"/>
        </w:rPr>
        <w:t>G12C</w:t>
      </w:r>
      <w:r>
        <w:rPr>
          <w:rFonts w:ascii="Arial" w:cs="Arial" w:eastAsia="Arial" w:hAnsi="Arial"/>
          <w:sz w:val="18"/>
          <w:szCs w:val="18"/>
          <w:color w:val="auto"/>
        </w:rPr>
        <w:t xml:space="preserve"> target engagement by this KRAS</w:t>
      </w:r>
      <w:r>
        <w:rPr>
          <w:rFonts w:ascii="Arial" w:cs="Arial" w:eastAsia="Arial" w:hAnsi="Arial"/>
          <w:sz w:val="11"/>
          <w:szCs w:val="11"/>
          <w:color w:val="auto"/>
        </w:rPr>
        <w:t>G12C</w:t>
      </w:r>
      <w:r>
        <w:rPr>
          <w:rFonts w:ascii="Arial" w:cs="Arial" w:eastAsia="Arial" w:hAnsi="Arial"/>
          <w:sz w:val="18"/>
          <w:szCs w:val="18"/>
          <w:color w:val="auto"/>
        </w:rPr>
        <w:t>(ON) tri-complex inhibitor could be observed following administration of a single dose (Figure 20 inset). Anti-tumor activity with another KRAS</w:t>
      </w:r>
      <w:r>
        <w:rPr>
          <w:rFonts w:ascii="Arial" w:cs="Arial" w:eastAsia="Arial" w:hAnsi="Arial"/>
          <w:sz w:val="11"/>
          <w:szCs w:val="11"/>
          <w:color w:val="auto"/>
        </w:rPr>
        <w:t>G12C</w:t>
      </w:r>
      <w:r>
        <w:rPr>
          <w:rFonts w:ascii="Arial" w:cs="Arial" w:eastAsia="Arial" w:hAnsi="Arial"/>
          <w:sz w:val="18"/>
          <w:szCs w:val="18"/>
          <w:color w:val="auto"/>
        </w:rPr>
        <w:t>(ON) tri-complex inhibitor was observed in multiple KRAS</w:t>
      </w:r>
      <w:r>
        <w:rPr>
          <w:rFonts w:ascii="Arial" w:cs="Arial" w:eastAsia="Arial" w:hAnsi="Arial"/>
          <w:sz w:val="11"/>
          <w:szCs w:val="11"/>
          <w:color w:val="auto"/>
        </w:rPr>
        <w:t>G12C</w:t>
      </w:r>
      <w:r>
        <w:rPr>
          <w:rFonts w:ascii="Arial" w:cs="Arial" w:eastAsia="Arial" w:hAnsi="Arial"/>
          <w:sz w:val="18"/>
          <w:szCs w:val="18"/>
          <w:color w:val="auto"/>
        </w:rPr>
        <w:t xml:space="preserve"> tumor models, as demonstrated by RM-015, which drove deep tumor regressions in preclinical xenograft models of both NSCLC and PDAC tumors harboring KRAS</w:t>
      </w:r>
      <w:r>
        <w:rPr>
          <w:rFonts w:ascii="Arial" w:cs="Arial" w:eastAsia="Arial" w:hAnsi="Arial"/>
          <w:sz w:val="11"/>
          <w:szCs w:val="11"/>
          <w:color w:val="auto"/>
        </w:rPr>
        <w:t>G12C</w:t>
      </w:r>
      <w:r>
        <w:rPr>
          <w:rFonts w:ascii="Arial" w:cs="Arial" w:eastAsia="Arial" w:hAnsi="Arial"/>
          <w:sz w:val="18"/>
          <w:szCs w:val="18"/>
          <w:color w:val="auto"/>
        </w:rPr>
        <w:t xml:space="preserve"> (Figure 21).</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b w:val="1"/>
          <w:bCs w:val="1"/>
          <w:color w:val="auto"/>
        </w:rPr>
        <w:t>Figure 19</w:t>
      </w:r>
      <w:r>
        <w:rPr>
          <w:rFonts w:ascii="Arial" w:cs="Arial" w:eastAsia="Arial" w:hAnsi="Arial"/>
          <w:sz w:val="18"/>
          <w:szCs w:val="18"/>
          <w:color w:val="auto"/>
        </w:rPr>
        <w:t>: KRAS</w:t>
      </w:r>
      <w:r>
        <w:rPr>
          <w:rFonts w:ascii="Arial" w:cs="Arial" w:eastAsia="Arial" w:hAnsi="Arial"/>
          <w:sz w:val="11"/>
          <w:szCs w:val="11"/>
          <w:color w:val="auto"/>
        </w:rPr>
        <w:t>G12C</w:t>
      </w:r>
      <w:r>
        <w:rPr>
          <w:rFonts w:ascii="Arial" w:cs="Arial" w:eastAsia="Arial" w:hAnsi="Arial"/>
          <w:sz w:val="18"/>
          <w:szCs w:val="18"/>
          <w:color w:val="auto"/>
        </w:rPr>
        <w:t>(ON) tri-complex inhibitor disrupts KRAS</w:t>
      </w:r>
      <w:r>
        <w:rPr>
          <w:rFonts w:ascii="Arial" w:cs="Arial" w:eastAsia="Arial" w:hAnsi="Arial"/>
          <w:sz w:val="11"/>
          <w:szCs w:val="11"/>
          <w:color w:val="auto"/>
        </w:rPr>
        <w:t>G12C</w:t>
      </w:r>
      <w:r>
        <w:rPr>
          <w:rFonts w:ascii="Arial" w:cs="Arial" w:eastAsia="Arial" w:hAnsi="Arial"/>
          <w:sz w:val="18"/>
          <w:szCs w:val="18"/>
          <w:color w:val="auto"/>
        </w:rPr>
        <w:t>-RAF interaction; inhibits RAS pathway and proliferation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KRAS</w:t>
      </w:r>
      <w:r>
        <w:rPr>
          <w:rFonts w:ascii="Arial" w:cs="Arial" w:eastAsia="Arial" w:hAnsi="Arial"/>
          <w:sz w:val="11"/>
          <w:szCs w:val="11"/>
          <w:color w:val="auto"/>
        </w:rPr>
        <w:t>G12C</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57150</wp:posOffset>
            </wp:positionV>
            <wp:extent cx="4279265" cy="27698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79265"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line="183" w:lineRule="auto"/>
        <w:rPr>
          <w:sz w:val="20"/>
          <w:szCs w:val="20"/>
          <w:color w:val="auto"/>
        </w:rPr>
      </w:pPr>
      <w:r>
        <w:rPr>
          <w:rFonts w:ascii="Arial" w:cs="Arial" w:eastAsia="Arial" w:hAnsi="Arial"/>
          <w:sz w:val="12"/>
          <w:szCs w:val="12"/>
          <w:color w:val="auto"/>
        </w:rPr>
        <w:t>Biochemical characterization of the effect of KRAS</w:t>
      </w:r>
      <w:r>
        <w:rPr>
          <w:rFonts w:ascii="Arial" w:cs="Arial" w:eastAsia="Arial" w:hAnsi="Arial"/>
          <w:sz w:val="18"/>
          <w:szCs w:val="18"/>
          <w:color w:val="auto"/>
          <w:vertAlign w:val="superscript"/>
        </w:rPr>
        <w:t>G12C</w:t>
      </w:r>
      <w:r>
        <w:rPr>
          <w:rFonts w:ascii="Arial" w:cs="Arial" w:eastAsia="Arial" w:hAnsi="Arial"/>
          <w:sz w:val="12"/>
          <w:szCs w:val="12"/>
          <w:color w:val="auto"/>
        </w:rPr>
        <w:t>(ON) tri-complex inhibitor RM-010 on the interaction between KRAS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 (loaded with a non-hydrolysable analog of GTP) and the RAS binding domain (RBD) of BRAF was performed using a TR-FRET assay (RAS-RAF disruption) (a). RAS pathway activity and cell proliferation in NSCLC NCI-H358 KRAS</w:t>
      </w:r>
      <w:r>
        <w:rPr>
          <w:rFonts w:ascii="Arial" w:cs="Arial" w:eastAsia="Arial" w:hAnsi="Arial"/>
          <w:sz w:val="18"/>
          <w:szCs w:val="18"/>
          <w:color w:val="auto"/>
          <w:vertAlign w:val="superscript"/>
        </w:rPr>
        <w:t>G12C</w:t>
      </w:r>
    </w:p>
    <w:p>
      <w:pPr>
        <w:ind w:left="200"/>
        <w:spacing w:after="0" w:line="226" w:lineRule="auto"/>
        <w:rPr>
          <w:sz w:val="20"/>
          <w:szCs w:val="20"/>
          <w:color w:val="auto"/>
        </w:rPr>
      </w:pPr>
      <w:r>
        <w:rPr>
          <w:rFonts w:ascii="Arial" w:cs="Arial" w:eastAsia="Arial" w:hAnsi="Arial"/>
          <w:sz w:val="12"/>
          <w:szCs w:val="12"/>
          <w:color w:val="auto"/>
        </w:rPr>
        <w:t>cells were monitored in 2D cell cultures using levels of ERK1/2 phosphorylation at Thr202/Tyr204 (cellular pERK) (b) and in 3D cell cultures using CellTiter-Glo CTG (cell proliferation)</w:t>
      </w:r>
    </w:p>
    <w:p>
      <w:pPr>
        <w:jc w:val="both"/>
        <w:ind w:left="200" w:right="80"/>
        <w:spacing w:after="0" w:line="200" w:lineRule="auto"/>
        <w:rPr>
          <w:sz w:val="20"/>
          <w:szCs w:val="20"/>
          <w:color w:val="auto"/>
        </w:rPr>
      </w:pPr>
      <w:r>
        <w:rPr>
          <w:rFonts w:ascii="Arial" w:cs="Arial" w:eastAsia="Arial" w:hAnsi="Arial"/>
          <w:sz w:val="14"/>
          <w:szCs w:val="14"/>
          <w:color w:val="auto"/>
        </w:rPr>
        <w:t>(c). RM-007 potency (expressed as the IC</w:t>
      </w:r>
      <w:r>
        <w:rPr>
          <w:rFonts w:ascii="Arial" w:cs="Arial" w:eastAsia="Arial" w:hAnsi="Arial"/>
          <w:sz w:val="22"/>
          <w:szCs w:val="22"/>
          <w:color w:val="auto"/>
          <w:vertAlign w:val="subscript"/>
        </w:rPr>
        <w:t>50</w:t>
      </w:r>
      <w:r>
        <w:rPr>
          <w:rFonts w:ascii="Arial" w:cs="Arial" w:eastAsia="Arial" w:hAnsi="Arial"/>
          <w:sz w:val="14"/>
          <w:szCs w:val="14"/>
          <w:color w:val="auto"/>
        </w:rPr>
        <w:t xml:space="preserve"> in µM) for inhibition of proliferation of a panel of cell lines bearing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mutations (green bars) or other non-KRAS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mutations in the RAS pathway (blue bars) (d). Data shown in Figures a, b and c represent the mean of at least two independent studies, each performed in duplicate (error bars show the standard deviation). Data in Figure d are from a single study performed in triplicate.</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Figure 20: </w:t>
      </w:r>
      <w:r>
        <w:rPr>
          <w:rFonts w:ascii="Arial" w:cs="Arial" w:eastAsia="Arial" w:hAnsi="Arial"/>
          <w:sz w:val="18"/>
          <w:szCs w:val="18"/>
          <w:color w:val="auto"/>
        </w:rPr>
        <w:t>Tri-complex KRAS</w:t>
      </w:r>
      <w:r>
        <w:rPr>
          <w:rFonts w:ascii="Arial" w:cs="Arial" w:eastAsia="Arial" w:hAnsi="Arial"/>
          <w:sz w:val="11"/>
          <w:szCs w:val="11"/>
          <w:color w:val="auto"/>
        </w:rPr>
        <w:t>G12C</w:t>
      </w:r>
      <w:r>
        <w:rPr>
          <w:rFonts w:ascii="Arial" w:cs="Arial" w:eastAsia="Arial" w:hAnsi="Arial"/>
          <w:sz w:val="18"/>
          <w:szCs w:val="18"/>
          <w:color w:val="auto"/>
        </w:rPr>
        <w:t>(ON) inhibitor suppresses tumor growth in preclinical xenograft model of tumors harboring KRAS</w:t>
      </w:r>
      <w:r>
        <w:rPr>
          <w:rFonts w:ascii="Arial" w:cs="Arial" w:eastAsia="Arial" w:hAnsi="Arial"/>
          <w:sz w:val="11"/>
          <w:szCs w:val="11"/>
          <w:color w:val="auto"/>
        </w:rPr>
        <w:t>G12C</w:t>
      </w:r>
    </w:p>
    <w:p>
      <w:pPr>
        <w:spacing w:after="0" w:line="10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86360</wp:posOffset>
            </wp:positionV>
            <wp:extent cx="4159250" cy="2195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15925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right="20"/>
        <w:spacing w:after="0" w:line="191" w:lineRule="auto"/>
        <w:rPr>
          <w:sz w:val="20"/>
          <w:szCs w:val="20"/>
          <w:color w:val="auto"/>
        </w:rPr>
      </w:pPr>
      <w:r>
        <w:rPr>
          <w:rFonts w:ascii="Arial" w:cs="Arial" w:eastAsia="Arial" w:hAnsi="Arial"/>
          <w:sz w:val="14"/>
          <w:szCs w:val="14"/>
          <w:color w:val="auto"/>
        </w:rPr>
        <w:t>Anti-tumor activity of RM-010 (100 mg/kg, intraperitoneal, daily; ip qd) in NSCLC CDX NCI-H358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xenograft model in mice. Data represent mean tumor volume over time (a) or waterfall plot of individual end of study responses, with tumor volume expressed as a percentage of initial tumor volume at time of</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240" w:top="459"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25" w:lineRule="auto"/>
        <w:rPr>
          <w:sz w:val="20"/>
          <w:szCs w:val="20"/>
          <w:color w:val="auto"/>
        </w:rPr>
      </w:pPr>
      <w:r>
        <w:rPr>
          <w:rFonts w:ascii="Arial" w:cs="Arial" w:eastAsia="Arial" w:hAnsi="Arial"/>
          <w:sz w:val="14"/>
          <w:szCs w:val="14"/>
          <w:color w:val="auto"/>
        </w:rPr>
        <w:t>study start (truncated at 300%) (b). Number of mice per group = 10. In (a) data represent mean and errors bars represent standard error of the mean. In (b) each animal is represented as a separate bar. Numbers indicate number of regressions (defined as &gt; 10% reduction in tumor volume from starting volume) in each group. Inset, western blot for RAS in tumor lysates prepared from tumors harvested at 6 and 48 hours after administration of a single dose of RM-010 (100 mg/kg, ip) or vehicle to mice bearing NCI-H358 tumors. Data shown are from a single mouse (similar target engagement data were obtained using tumor samples from two additional mice at each time point shown, as well as from three additional mice treated for 24 hours).</w:t>
      </w:r>
    </w:p>
    <w:p>
      <w:pPr>
        <w:spacing w:after="0" w:line="78" w:lineRule="exact"/>
        <w:rPr>
          <w:sz w:val="20"/>
          <w:szCs w:val="20"/>
          <w:color w:val="auto"/>
        </w:rPr>
      </w:pPr>
    </w:p>
    <w:p>
      <w:pPr>
        <w:ind w:left="200" w:right="620"/>
        <w:spacing w:after="0" w:line="264" w:lineRule="auto"/>
        <w:rPr>
          <w:sz w:val="20"/>
          <w:szCs w:val="20"/>
          <w:color w:val="auto"/>
        </w:rPr>
      </w:pPr>
      <w:r>
        <w:rPr>
          <w:rFonts w:ascii="Arial" w:cs="Arial" w:eastAsia="Arial" w:hAnsi="Arial"/>
          <w:sz w:val="18"/>
          <w:szCs w:val="18"/>
          <w:b w:val="1"/>
          <w:bCs w:val="1"/>
          <w:color w:val="auto"/>
        </w:rPr>
        <w:t>Figure 21</w:t>
      </w:r>
      <w:r>
        <w:rPr>
          <w:rFonts w:ascii="Arial" w:cs="Arial" w:eastAsia="Arial" w:hAnsi="Arial"/>
          <w:sz w:val="18"/>
          <w:szCs w:val="18"/>
          <w:color w:val="auto"/>
        </w:rPr>
        <w:t>: Tri-complex KRAS</w:t>
      </w:r>
      <w:r>
        <w:rPr>
          <w:rFonts w:ascii="Arial" w:cs="Arial" w:eastAsia="Arial" w:hAnsi="Arial"/>
          <w:sz w:val="11"/>
          <w:szCs w:val="11"/>
          <w:color w:val="auto"/>
        </w:rPr>
        <w:t>G12C</w:t>
      </w:r>
      <w:r>
        <w:rPr>
          <w:rFonts w:ascii="Arial" w:cs="Arial" w:eastAsia="Arial" w:hAnsi="Arial"/>
          <w:sz w:val="18"/>
          <w:szCs w:val="18"/>
          <w:color w:val="auto"/>
        </w:rPr>
        <w:t>(ON) inhibitor drives tumor regressions in preclinical xenograft models of NSCLC and PDAC tumors</w:t>
      </w:r>
      <w:r>
        <w:rPr>
          <w:rFonts w:ascii="Arial" w:cs="Arial" w:eastAsia="Arial" w:hAnsi="Arial"/>
          <w:sz w:val="18"/>
          <w:szCs w:val="18"/>
          <w:b w:val="1"/>
          <w:bCs w:val="1"/>
          <w:color w:val="auto"/>
        </w:rPr>
        <w:t xml:space="preserve"> </w:t>
      </w:r>
      <w:r>
        <w:rPr>
          <w:rFonts w:ascii="Arial" w:cs="Arial" w:eastAsia="Arial" w:hAnsi="Arial"/>
          <w:sz w:val="18"/>
          <w:szCs w:val="18"/>
          <w:color w:val="auto"/>
        </w:rPr>
        <w:t>harboring KRAS</w:t>
      </w:r>
      <w:r>
        <w:rPr>
          <w:rFonts w:ascii="Arial" w:cs="Arial" w:eastAsia="Arial" w:hAnsi="Arial"/>
          <w:sz w:val="11"/>
          <w:szCs w:val="11"/>
          <w:color w:val="auto"/>
        </w:rPr>
        <w:t>G12C</w:t>
      </w:r>
      <w:r>
        <w:rPr>
          <w:rFonts w:ascii="Arial" w:cs="Arial" w:eastAsia="Arial" w:hAnsi="Arial"/>
          <w:sz w:val="18"/>
          <w:szCs w:val="18"/>
          <w:color w:val="auto"/>
        </w:rPr>
        <w:t>.</w:t>
      </w:r>
    </w:p>
    <w:p>
      <w:pPr>
        <w:sectPr>
          <w:pgSz w:w="11900" w:h="16838" w:orient="portrait"/>
          <w:cols w:equalWidth="0" w:num="1">
            <w:col w:w="11160"/>
          </w:cols>
          <w:pgMar w:left="240" w:top="460" w:right="499" w:bottom="1440" w:gutter="0" w:footer="0" w:header="0"/>
        </w:sectPr>
      </w:pPr>
    </w:p>
    <w:p>
      <w:pPr>
        <w:spacing w:after="0" w:line="71"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10"/>
          <w:szCs w:val="10"/>
          <w:b w:val="1"/>
          <w:bCs w:val="1"/>
          <w:color w:val="auto"/>
        </w:rPr>
        <w:t>G12C</w:t>
      </w:r>
      <w:r>
        <w:rPr>
          <w:rFonts w:ascii="Arial" w:cs="Arial" w:eastAsia="Arial" w:hAnsi="Arial"/>
          <w:sz w:val="16"/>
          <w:szCs w:val="16"/>
          <w:b w:val="1"/>
          <w:bCs w:val="1"/>
          <w:color w:val="auto"/>
        </w:rPr>
        <w:t xml:space="preserve">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127000</wp:posOffset>
            </wp:positionV>
            <wp:extent cx="2066925" cy="1431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66925" cy="143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10"/>
          <w:szCs w:val="10"/>
          <w:b w:val="1"/>
          <w:bCs w:val="1"/>
          <w:color w:val="auto"/>
        </w:rPr>
        <w:t>G12C</w:t>
      </w:r>
      <w:r>
        <w:rPr>
          <w:rFonts w:ascii="Arial" w:cs="Arial" w:eastAsia="Arial" w:hAnsi="Arial"/>
          <w:sz w:val="16"/>
          <w:szCs w:val="16"/>
          <w:b w:val="1"/>
          <w:bCs w:val="1"/>
          <w:color w:val="auto"/>
        </w:rPr>
        <w:t xml:space="preserve"> PDAC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127000</wp:posOffset>
            </wp:positionV>
            <wp:extent cx="2075180" cy="14319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75180" cy="143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2980"/>
          </w:cols>
          <w:pgMar w:left="240" w:top="460" w:right="499"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w:t>
      </w:r>
    </w:p>
    <w:p>
      <w:pPr>
        <w:spacing w:after="0" w:line="222" w:lineRule="exact"/>
        <w:rPr>
          <w:sz w:val="20"/>
          <w:szCs w:val="20"/>
          <w:color w:val="auto"/>
        </w:rPr>
      </w:pPr>
    </w:p>
    <w:p>
      <w:pPr>
        <w:sectPr>
          <w:pgSz w:w="11900" w:h="16838" w:orient="portrait"/>
          <w:cols w:equalWidth="0" w:num="2">
            <w:col w:w="5340" w:space="720"/>
            <w:col w:w="5100"/>
          </w:cols>
          <w:pgMar w:left="240" w:top="46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Days Post-Implant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127000</wp:posOffset>
            </wp:positionV>
            <wp:extent cx="1989455" cy="12179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89455" cy="1217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Days Post-Implant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127000</wp:posOffset>
            </wp:positionV>
            <wp:extent cx="2195195" cy="132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95195" cy="13208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180"/>
          </w:cols>
          <w:pgMar w:left="240" w:top="460" w:right="499"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ectPr>
          <w:pgSz w:w="11900" w:h="16838" w:orient="portrait"/>
          <w:cols w:equalWidth="0" w:num="2">
            <w:col w:w="5220" w:space="720"/>
            <w:col w:w="5220"/>
          </w:cols>
          <w:pgMar w:left="240" w:top="46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200" w:right="120"/>
        <w:spacing w:after="0" w:line="207" w:lineRule="auto"/>
        <w:rPr>
          <w:sz w:val="20"/>
          <w:szCs w:val="20"/>
          <w:color w:val="auto"/>
        </w:rPr>
      </w:pPr>
      <w:r>
        <w:rPr>
          <w:rFonts w:ascii="Arial" w:cs="Arial" w:eastAsia="Arial" w:hAnsi="Arial"/>
          <w:sz w:val="14"/>
          <w:szCs w:val="14"/>
          <w:color w:val="auto"/>
        </w:rPr>
        <w:t>Anti-tumor activity of RM-015 (10 or 30 mg/kg, intraperitoneal, daily; ip qd) in NSCLC CDX NCI-H358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(a and b) and PDAC CDX NCI-H358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(c and d) xenograft models in mice. Data represent mean tumor volume over time (a and c) or waterfall plots of individual end of study responses, with tumor volume expressed as a percentage of initial tumor volume at time of study start (truncated at 300% in b) (b and d). Number of mice per group = 10. In (a) and (c) data represent mean and errors bars represent standard error of the mean. In (b) and (d) each animal is represented as a separate bar. Numbers indicate number of regressions (defined as &gt; 10% reduction in tumor volume from starting volume) in each group.</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are also able to leverage our findings with KRAS</w:t>
      </w:r>
      <w:r>
        <w:rPr>
          <w:rFonts w:ascii="Arial" w:cs="Arial" w:eastAsia="Arial" w:hAnsi="Arial"/>
          <w:sz w:val="11"/>
          <w:szCs w:val="11"/>
          <w:color w:val="auto"/>
        </w:rPr>
        <w:t>G12C</w:t>
      </w:r>
      <w:r>
        <w:rPr>
          <w:rFonts w:ascii="Arial" w:cs="Arial" w:eastAsia="Arial" w:hAnsi="Arial"/>
          <w:sz w:val="18"/>
          <w:szCs w:val="18"/>
          <w:color w:val="auto"/>
        </w:rPr>
        <w:t>(ON) more broadly to facilitate identification of selective tri-complex inhibitors of other RAS(ON) mutants. We are developing inhibitors of several “hotspot” RAS(ON) mutants, with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and NRAS</w:t>
      </w:r>
      <w:r>
        <w:rPr>
          <w:rFonts w:ascii="Arial" w:cs="Arial" w:eastAsia="Arial" w:hAnsi="Arial"/>
          <w:sz w:val="11"/>
          <w:szCs w:val="11"/>
          <w:color w:val="auto"/>
        </w:rPr>
        <w:t>G12C</w:t>
      </w:r>
      <w:r>
        <w:rPr>
          <w:rFonts w:ascii="Arial" w:cs="Arial" w:eastAsia="Arial" w:hAnsi="Arial"/>
          <w:sz w:val="18"/>
          <w:szCs w:val="18"/>
          <w:color w:val="auto"/>
        </w:rPr>
        <w:t xml:space="preserve"> as particular priorities. We have identified compounds with functional activity in biochemical and cellular assays that measure RAS signaling pathway activity and have representative data for all of these variants (Figures 22, 23 and 24). We have the ability to target different RAS isoforms (i.e., isoform hopping), such as KRAS and NRAS, different mutational hotspots (i.e., hotspot hopping), such as G12 and G13, and different amino acid residues at a given hotspot (i.e., residue hopping), as exemplified by G12C and G12D. We use a common inhibitory mechanism that underscores the versatility of our tri-complex technology platform. Employing this technology, we have the opportunity to generate a broad portfolio of novel RAS(ON) inhibitors with potentially differentiated clinical profiles for use by patients with different tumor genotypes.</w:t>
      </w:r>
    </w:p>
    <w:p>
      <w:pPr>
        <w:spacing w:after="0" w:line="14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60"/>
          </w:cols>
          <w:pgMar w:left="240" w:top="460" w:right="49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color w:val="auto"/>
        </w:rPr>
        <w:t>Figure 22</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(ON) tri-complex inhibitor RM-008 disrupts KRAS</w:t>
      </w:r>
      <w:r>
        <w:rPr>
          <w:rFonts w:ascii="Arial" w:cs="Arial" w:eastAsia="Arial" w:hAnsi="Arial"/>
          <w:sz w:val="11"/>
          <w:szCs w:val="11"/>
          <w:color w:val="auto"/>
        </w:rPr>
        <w:t>G13C</w:t>
      </w:r>
      <w:r>
        <w:rPr>
          <w:rFonts w:ascii="Arial" w:cs="Arial" w:eastAsia="Arial" w:hAnsi="Arial"/>
          <w:sz w:val="18"/>
          <w:szCs w:val="18"/>
          <w:color w:val="auto"/>
        </w:rPr>
        <w:t>-RAF interaction and inhibits RAS pathway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KRAS</w:t>
      </w:r>
      <w:r>
        <w:rPr>
          <w:rFonts w:ascii="Arial" w:cs="Arial" w:eastAsia="Arial" w:hAnsi="Arial"/>
          <w:sz w:val="11"/>
          <w:szCs w:val="11"/>
          <w:color w:val="auto"/>
        </w:rPr>
        <w:t>G13C</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57150</wp:posOffset>
            </wp:positionV>
            <wp:extent cx="3884930" cy="26416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84930"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line="180" w:lineRule="auto"/>
        <w:rPr>
          <w:sz w:val="20"/>
          <w:szCs w:val="20"/>
          <w:color w:val="auto"/>
        </w:rPr>
      </w:pPr>
      <w:r>
        <w:rPr>
          <w:rFonts w:ascii="Arial" w:cs="Arial" w:eastAsia="Arial" w:hAnsi="Arial"/>
          <w:sz w:val="12"/>
          <w:szCs w:val="12"/>
          <w:color w:val="auto"/>
        </w:rPr>
        <w:t>Surface representation of atomic resolution crystal structure of tri-complex of RM-008 with KRAS</w:t>
      </w:r>
      <w:r>
        <w:rPr>
          <w:rFonts w:ascii="Arial" w:cs="Arial" w:eastAsia="Arial" w:hAnsi="Arial"/>
          <w:sz w:val="18"/>
          <w:szCs w:val="18"/>
          <w:color w:val="auto"/>
          <w:vertAlign w:val="superscript"/>
        </w:rPr>
        <w:t>G13C</w:t>
      </w:r>
      <w:r>
        <w:rPr>
          <w:rFonts w:ascii="Arial" w:cs="Arial" w:eastAsia="Arial" w:hAnsi="Arial"/>
          <w:sz w:val="12"/>
          <w:szCs w:val="12"/>
          <w:color w:val="auto"/>
        </w:rPr>
        <w:t xml:space="preserve"> (loaded with a non-hydrolysable analog of GTP) and cyclophilin A </w:t>
      </w:r>
      <w:r>
        <w:rPr>
          <w:rFonts w:ascii="Arial" w:cs="Arial" w:eastAsia="Arial" w:hAnsi="Arial"/>
          <w:sz w:val="12"/>
          <w:szCs w:val="12"/>
          <w:b w:val="1"/>
          <w:bCs w:val="1"/>
          <w:color w:val="auto"/>
        </w:rPr>
        <w:t>(a)</w:t>
      </w:r>
      <w:r>
        <w:rPr>
          <w:rFonts w:ascii="Arial" w:cs="Arial" w:eastAsia="Arial" w:hAnsi="Arial"/>
          <w:sz w:val="12"/>
          <w:szCs w:val="12"/>
          <w:color w:val="auto"/>
        </w:rPr>
        <w:t>. Biochemical characterization of the effect of KRAS</w:t>
      </w:r>
      <w:r>
        <w:rPr>
          <w:rFonts w:ascii="Arial" w:cs="Arial" w:eastAsia="Arial" w:hAnsi="Arial"/>
          <w:sz w:val="18"/>
          <w:szCs w:val="18"/>
          <w:color w:val="auto"/>
          <w:vertAlign w:val="superscript"/>
        </w:rPr>
        <w:t>G13C</w:t>
      </w:r>
      <w:r>
        <w:rPr>
          <w:rFonts w:ascii="Arial" w:cs="Arial" w:eastAsia="Arial" w:hAnsi="Arial"/>
          <w:sz w:val="12"/>
          <w:szCs w:val="12"/>
          <w:color w:val="auto"/>
        </w:rPr>
        <w:t>(ON) tri-complex inhibitor RM-008 on the interaction between KRAS</w:t>
      </w:r>
      <w:r>
        <w:rPr>
          <w:rFonts w:ascii="Arial" w:cs="Arial" w:eastAsia="Arial" w:hAnsi="Arial"/>
          <w:sz w:val="18"/>
          <w:szCs w:val="18"/>
          <w:color w:val="auto"/>
          <w:vertAlign w:val="superscript"/>
        </w:rPr>
        <w:t>G13C</w:t>
      </w:r>
      <w:r>
        <w:rPr>
          <w:rFonts w:ascii="Arial" w:cs="Arial" w:eastAsia="Arial" w:hAnsi="Arial"/>
          <w:sz w:val="12"/>
          <w:szCs w:val="12"/>
          <w:color w:val="auto"/>
        </w:rPr>
        <w:t xml:space="preserve"> (loaded with a non-hydrolysable analog of GTP) and the RAS binding domain (RBD) of BRAF was performed using a TR-FRET assay (RAS-RAF disruption) </w:t>
      </w:r>
      <w:r>
        <w:rPr>
          <w:rFonts w:ascii="Arial" w:cs="Arial" w:eastAsia="Arial" w:hAnsi="Arial"/>
          <w:sz w:val="12"/>
          <w:szCs w:val="12"/>
          <w:b w:val="1"/>
          <w:bCs w:val="1"/>
          <w:color w:val="auto"/>
        </w:rPr>
        <w:t>(b)</w:t>
      </w:r>
      <w:r>
        <w:rPr>
          <w:rFonts w:ascii="Arial" w:cs="Arial" w:eastAsia="Arial" w:hAnsi="Arial"/>
          <w:sz w:val="12"/>
          <w:szCs w:val="12"/>
          <w:color w:val="auto"/>
        </w:rPr>
        <w:t>. RAS pathway activity in NSCLC NCI-H1734 KRAS</w:t>
      </w:r>
      <w:r>
        <w:rPr>
          <w:rFonts w:ascii="Arial" w:cs="Arial" w:eastAsia="Arial" w:hAnsi="Arial"/>
          <w:sz w:val="18"/>
          <w:szCs w:val="18"/>
          <w:color w:val="auto"/>
          <w:vertAlign w:val="superscript"/>
        </w:rPr>
        <w:t>G13C</w:t>
      </w:r>
      <w:r>
        <w:rPr>
          <w:rFonts w:ascii="Arial" w:cs="Arial" w:eastAsia="Arial" w:hAnsi="Arial"/>
          <w:sz w:val="12"/>
          <w:szCs w:val="12"/>
          <w:color w:val="auto"/>
        </w:rPr>
        <w:t xml:space="preserve"> cells was monitored in 2D</w:t>
      </w:r>
    </w:p>
    <w:p>
      <w:pPr>
        <w:ind w:left="200" w:right="280"/>
        <w:spacing w:after="0" w:line="231" w:lineRule="auto"/>
        <w:rPr>
          <w:sz w:val="20"/>
          <w:szCs w:val="20"/>
          <w:color w:val="auto"/>
        </w:rPr>
      </w:pPr>
      <w:r>
        <w:rPr>
          <w:rFonts w:ascii="Arial" w:cs="Arial" w:eastAsia="Arial" w:hAnsi="Arial"/>
          <w:sz w:val="14"/>
          <w:szCs w:val="14"/>
          <w:color w:val="auto"/>
        </w:rPr>
        <w:t xml:space="preserve">cell cultures using levels of ERK1/2 phosphorylation at Thr202/Tyr204 (cellular pERK) </w:t>
      </w:r>
      <w:r>
        <w:rPr>
          <w:rFonts w:ascii="Arial" w:cs="Arial" w:eastAsia="Arial" w:hAnsi="Arial"/>
          <w:sz w:val="14"/>
          <w:szCs w:val="14"/>
          <w:b w:val="1"/>
          <w:bCs w:val="1"/>
          <w:color w:val="auto"/>
        </w:rPr>
        <w:t>(c)</w:t>
      </w:r>
      <w:r>
        <w:rPr>
          <w:rFonts w:ascii="Arial" w:cs="Arial" w:eastAsia="Arial" w:hAnsi="Arial"/>
          <w:sz w:val="14"/>
          <w:szCs w:val="14"/>
          <w:color w:val="auto"/>
        </w:rPr>
        <w:t>. Data shown in Figures b and c represent the mean of duplicate determinations (error bars show the standard deviation) from a single study. Data are representative of at least two independent studies, each performed in duplicate.</w:t>
      </w:r>
    </w:p>
    <w:p>
      <w:pPr>
        <w:spacing w:after="0" w:line="7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color w:val="auto"/>
        </w:rPr>
        <w:t>Figure 23</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(ON) tri-complex inhibitor RM-012 disrupts KRAS</w:t>
      </w:r>
      <w:r>
        <w:rPr>
          <w:rFonts w:ascii="Arial" w:cs="Arial" w:eastAsia="Arial" w:hAnsi="Arial"/>
          <w:sz w:val="11"/>
          <w:szCs w:val="11"/>
          <w:color w:val="auto"/>
        </w:rPr>
        <w:t>G12D</w:t>
      </w:r>
      <w:r>
        <w:rPr>
          <w:rFonts w:ascii="Arial" w:cs="Arial" w:eastAsia="Arial" w:hAnsi="Arial"/>
          <w:sz w:val="18"/>
          <w:szCs w:val="18"/>
          <w:color w:val="auto"/>
        </w:rPr>
        <w:t>-RAF interaction and inhibits RAS pathway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KRAS</w:t>
      </w:r>
      <w:r>
        <w:rPr>
          <w:rFonts w:ascii="Arial" w:cs="Arial" w:eastAsia="Arial" w:hAnsi="Arial"/>
          <w:sz w:val="11"/>
          <w:szCs w:val="11"/>
          <w:color w:val="auto"/>
        </w:rPr>
        <w:t>G12D</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57150</wp:posOffset>
            </wp:positionV>
            <wp:extent cx="3884930" cy="2452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8493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line="180" w:lineRule="auto"/>
        <w:rPr>
          <w:sz w:val="20"/>
          <w:szCs w:val="20"/>
          <w:color w:val="auto"/>
        </w:rPr>
      </w:pPr>
      <w:r>
        <w:rPr>
          <w:rFonts w:ascii="Arial" w:cs="Arial" w:eastAsia="Arial" w:hAnsi="Arial"/>
          <w:sz w:val="12"/>
          <w:szCs w:val="12"/>
          <w:color w:val="auto"/>
        </w:rPr>
        <w:t>Surface representation of atomic resolution crystal structure of tri-complex of RM-012 with KRAS</w:t>
      </w:r>
      <w:r>
        <w:rPr>
          <w:rFonts w:ascii="Arial" w:cs="Arial" w:eastAsia="Arial" w:hAnsi="Arial"/>
          <w:sz w:val="18"/>
          <w:szCs w:val="18"/>
          <w:color w:val="auto"/>
          <w:vertAlign w:val="superscript"/>
        </w:rPr>
        <w:t>G12D</w:t>
      </w:r>
      <w:r>
        <w:rPr>
          <w:rFonts w:ascii="Arial" w:cs="Arial" w:eastAsia="Arial" w:hAnsi="Arial"/>
          <w:sz w:val="12"/>
          <w:szCs w:val="12"/>
          <w:color w:val="auto"/>
        </w:rPr>
        <w:t xml:space="preserve"> (loaded with a non-hydrolysable analog of GTP) and cyclophilin A </w:t>
      </w:r>
      <w:r>
        <w:rPr>
          <w:rFonts w:ascii="Arial" w:cs="Arial" w:eastAsia="Arial" w:hAnsi="Arial"/>
          <w:sz w:val="12"/>
          <w:szCs w:val="12"/>
          <w:b w:val="1"/>
          <w:bCs w:val="1"/>
          <w:color w:val="auto"/>
        </w:rPr>
        <w:t>(a)</w:t>
      </w:r>
      <w:r>
        <w:rPr>
          <w:rFonts w:ascii="Arial" w:cs="Arial" w:eastAsia="Arial" w:hAnsi="Arial"/>
          <w:sz w:val="12"/>
          <w:szCs w:val="12"/>
          <w:color w:val="auto"/>
        </w:rPr>
        <w:t>. Biochemical characterization of the effect of KRAS</w:t>
      </w:r>
      <w:r>
        <w:rPr>
          <w:rFonts w:ascii="Arial" w:cs="Arial" w:eastAsia="Arial" w:hAnsi="Arial"/>
          <w:sz w:val="18"/>
          <w:szCs w:val="18"/>
          <w:color w:val="auto"/>
          <w:vertAlign w:val="superscript"/>
        </w:rPr>
        <w:t>G12D</w:t>
      </w:r>
      <w:r>
        <w:rPr>
          <w:rFonts w:ascii="Arial" w:cs="Arial" w:eastAsia="Arial" w:hAnsi="Arial"/>
          <w:sz w:val="12"/>
          <w:szCs w:val="12"/>
          <w:color w:val="auto"/>
        </w:rPr>
        <w:t xml:space="preserve"> (ON) tri-complex inhibitor RM-012 on the interaction between KRAS</w:t>
      </w:r>
      <w:r>
        <w:rPr>
          <w:rFonts w:ascii="Arial" w:cs="Arial" w:eastAsia="Arial" w:hAnsi="Arial"/>
          <w:sz w:val="18"/>
          <w:szCs w:val="18"/>
          <w:color w:val="auto"/>
          <w:vertAlign w:val="superscript"/>
        </w:rPr>
        <w:t>G12D</w:t>
      </w:r>
      <w:r>
        <w:rPr>
          <w:rFonts w:ascii="Arial" w:cs="Arial" w:eastAsia="Arial" w:hAnsi="Arial"/>
          <w:sz w:val="12"/>
          <w:szCs w:val="12"/>
          <w:color w:val="auto"/>
        </w:rPr>
        <w:t xml:space="preserve"> (loaded with a non-hydrolysable analog of GTP) and the RAS binding domain (RBD) of BRAF was performed using a TR-FRET assay (RAS-RAF disruption) </w:t>
      </w:r>
      <w:r>
        <w:rPr>
          <w:rFonts w:ascii="Arial" w:cs="Arial" w:eastAsia="Arial" w:hAnsi="Arial"/>
          <w:sz w:val="12"/>
          <w:szCs w:val="12"/>
          <w:b w:val="1"/>
          <w:bCs w:val="1"/>
          <w:color w:val="auto"/>
        </w:rPr>
        <w:t>(b)</w:t>
      </w:r>
      <w:r>
        <w:rPr>
          <w:rFonts w:ascii="Arial" w:cs="Arial" w:eastAsia="Arial" w:hAnsi="Arial"/>
          <w:sz w:val="12"/>
          <w:szCs w:val="12"/>
          <w:color w:val="auto"/>
        </w:rPr>
        <w:t>. RAS pathway activity in pancreatic AsPC-1 KRAS</w:t>
      </w:r>
      <w:r>
        <w:rPr>
          <w:rFonts w:ascii="Arial" w:cs="Arial" w:eastAsia="Arial" w:hAnsi="Arial"/>
          <w:sz w:val="18"/>
          <w:szCs w:val="18"/>
          <w:color w:val="auto"/>
          <w:vertAlign w:val="superscript"/>
        </w:rPr>
        <w:t>G13C</w:t>
      </w:r>
      <w:r>
        <w:rPr>
          <w:rFonts w:ascii="Arial" w:cs="Arial" w:eastAsia="Arial" w:hAnsi="Arial"/>
          <w:sz w:val="12"/>
          <w:szCs w:val="12"/>
          <w:color w:val="auto"/>
        </w:rPr>
        <w:t xml:space="preserve"> cells was monitored in 2D cell</w:t>
      </w:r>
    </w:p>
    <w:p>
      <w:pPr>
        <w:ind w:left="200"/>
        <w:spacing w:after="0"/>
        <w:rPr>
          <w:sz w:val="20"/>
          <w:szCs w:val="20"/>
          <w:color w:val="auto"/>
        </w:rPr>
      </w:pPr>
      <w:r>
        <w:rPr>
          <w:rFonts w:ascii="Arial" w:cs="Arial" w:eastAsia="Arial" w:hAnsi="Arial"/>
          <w:sz w:val="14"/>
          <w:szCs w:val="14"/>
          <w:color w:val="auto"/>
        </w:rPr>
        <w:t xml:space="preserve">cultures using levels of ERK1/2 phosphorylation at Thr202/Tyr204 (cellular pERK) </w:t>
      </w:r>
      <w:r>
        <w:rPr>
          <w:rFonts w:ascii="Arial" w:cs="Arial" w:eastAsia="Arial" w:hAnsi="Arial"/>
          <w:sz w:val="14"/>
          <w:szCs w:val="14"/>
          <w:b w:val="1"/>
          <w:bCs w:val="1"/>
          <w:color w:val="auto"/>
        </w:rPr>
        <w:t>(c)</w:t>
      </w:r>
      <w:r>
        <w:rPr>
          <w:rFonts w:ascii="Arial" w:cs="Arial" w:eastAsia="Arial" w:hAnsi="Arial"/>
          <w:sz w:val="14"/>
          <w:szCs w:val="14"/>
          <w:color w:val="auto"/>
        </w:rPr>
        <w:t>. Data</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1" w:lineRule="auto"/>
        <w:rPr>
          <w:sz w:val="20"/>
          <w:szCs w:val="20"/>
          <w:color w:val="auto"/>
        </w:rPr>
      </w:pPr>
      <w:r>
        <w:rPr>
          <w:rFonts w:ascii="Arial" w:cs="Arial" w:eastAsia="Arial" w:hAnsi="Arial"/>
          <w:sz w:val="14"/>
          <w:szCs w:val="14"/>
          <w:color w:val="auto"/>
        </w:rPr>
        <w:t>shown in Figures b and c represent the mean of duplicate determinations (error bars show the standard deviation) from a single study. Data in Figure c representative of at least two independent studies, each performed in duplicate.</w:t>
      </w:r>
    </w:p>
    <w:p>
      <w:pPr>
        <w:spacing w:after="0" w:line="77"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b w:val="1"/>
          <w:bCs w:val="1"/>
          <w:color w:val="auto"/>
        </w:rPr>
        <w:t>Figure 24</w:t>
      </w:r>
      <w:r>
        <w:rPr>
          <w:rFonts w:ascii="Arial" w:cs="Arial" w:eastAsia="Arial" w:hAnsi="Arial"/>
          <w:sz w:val="18"/>
          <w:szCs w:val="18"/>
          <w:color w:val="auto"/>
        </w:rPr>
        <w:t>: NRAS</w:t>
      </w:r>
      <w:r>
        <w:rPr>
          <w:rFonts w:ascii="Arial" w:cs="Arial" w:eastAsia="Arial" w:hAnsi="Arial"/>
          <w:sz w:val="11"/>
          <w:szCs w:val="11"/>
          <w:color w:val="auto"/>
        </w:rPr>
        <w:t>G12C</w:t>
      </w:r>
      <w:r>
        <w:rPr>
          <w:rFonts w:ascii="Arial" w:cs="Arial" w:eastAsia="Arial" w:hAnsi="Arial"/>
          <w:sz w:val="18"/>
          <w:szCs w:val="18"/>
          <w:color w:val="auto"/>
        </w:rPr>
        <w:t>(ON) tri-complex inhibitor RM-007 disrupts NRAS</w:t>
      </w:r>
      <w:r>
        <w:rPr>
          <w:rFonts w:ascii="Arial" w:cs="Arial" w:eastAsia="Arial" w:hAnsi="Arial"/>
          <w:sz w:val="11"/>
          <w:szCs w:val="11"/>
          <w:color w:val="auto"/>
        </w:rPr>
        <w:t>G12C</w:t>
      </w:r>
      <w:r>
        <w:rPr>
          <w:rFonts w:ascii="Arial" w:cs="Arial" w:eastAsia="Arial" w:hAnsi="Arial"/>
          <w:sz w:val="18"/>
          <w:szCs w:val="18"/>
          <w:color w:val="auto"/>
        </w:rPr>
        <w:t>-RAF interaction; inhibits RAS pathway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NRAS</w:t>
      </w:r>
      <w:r>
        <w:rPr>
          <w:rFonts w:ascii="Arial" w:cs="Arial" w:eastAsia="Arial" w:hAnsi="Arial"/>
          <w:sz w:val="11"/>
          <w:szCs w:val="11"/>
          <w:color w:val="auto"/>
        </w:rPr>
        <w:t>G12C</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57150</wp:posOffset>
            </wp:positionV>
            <wp:extent cx="3430270" cy="23412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3027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right="80"/>
        <w:spacing w:after="0" w:line="180" w:lineRule="auto"/>
        <w:rPr>
          <w:sz w:val="20"/>
          <w:szCs w:val="20"/>
          <w:color w:val="auto"/>
        </w:rPr>
      </w:pPr>
      <w:r>
        <w:rPr>
          <w:rFonts w:ascii="Arial" w:cs="Arial" w:eastAsia="Arial" w:hAnsi="Arial"/>
          <w:sz w:val="12"/>
          <w:szCs w:val="12"/>
          <w:color w:val="auto"/>
        </w:rPr>
        <w:t>Surface representation of atomic resolution crystal structure of tri-complex of RM-007 with NRAS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 (loaded with a non-hydrolysable analog of GTP) and cyclophilin A </w:t>
      </w:r>
      <w:r>
        <w:rPr>
          <w:rFonts w:ascii="Arial" w:cs="Arial" w:eastAsia="Arial" w:hAnsi="Arial"/>
          <w:sz w:val="12"/>
          <w:szCs w:val="12"/>
          <w:b w:val="1"/>
          <w:bCs w:val="1"/>
          <w:color w:val="auto"/>
        </w:rPr>
        <w:t>(a)</w:t>
      </w:r>
      <w:r>
        <w:rPr>
          <w:rFonts w:ascii="Arial" w:cs="Arial" w:eastAsia="Arial" w:hAnsi="Arial"/>
          <w:sz w:val="12"/>
          <w:szCs w:val="12"/>
          <w:color w:val="auto"/>
        </w:rPr>
        <w:t>. Biochemical characterization of the effect of NRAS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 (ON) tri-complex inhibitor RM-007 on the interaction between NRAS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 (loaded with a non-hydrolysable analog of GTP) and the RAS binding domain (RBD) of BRAF was performed using a TR-FRET assay (RAS-RAF disruption) </w:t>
      </w:r>
      <w:r>
        <w:rPr>
          <w:rFonts w:ascii="Arial" w:cs="Arial" w:eastAsia="Arial" w:hAnsi="Arial"/>
          <w:sz w:val="12"/>
          <w:szCs w:val="12"/>
          <w:b w:val="1"/>
          <w:bCs w:val="1"/>
          <w:color w:val="auto"/>
        </w:rPr>
        <w:t>(b)</w:t>
      </w:r>
      <w:r>
        <w:rPr>
          <w:rFonts w:ascii="Arial" w:cs="Arial" w:eastAsia="Arial" w:hAnsi="Arial"/>
          <w:sz w:val="12"/>
          <w:szCs w:val="12"/>
          <w:color w:val="auto"/>
        </w:rPr>
        <w:t>. RAS pathway activity in AML P31-FUJ NRAS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 cells was monitored in</w:t>
      </w:r>
    </w:p>
    <w:p>
      <w:pPr>
        <w:jc w:val="both"/>
        <w:ind w:left="200"/>
        <w:spacing w:after="0" w:line="228" w:lineRule="auto"/>
        <w:rPr>
          <w:sz w:val="20"/>
          <w:szCs w:val="20"/>
          <w:color w:val="auto"/>
        </w:rPr>
      </w:pPr>
      <w:r>
        <w:rPr>
          <w:rFonts w:ascii="Arial" w:cs="Arial" w:eastAsia="Arial" w:hAnsi="Arial"/>
          <w:sz w:val="14"/>
          <w:szCs w:val="14"/>
          <w:color w:val="auto"/>
        </w:rPr>
        <w:t xml:space="preserve">2D cell cultures using levels of ERK1/2 phosphorylation at Thr202/Tyr204 (cellular pERK) </w:t>
      </w:r>
      <w:r>
        <w:rPr>
          <w:rFonts w:ascii="Arial" w:cs="Arial" w:eastAsia="Arial" w:hAnsi="Arial"/>
          <w:sz w:val="14"/>
          <w:szCs w:val="14"/>
          <w:b w:val="1"/>
          <w:bCs w:val="1"/>
          <w:color w:val="auto"/>
        </w:rPr>
        <w:t>(c)</w:t>
      </w:r>
      <w:r>
        <w:rPr>
          <w:rFonts w:ascii="Arial" w:cs="Arial" w:eastAsia="Arial" w:hAnsi="Arial"/>
          <w:sz w:val="14"/>
          <w:szCs w:val="14"/>
          <w:color w:val="auto"/>
        </w:rPr>
        <w:t>. Data shown in Figure b represent the mean of duplicate determinations (error bars show the standard deviation) from a single study. Data are representative of at least two independent studies, each performed in duplicate. Data shown in Figure c represent the mean of two independent studies, each performed in duplicate (error bars show the standard deviation).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Reduced susceptibility of RAS(ON) inhibitors to adaptive resistance mechanisms, such as RTK activation</w:t>
      </w:r>
    </w:p>
    <w:p>
      <w:pPr>
        <w:spacing w:after="0" w:line="122" w:lineRule="exact"/>
        <w:rPr>
          <w:sz w:val="20"/>
          <w:szCs w:val="20"/>
          <w:color w:val="auto"/>
        </w:rPr>
      </w:pPr>
    </w:p>
    <w:p>
      <w:pPr>
        <w:ind w:left="200" w:right="40"/>
        <w:spacing w:after="0" w:line="269" w:lineRule="auto"/>
        <w:rPr>
          <w:sz w:val="20"/>
          <w:szCs w:val="20"/>
          <w:color w:val="auto"/>
        </w:rPr>
      </w:pPr>
      <w:r>
        <w:rPr>
          <w:rFonts w:ascii="Arial" w:cs="Arial" w:eastAsia="Arial" w:hAnsi="Arial"/>
          <w:sz w:val="16"/>
          <w:szCs w:val="16"/>
          <w:color w:val="auto"/>
        </w:rPr>
        <w:t>In tumor cells that are addicted to high levels of RAS activation, we believe that selective inhibitors of RAS(ON) will suppress cell growth and survival and be less susceptible to adaptive resistance mechanisms recognized for RAS(OFF) inhibitors, specifically the KRAS</w:t>
      </w:r>
      <w:r>
        <w:rPr>
          <w:rFonts w:ascii="Arial" w:cs="Arial" w:eastAsia="Arial" w:hAnsi="Arial"/>
          <w:sz w:val="10"/>
          <w:szCs w:val="10"/>
          <w:color w:val="auto"/>
        </w:rPr>
        <w:t>G12C</w:t>
      </w:r>
      <w:r>
        <w:rPr>
          <w:rFonts w:ascii="Arial" w:cs="Arial" w:eastAsia="Arial" w:hAnsi="Arial"/>
          <w:sz w:val="16"/>
          <w:szCs w:val="16"/>
          <w:color w:val="auto"/>
        </w:rPr>
        <w:t>(OFF) inhibitors that are currently in early clinical development. KRAS</w:t>
      </w:r>
      <w:r>
        <w:rPr>
          <w:rFonts w:ascii="Arial" w:cs="Arial" w:eastAsia="Arial" w:hAnsi="Arial"/>
          <w:sz w:val="10"/>
          <w:szCs w:val="10"/>
          <w:color w:val="auto"/>
        </w:rPr>
        <w:t>G12C</w:t>
      </w:r>
      <w:r>
        <w:rPr>
          <w:rFonts w:ascii="Arial" w:cs="Arial" w:eastAsia="Arial" w:hAnsi="Arial"/>
          <w:sz w:val="16"/>
          <w:szCs w:val="16"/>
          <w:color w:val="auto"/>
        </w:rPr>
        <w:t>(OFF) inhibitors are susceptible to any cellular perturbations that reduce the intracellular pool of KRAS(OFF). Central to the differentiated profile of KRAS</w:t>
      </w:r>
      <w:r>
        <w:rPr>
          <w:rFonts w:ascii="Arial" w:cs="Arial" w:eastAsia="Arial" w:hAnsi="Arial"/>
          <w:sz w:val="10"/>
          <w:szCs w:val="10"/>
          <w:color w:val="auto"/>
        </w:rPr>
        <w:t>G12C</w:t>
      </w:r>
      <w:r>
        <w:rPr>
          <w:rFonts w:ascii="Arial" w:cs="Arial" w:eastAsia="Arial" w:hAnsi="Arial"/>
          <w:sz w:val="16"/>
          <w:szCs w:val="16"/>
          <w:color w:val="auto"/>
        </w:rPr>
        <w:t>(ON) inhibitors is their relative insensitivity to cellular mechanisms that activate KRAS</w:t>
      </w:r>
      <w:r>
        <w:rPr>
          <w:rFonts w:ascii="Arial" w:cs="Arial" w:eastAsia="Arial" w:hAnsi="Arial"/>
          <w:sz w:val="10"/>
          <w:szCs w:val="10"/>
          <w:color w:val="auto"/>
        </w:rPr>
        <w:t>G12C</w:t>
      </w:r>
      <w:r>
        <w:rPr>
          <w:rFonts w:ascii="Arial" w:cs="Arial" w:eastAsia="Arial" w:hAnsi="Arial"/>
          <w:sz w:val="16"/>
          <w:szCs w:val="16"/>
          <w:color w:val="auto"/>
        </w:rPr>
        <w:t xml:space="preserve"> and thereby increase the pool of KRAS</w:t>
      </w:r>
      <w:r>
        <w:rPr>
          <w:rFonts w:ascii="Arial" w:cs="Arial" w:eastAsia="Arial" w:hAnsi="Arial"/>
          <w:sz w:val="10"/>
          <w:szCs w:val="10"/>
          <w:color w:val="auto"/>
        </w:rPr>
        <w:t>G12C</w:t>
      </w:r>
      <w:r>
        <w:rPr>
          <w:rFonts w:ascii="Arial" w:cs="Arial" w:eastAsia="Arial" w:hAnsi="Arial"/>
          <w:sz w:val="16"/>
          <w:szCs w:val="16"/>
          <w:color w:val="auto"/>
        </w:rPr>
        <w:t>(ON) and decrease the pool of KRAS(OFF). We have demonstrated that the addition of growth factors to cells in order to directly activate RTKs (and hence increase the RAS(ON) pool) reduces the cellular potency of KRAS</w:t>
      </w:r>
      <w:r>
        <w:rPr>
          <w:rFonts w:ascii="Arial" w:cs="Arial" w:eastAsia="Arial" w:hAnsi="Arial"/>
          <w:sz w:val="10"/>
          <w:szCs w:val="10"/>
          <w:color w:val="auto"/>
        </w:rPr>
        <w:t>G12C</w:t>
      </w:r>
      <w:r>
        <w:rPr>
          <w:rFonts w:ascii="Arial" w:cs="Arial" w:eastAsia="Arial" w:hAnsi="Arial"/>
          <w:sz w:val="16"/>
          <w:szCs w:val="16"/>
          <w:color w:val="auto"/>
        </w:rPr>
        <w:t>(OFF) inhibitors but has much less effect on cellular potency of KRAS</w:t>
      </w:r>
      <w:r>
        <w:rPr>
          <w:rFonts w:ascii="Arial" w:cs="Arial" w:eastAsia="Arial" w:hAnsi="Arial"/>
          <w:sz w:val="10"/>
          <w:szCs w:val="10"/>
          <w:color w:val="auto"/>
        </w:rPr>
        <w:t>G12C</w:t>
      </w:r>
      <w:r>
        <w:rPr>
          <w:rFonts w:ascii="Arial" w:cs="Arial" w:eastAsia="Arial" w:hAnsi="Arial"/>
          <w:sz w:val="16"/>
          <w:szCs w:val="16"/>
          <w:color w:val="auto"/>
        </w:rPr>
        <w:t>(ON) inhibitors (Figure 25). These findings corroborate a previous published report that KRAS</w:t>
      </w:r>
      <w:r>
        <w:rPr>
          <w:rFonts w:ascii="Arial" w:cs="Arial" w:eastAsia="Arial" w:hAnsi="Arial"/>
          <w:sz w:val="10"/>
          <w:szCs w:val="10"/>
          <w:color w:val="auto"/>
        </w:rPr>
        <w:t>G12C</w:t>
      </w:r>
      <w:r>
        <w:rPr>
          <w:rFonts w:ascii="Arial" w:cs="Arial" w:eastAsia="Arial" w:hAnsi="Arial"/>
          <w:sz w:val="16"/>
          <w:szCs w:val="16"/>
          <w:color w:val="auto"/>
        </w:rPr>
        <w:t xml:space="preserve"> target engagement by a representative KRAS</w:t>
      </w:r>
      <w:r>
        <w:rPr>
          <w:rFonts w:ascii="Arial" w:cs="Arial" w:eastAsia="Arial" w:hAnsi="Arial"/>
          <w:sz w:val="10"/>
          <w:szCs w:val="10"/>
          <w:color w:val="auto"/>
        </w:rPr>
        <w:t>G12C</w:t>
      </w:r>
      <w:r>
        <w:rPr>
          <w:rFonts w:ascii="Arial" w:cs="Arial" w:eastAsia="Arial" w:hAnsi="Arial"/>
          <w:sz w:val="16"/>
          <w:szCs w:val="16"/>
          <w:color w:val="auto"/>
        </w:rPr>
        <w:t>(OFF) inhibitor is significantly reduced by growth factor administration, consistent with the relative depletion of the therapeutic target.</w:t>
      </w:r>
    </w:p>
    <w:p>
      <w:pPr>
        <w:spacing w:after="0" w:line="3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24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620"/>
        <w:spacing w:after="0" w:line="264" w:lineRule="auto"/>
        <w:rPr>
          <w:sz w:val="20"/>
          <w:szCs w:val="20"/>
          <w:color w:val="auto"/>
        </w:rPr>
      </w:pPr>
      <w:r>
        <w:rPr>
          <w:rFonts w:ascii="Arial" w:cs="Arial" w:eastAsia="Arial" w:hAnsi="Arial"/>
          <w:sz w:val="18"/>
          <w:szCs w:val="18"/>
          <w:b w:val="1"/>
          <w:bCs w:val="1"/>
          <w:color w:val="auto"/>
        </w:rPr>
        <w:t>Figure 25</w:t>
      </w:r>
      <w:r>
        <w:rPr>
          <w:rFonts w:ascii="Arial" w:cs="Arial" w:eastAsia="Arial" w:hAnsi="Arial"/>
          <w:sz w:val="18"/>
          <w:szCs w:val="18"/>
          <w:color w:val="auto"/>
        </w:rPr>
        <w:t>: Differential susceptibility of KRAS</w:t>
      </w:r>
      <w:r>
        <w:rPr>
          <w:rFonts w:ascii="Arial" w:cs="Arial" w:eastAsia="Arial" w:hAnsi="Arial"/>
          <w:sz w:val="11"/>
          <w:szCs w:val="11"/>
          <w:color w:val="auto"/>
        </w:rPr>
        <w:t>G12C</w:t>
      </w:r>
      <w:r>
        <w:rPr>
          <w:rFonts w:ascii="Arial" w:cs="Arial" w:eastAsia="Arial" w:hAnsi="Arial"/>
          <w:sz w:val="18"/>
          <w:szCs w:val="18"/>
          <w:color w:val="auto"/>
        </w:rPr>
        <w:t>(ON) and KRAS</w:t>
      </w:r>
      <w:r>
        <w:rPr>
          <w:rFonts w:ascii="Arial" w:cs="Arial" w:eastAsia="Arial" w:hAnsi="Arial"/>
          <w:sz w:val="11"/>
          <w:szCs w:val="11"/>
          <w:color w:val="auto"/>
        </w:rPr>
        <w:t>G12C</w:t>
      </w:r>
      <w:r>
        <w:rPr>
          <w:rFonts w:ascii="Arial" w:cs="Arial" w:eastAsia="Arial" w:hAnsi="Arial"/>
          <w:sz w:val="18"/>
          <w:szCs w:val="18"/>
          <w:color w:val="auto"/>
        </w:rPr>
        <w:t>(OFF) inhibitors to the effects of RTK activation, via growth factor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challenge, on inhibition of RAS pathway and cell proliferation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57150</wp:posOffset>
            </wp:positionV>
            <wp:extent cx="3087370" cy="23495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8737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right="100"/>
        <w:spacing w:after="0" w:line="197" w:lineRule="auto"/>
        <w:rPr>
          <w:sz w:val="20"/>
          <w:szCs w:val="20"/>
          <w:color w:val="auto"/>
        </w:rPr>
      </w:pPr>
      <w:r>
        <w:rPr>
          <w:rFonts w:ascii="Arial" w:cs="Arial" w:eastAsia="Arial" w:hAnsi="Arial"/>
          <w:sz w:val="13"/>
          <w:szCs w:val="13"/>
          <w:color w:val="auto"/>
        </w:rPr>
        <w:t>RAS pathway activity and cell proliferation in NSCLC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cancer cells were monitored in 2D cell cultures using levels of ERK1/2 phosphorylation at Thr202/Tyr204 after 4 hours of compound incubation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r>
        <w:rPr>
          <w:rFonts w:ascii="Arial" w:cs="Arial" w:eastAsia="Arial" w:hAnsi="Arial"/>
          <w:sz w:val="13"/>
          <w:szCs w:val="13"/>
          <w:color w:val="auto"/>
        </w:rPr>
        <w:t xml:space="preserve">) and in 3D cell cultures using CellTiter-Glo (CTG) after 5 days of compound incubation </w:t>
      </w:r>
      <w:r>
        <w:rPr>
          <w:rFonts w:ascii="Arial" w:cs="Arial" w:eastAsia="Arial" w:hAnsi="Arial"/>
          <w:sz w:val="13"/>
          <w:szCs w:val="13"/>
          <w:b w:val="1"/>
          <w:bCs w:val="1"/>
          <w:color w:val="auto"/>
        </w:rPr>
        <w:t>(c</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The effects of activation of EGFR and MET receptor, by addition of growth factor ligands human EGF (hEGF) and human HGF (hHGF) (at their EC</w:t>
      </w:r>
      <w:r>
        <w:rPr>
          <w:rFonts w:ascii="Arial" w:cs="Arial" w:eastAsia="Arial" w:hAnsi="Arial"/>
          <w:sz w:val="11"/>
          <w:szCs w:val="11"/>
          <w:color w:val="auto"/>
        </w:rPr>
        <w:t>95</w:t>
      </w:r>
      <w:r>
        <w:rPr>
          <w:rFonts w:ascii="Arial" w:cs="Arial" w:eastAsia="Arial" w:hAnsi="Arial"/>
          <w:sz w:val="13"/>
          <w:szCs w:val="13"/>
          <w:color w:val="auto"/>
        </w:rPr>
        <w:t xml:space="preserve"> concentrations) respectively, on the inhibitory potency of the</w:t>
      </w:r>
    </w:p>
    <w:p>
      <w:pPr>
        <w:spacing w:after="0" w:line="2" w:lineRule="exact"/>
        <w:rPr>
          <w:sz w:val="20"/>
          <w:szCs w:val="20"/>
          <w:color w:val="auto"/>
        </w:rPr>
      </w:pPr>
    </w:p>
    <w:p>
      <w:pPr>
        <w:ind w:left="200" w:right="100"/>
        <w:spacing w:after="0" w:line="191" w:lineRule="auto"/>
        <w:rPr>
          <w:sz w:val="20"/>
          <w:szCs w:val="20"/>
          <w:color w:val="auto"/>
        </w:rPr>
      </w:pPr>
      <w:r>
        <w:rPr>
          <w:rFonts w:ascii="Arial" w:cs="Arial" w:eastAsia="Arial" w:hAnsi="Arial"/>
          <w:sz w:val="14"/>
          <w:szCs w:val="14"/>
          <w:color w:val="auto"/>
        </w:rPr>
        <w:t>KRAS</w:t>
      </w:r>
      <w:r>
        <w:rPr>
          <w:rFonts w:ascii="Arial" w:cs="Arial" w:eastAsia="Arial" w:hAnsi="Arial"/>
          <w:sz w:val="22"/>
          <w:szCs w:val="22"/>
          <w:color w:val="auto"/>
          <w:vertAlign w:val="superscript"/>
        </w:rPr>
        <w:t>G12C</w:t>
      </w:r>
      <w:r>
        <w:rPr>
          <w:rFonts w:ascii="Arial" w:cs="Arial" w:eastAsia="Arial" w:hAnsi="Arial"/>
          <w:sz w:val="14"/>
          <w:szCs w:val="14"/>
          <w:color w:val="auto"/>
        </w:rPr>
        <w:t>(ON) inhibitor RM-010 (</w:t>
      </w:r>
      <w:r>
        <w:rPr>
          <w:rFonts w:ascii="Arial" w:cs="Arial" w:eastAsia="Arial" w:hAnsi="Arial"/>
          <w:sz w:val="14"/>
          <w:szCs w:val="14"/>
          <w:b w:val="1"/>
          <w:bCs w:val="1"/>
          <w:color w:val="auto"/>
        </w:rPr>
        <w:t>a</w:t>
      </w:r>
      <w:r>
        <w:rPr>
          <w:rFonts w:ascii="Arial" w:cs="Arial" w:eastAsia="Arial" w:hAnsi="Arial"/>
          <w:sz w:val="14"/>
          <w:szCs w:val="14"/>
          <w:color w:val="auto"/>
        </w:rPr>
        <w:t xml:space="preserve"> and </w:t>
      </w:r>
      <w:r>
        <w:rPr>
          <w:rFonts w:ascii="Arial" w:cs="Arial" w:eastAsia="Arial" w:hAnsi="Arial"/>
          <w:sz w:val="14"/>
          <w:szCs w:val="14"/>
          <w:b w:val="1"/>
          <w:bCs w:val="1"/>
          <w:color w:val="auto"/>
        </w:rPr>
        <w:t>c</w:t>
      </w:r>
      <w:r>
        <w:rPr>
          <w:rFonts w:ascii="Arial" w:cs="Arial" w:eastAsia="Arial" w:hAnsi="Arial"/>
          <w:sz w:val="14"/>
          <w:szCs w:val="14"/>
          <w:color w:val="auto"/>
        </w:rPr>
        <w:t>) and KRAS</w:t>
      </w:r>
      <w:r>
        <w:rPr>
          <w:rFonts w:ascii="Arial" w:cs="Arial" w:eastAsia="Arial" w:hAnsi="Arial"/>
          <w:sz w:val="22"/>
          <w:szCs w:val="22"/>
          <w:color w:val="auto"/>
          <w:vertAlign w:val="superscript"/>
        </w:rPr>
        <w:t>G12C</w:t>
      </w:r>
      <w:r>
        <w:rPr>
          <w:rFonts w:ascii="Arial" w:cs="Arial" w:eastAsia="Arial" w:hAnsi="Arial"/>
          <w:sz w:val="14"/>
          <w:szCs w:val="14"/>
          <w:color w:val="auto"/>
        </w:rPr>
        <w:t>(OFF) inhibitor, MRTX1257 (</w:t>
      </w:r>
      <w:r>
        <w:rPr>
          <w:rFonts w:ascii="Arial" w:cs="Arial" w:eastAsia="Arial" w:hAnsi="Arial"/>
          <w:sz w:val="14"/>
          <w:szCs w:val="14"/>
          <w:b w:val="1"/>
          <w:bCs w:val="1"/>
          <w:color w:val="auto"/>
        </w:rPr>
        <w:t>b</w:t>
      </w:r>
      <w:r>
        <w:rPr>
          <w:rFonts w:ascii="Arial" w:cs="Arial" w:eastAsia="Arial" w:hAnsi="Arial"/>
          <w:sz w:val="14"/>
          <w:szCs w:val="14"/>
          <w:color w:val="auto"/>
        </w:rPr>
        <w:t xml:space="preserve"> and </w:t>
      </w:r>
      <w:r>
        <w:rPr>
          <w:rFonts w:ascii="Arial" w:cs="Arial" w:eastAsia="Arial" w:hAnsi="Arial"/>
          <w:sz w:val="14"/>
          <w:szCs w:val="14"/>
          <w:b w:val="1"/>
          <w:bCs w:val="1"/>
          <w:color w:val="auto"/>
        </w:rPr>
        <w:t>d</w:t>
      </w:r>
      <w:r>
        <w:rPr>
          <w:rFonts w:ascii="Arial" w:cs="Arial" w:eastAsia="Arial" w:hAnsi="Arial"/>
          <w:sz w:val="14"/>
          <w:szCs w:val="14"/>
          <w:color w:val="auto"/>
        </w:rPr>
        <w:t>) is shown. Data shown in Figures a, b, c and d represent the mean of two independent studies, each performed in duplicate (error bars show the standard deviation).</w:t>
      </w:r>
    </w:p>
    <w:p>
      <w:pPr>
        <w:spacing w:after="0" w:line="8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 xml:space="preserve">Furthermore, using long-term proliferation studies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to monitor cell proliferation over time, and by extension the durability of inhibitor effect, we have shown that the KRAS</w:t>
      </w:r>
      <w:r>
        <w:rPr>
          <w:rFonts w:ascii="Arial" w:cs="Arial" w:eastAsia="Arial" w:hAnsi="Arial"/>
          <w:sz w:val="11"/>
          <w:szCs w:val="11"/>
          <w:color w:val="auto"/>
        </w:rPr>
        <w:t>G12C</w:t>
      </w:r>
      <w:r>
        <w:rPr>
          <w:rFonts w:ascii="Arial" w:cs="Arial" w:eastAsia="Arial" w:hAnsi="Arial"/>
          <w:sz w:val="18"/>
          <w:szCs w:val="18"/>
          <w:color w:val="auto"/>
        </w:rPr>
        <w:t>(ON) inhibitors produce more durable growth inhibition compared to KRAS</w:t>
      </w:r>
      <w:r>
        <w:rPr>
          <w:rFonts w:ascii="Arial" w:cs="Arial" w:eastAsia="Arial" w:hAnsi="Arial"/>
          <w:sz w:val="11"/>
          <w:szCs w:val="11"/>
          <w:color w:val="auto"/>
        </w:rPr>
        <w:t>G12C</w:t>
      </w:r>
      <w:r>
        <w:rPr>
          <w:rFonts w:ascii="Arial" w:cs="Arial" w:eastAsia="Arial" w:hAnsi="Arial"/>
          <w:sz w:val="18"/>
          <w:szCs w:val="18"/>
          <w:color w:val="auto"/>
        </w:rPr>
        <w:t>(OFF) inhibitors (Figure 26). These data highlight the relative insensitivity of KRAS</w:t>
      </w:r>
      <w:r>
        <w:rPr>
          <w:rFonts w:ascii="Arial" w:cs="Arial" w:eastAsia="Arial" w:hAnsi="Arial"/>
          <w:sz w:val="11"/>
          <w:szCs w:val="11"/>
          <w:color w:val="auto"/>
        </w:rPr>
        <w:t>G12C</w:t>
      </w:r>
      <w:r>
        <w:rPr>
          <w:rFonts w:ascii="Arial" w:cs="Arial" w:eastAsia="Arial" w:hAnsi="Arial"/>
          <w:sz w:val="18"/>
          <w:szCs w:val="18"/>
          <w:color w:val="auto"/>
        </w:rPr>
        <w:t xml:space="preserve">(ON) inhibitors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to activation of adaptive resistance mechanisms, such as RTK activation, which can be exploited by a tumor cell in response to suppression of the RAS signaling pathway. We believe these findings may be clinically relevant since the durability of response to RAS signaling pathway inhibitors is generally accepted to be a key factor impacting anti-tumor activity.</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26</w:t>
      </w:r>
      <w:r>
        <w:rPr>
          <w:rFonts w:ascii="Arial" w:cs="Arial" w:eastAsia="Arial" w:hAnsi="Arial"/>
          <w:sz w:val="18"/>
          <w:szCs w:val="18"/>
          <w:color w:val="auto"/>
        </w:rPr>
        <w:t>: Effects of tri-complex KRAS</w:t>
      </w:r>
      <w:r>
        <w:rPr>
          <w:rFonts w:ascii="Arial" w:cs="Arial" w:eastAsia="Arial" w:hAnsi="Arial"/>
          <w:sz w:val="11"/>
          <w:szCs w:val="11"/>
          <w:color w:val="auto"/>
        </w:rPr>
        <w:t>G12C</w:t>
      </w:r>
      <w:r>
        <w:rPr>
          <w:rFonts w:ascii="Arial" w:cs="Arial" w:eastAsia="Arial" w:hAnsi="Arial"/>
          <w:sz w:val="18"/>
          <w:szCs w:val="18"/>
          <w:color w:val="auto"/>
        </w:rPr>
        <w:t>(ON) inhibitor or KRAS</w:t>
      </w:r>
      <w:r>
        <w:rPr>
          <w:rFonts w:ascii="Arial" w:cs="Arial" w:eastAsia="Arial" w:hAnsi="Arial"/>
          <w:sz w:val="11"/>
          <w:szCs w:val="11"/>
          <w:color w:val="auto"/>
        </w:rPr>
        <w:t>G12C</w:t>
      </w:r>
      <w:r>
        <w:rPr>
          <w:rFonts w:ascii="Arial" w:cs="Arial" w:eastAsia="Arial" w:hAnsi="Arial"/>
          <w:sz w:val="18"/>
          <w:szCs w:val="18"/>
          <w:color w:val="auto"/>
        </w:rPr>
        <w:t>(OFF) inhibitors on long term cell growth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p>
    <w:p>
      <w:pPr>
        <w:spacing w:after="0" w:line="11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8890</wp:posOffset>
            </wp:positionV>
            <wp:extent cx="2984500" cy="1560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98450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right="180"/>
        <w:spacing w:after="0" w:line="181" w:lineRule="auto"/>
        <w:rPr>
          <w:sz w:val="20"/>
          <w:szCs w:val="20"/>
          <w:color w:val="auto"/>
        </w:rPr>
      </w:pPr>
      <w:r>
        <w:rPr>
          <w:rFonts w:ascii="Arial" w:cs="Arial" w:eastAsia="Arial" w:hAnsi="Arial"/>
          <w:sz w:val="13"/>
          <w:szCs w:val="13"/>
          <w:color w:val="auto"/>
        </w:rPr>
        <w:t>NSCLC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cancer cells were maintained in 2D cell culture and cell proliferation (expressed as % confluence) monitored over time using the Incucyte imaging platform. Cells were incubated in the absence (control, black) or presence of KRAS</w:t>
      </w:r>
      <w:r>
        <w:rPr>
          <w:rFonts w:ascii="Arial" w:cs="Arial" w:eastAsia="Arial" w:hAnsi="Arial"/>
          <w:sz w:val="21"/>
          <w:szCs w:val="21"/>
          <w:color w:val="auto"/>
          <w:vertAlign w:val="superscript"/>
        </w:rPr>
        <w:t>G12C</w:t>
      </w:r>
      <w:r>
        <w:rPr>
          <w:rFonts w:ascii="Arial" w:cs="Arial" w:eastAsia="Arial" w:hAnsi="Arial"/>
          <w:sz w:val="13"/>
          <w:szCs w:val="13"/>
          <w:color w:val="auto"/>
        </w:rPr>
        <w:t>(OFF) (purple) or KRAS</w:t>
      </w:r>
      <w:r>
        <w:rPr>
          <w:rFonts w:ascii="Arial" w:cs="Arial" w:eastAsia="Arial" w:hAnsi="Arial"/>
          <w:sz w:val="21"/>
          <w:szCs w:val="21"/>
          <w:color w:val="auto"/>
          <w:vertAlign w:val="superscript"/>
        </w:rPr>
        <w:t>G12C</w:t>
      </w:r>
      <w:r>
        <w:rPr>
          <w:rFonts w:ascii="Arial" w:cs="Arial" w:eastAsia="Arial" w:hAnsi="Arial"/>
          <w:sz w:val="13"/>
          <w:szCs w:val="13"/>
          <w:color w:val="auto"/>
        </w:rPr>
        <w:t>(ON) (green) inhibitors at equi-efficacious concentrations, that is concentrations that produced 75% inhibition of proliferation in short-term growth studies. Under control conditions cells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80"/>
          </w:cols>
          <w:pgMar w:left="24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both"/>
        <w:ind w:left="200" w:right="200"/>
        <w:spacing w:after="0" w:line="181" w:lineRule="auto"/>
        <w:rPr>
          <w:sz w:val="20"/>
          <w:szCs w:val="20"/>
          <w:color w:val="auto"/>
        </w:rPr>
      </w:pPr>
      <w:r>
        <w:rPr>
          <w:rFonts w:ascii="Arial" w:cs="Arial" w:eastAsia="Arial" w:hAnsi="Arial"/>
          <w:sz w:val="13"/>
          <w:szCs w:val="13"/>
          <w:color w:val="auto"/>
        </w:rPr>
        <w:t>reached 100% confluence within ~ 10 days. Addition of the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(OFF) inhibitor tool compound, Mirati-11, inhibited cell growth, evident as an ~ 2-fold delay in the time to reach confluence (~ 20 days). In contrast, a representative KRAS </w:t>
      </w:r>
      <w:r>
        <w:rPr>
          <w:rFonts w:ascii="Arial" w:cs="Arial" w:eastAsia="Arial" w:hAnsi="Arial"/>
          <w:sz w:val="21"/>
          <w:szCs w:val="21"/>
          <w:color w:val="auto"/>
          <w:vertAlign w:val="superscript"/>
        </w:rPr>
        <w:t>G12C</w:t>
      </w:r>
      <w:r>
        <w:rPr>
          <w:rFonts w:ascii="Arial" w:cs="Arial" w:eastAsia="Arial" w:hAnsi="Arial"/>
          <w:sz w:val="13"/>
          <w:szCs w:val="13"/>
          <w:color w:val="auto"/>
        </w:rPr>
        <w:t>(ON) inhibitor (RM-007) caused a more sustained suppression of cell proliferation and confluence was not achieved during the time course of the experiment (~ 35 days). Data are from a single experiment, similar data have been obtained in another independent study.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Combination strategy for KRAS</w:t>
      </w:r>
      <w:r>
        <w:rPr>
          <w:rFonts w:ascii="Arial" w:cs="Arial" w:eastAsia="Arial" w:hAnsi="Arial"/>
          <w:sz w:val="11"/>
          <w:szCs w:val="11"/>
          <w:i w:val="1"/>
          <w:iCs w:val="1"/>
          <w:color w:val="auto"/>
        </w:rPr>
        <w:t>G12C</w:t>
      </w:r>
      <w:r>
        <w:rPr>
          <w:rFonts w:ascii="Arial" w:cs="Arial" w:eastAsia="Arial" w:hAnsi="Arial"/>
          <w:sz w:val="18"/>
          <w:szCs w:val="18"/>
          <w:i w:val="1"/>
          <w:iCs w:val="1"/>
          <w:color w:val="auto"/>
        </w:rPr>
        <w:t>(ON) inhibitors</w:t>
      </w:r>
    </w:p>
    <w:p>
      <w:pPr>
        <w:spacing w:after="0" w:line="122"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 xml:space="preserve">The use of dual and even triple combination regimens to overcome adaptive resistance mechanisms to inhibitors of the RAS signaling pathway is well established based on clinical observations. We and others have demonstrated that robust combination benefit can be conferred in human cancer cell line xenograft models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combining a SHP2 inhibitor with a KRAS</w:t>
      </w:r>
      <w:r>
        <w:rPr>
          <w:rFonts w:ascii="Arial" w:cs="Arial" w:eastAsia="Arial" w:hAnsi="Arial"/>
          <w:sz w:val="11"/>
          <w:szCs w:val="11"/>
          <w:color w:val="auto"/>
        </w:rPr>
        <w:t>G12C</w:t>
      </w:r>
      <w:r>
        <w:rPr>
          <w:rFonts w:ascii="Arial" w:cs="Arial" w:eastAsia="Arial" w:hAnsi="Arial"/>
          <w:sz w:val="18"/>
          <w:szCs w:val="18"/>
          <w:color w:val="auto"/>
        </w:rPr>
        <w:t xml:space="preserve">(OFF) inhibitor. Using the long-term proliferation model, we observed robust combination benefit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from combining a SHP2 inhibitor and a KRAS</w:t>
      </w:r>
      <w:r>
        <w:rPr>
          <w:rFonts w:ascii="Arial" w:cs="Arial" w:eastAsia="Arial" w:hAnsi="Arial"/>
          <w:sz w:val="11"/>
          <w:szCs w:val="11"/>
          <w:color w:val="auto"/>
        </w:rPr>
        <w:t>G12C</w:t>
      </w:r>
      <w:r>
        <w:rPr>
          <w:rFonts w:ascii="Arial" w:cs="Arial" w:eastAsia="Arial" w:hAnsi="Arial"/>
          <w:sz w:val="18"/>
          <w:szCs w:val="18"/>
          <w:color w:val="auto"/>
        </w:rPr>
        <w:t>(ON) inhibitor. While the molecular mechanism(s) underlying this combinatorial benefit has not been fully established, the combination of SHP2 inhibition and KRAS</w:t>
      </w:r>
      <w:r>
        <w:rPr>
          <w:rFonts w:ascii="Arial" w:cs="Arial" w:eastAsia="Arial" w:hAnsi="Arial"/>
          <w:sz w:val="11"/>
          <w:szCs w:val="11"/>
          <w:color w:val="auto"/>
        </w:rPr>
        <w:t>G12C</w:t>
      </w:r>
      <w:r>
        <w:rPr>
          <w:rFonts w:ascii="Arial" w:cs="Arial" w:eastAsia="Arial" w:hAnsi="Arial"/>
          <w:sz w:val="18"/>
          <w:szCs w:val="18"/>
          <w:color w:val="auto"/>
        </w:rPr>
        <w:t>(ON) inhibitor does demonstrably increase apoptosis, or programmed cell death, in a KRAS</w:t>
      </w:r>
      <w:r>
        <w:rPr>
          <w:rFonts w:ascii="Arial" w:cs="Arial" w:eastAsia="Arial" w:hAnsi="Arial"/>
          <w:sz w:val="11"/>
          <w:szCs w:val="11"/>
          <w:color w:val="auto"/>
        </w:rPr>
        <w:t>G12C</w:t>
      </w:r>
      <w:r>
        <w:rPr>
          <w:rFonts w:ascii="Arial" w:cs="Arial" w:eastAsia="Arial" w:hAnsi="Arial"/>
          <w:sz w:val="18"/>
          <w:szCs w:val="18"/>
          <w:color w:val="auto"/>
        </w:rPr>
        <w:t xml:space="preserve"> cell line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Combination benefit was also observed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a SHP2 inhibitor and a KRAS</w:t>
      </w:r>
      <w:r>
        <w:rPr>
          <w:rFonts w:ascii="Arial" w:cs="Arial" w:eastAsia="Arial" w:hAnsi="Arial"/>
          <w:sz w:val="11"/>
          <w:szCs w:val="11"/>
          <w:color w:val="auto"/>
        </w:rPr>
        <w:t>G12C</w:t>
      </w:r>
      <w:r>
        <w:rPr>
          <w:rFonts w:ascii="Arial" w:cs="Arial" w:eastAsia="Arial" w:hAnsi="Arial"/>
          <w:sz w:val="18"/>
          <w:szCs w:val="18"/>
          <w:color w:val="auto"/>
        </w:rPr>
        <w:t>(ON) inhibitor (Figure 27).</w:t>
      </w:r>
    </w:p>
    <w:p>
      <w:pPr>
        <w:spacing w:after="0" w:line="7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color w:val="auto"/>
        </w:rPr>
        <w:t xml:space="preserve">Figure 27: </w:t>
      </w:r>
      <w:r>
        <w:rPr>
          <w:rFonts w:ascii="Arial" w:cs="Arial" w:eastAsia="Arial" w:hAnsi="Arial"/>
          <w:sz w:val="18"/>
          <w:szCs w:val="18"/>
          <w:color w:val="auto"/>
        </w:rPr>
        <w:t>Combination benefit for tri-complex KRAS</w:t>
      </w:r>
      <w:r>
        <w:rPr>
          <w:rFonts w:ascii="Arial" w:cs="Arial" w:eastAsia="Arial" w:hAnsi="Arial"/>
          <w:sz w:val="11"/>
          <w:szCs w:val="11"/>
          <w:color w:val="auto"/>
        </w:rPr>
        <w:t>G12C</w:t>
      </w:r>
      <w:r>
        <w:rPr>
          <w:rFonts w:ascii="Arial" w:cs="Arial" w:eastAsia="Arial" w:hAnsi="Arial"/>
          <w:sz w:val="18"/>
          <w:szCs w:val="18"/>
          <w:color w:val="auto"/>
        </w:rPr>
        <w:t>(ON) inhibitor and SHP2 inhibitor in preclinical xenograft model of tumors harboring</w:t>
      </w:r>
      <w:r>
        <w:rPr>
          <w:rFonts w:ascii="Arial" w:cs="Arial" w:eastAsia="Arial" w:hAnsi="Arial"/>
          <w:sz w:val="18"/>
          <w:szCs w:val="18"/>
          <w:b w:val="1"/>
          <w:bCs w:val="1"/>
          <w:color w:val="auto"/>
        </w:rPr>
        <w:t xml:space="preserve"> </w:t>
      </w:r>
      <w:r>
        <w:rPr>
          <w:rFonts w:ascii="Arial" w:cs="Arial" w:eastAsia="Arial" w:hAnsi="Arial"/>
          <w:sz w:val="18"/>
          <w:szCs w:val="18"/>
          <w:color w:val="auto"/>
        </w:rPr>
        <w:t>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spacing w:after="0" w:line="5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86360</wp:posOffset>
            </wp:positionV>
            <wp:extent cx="2546985" cy="18783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46985" cy="1878330"/>
                    </a:xfrm>
                    <a:prstGeom prst="rect">
                      <a:avLst/>
                    </a:prstGeom>
                    <a:noFill/>
                  </pic:spPr>
                </pic:pic>
              </a:graphicData>
            </a:graphic>
          </wp:anchor>
        </w:drawing>
      </w:r>
    </w:p>
    <w:p>
      <w:pPr>
        <w:spacing w:after="0" w:line="119" w:lineRule="exact"/>
        <w:rPr>
          <w:sz w:val="20"/>
          <w:szCs w:val="20"/>
          <w:color w:val="auto"/>
        </w:rPr>
      </w:pPr>
    </w:p>
    <w:p>
      <w:pPr>
        <w:ind w:left="200"/>
        <w:spacing w:after="0"/>
        <w:tabs>
          <w:tab w:leader="none" w:pos="5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63500</wp:posOffset>
            </wp:positionV>
            <wp:extent cx="2426970" cy="14833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42697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line="182" w:lineRule="auto"/>
        <w:rPr>
          <w:sz w:val="20"/>
          <w:szCs w:val="20"/>
          <w:color w:val="auto"/>
        </w:rPr>
      </w:pPr>
      <w:r>
        <w:rPr>
          <w:rFonts w:ascii="Arial" w:cs="Arial" w:eastAsia="Arial" w:hAnsi="Arial"/>
          <w:sz w:val="13"/>
          <w:szCs w:val="13"/>
          <w:color w:val="auto"/>
        </w:rPr>
        <w:t>Anti-tumor activity of RM-011 (60 mg/kg, intravenous, once weekly; iv qw) and SHP2 inhibitor (RMC-4550) (30 mg/kg, oral, daily; po qd) as single agents or in combination in NSCLC CDX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xenograft model in mice. Data represent tumor volume over time (a) or waterfall plot of individual end of study responses, with tumor volume expressed as a</w:t>
      </w:r>
    </w:p>
    <w:p>
      <w:pPr>
        <w:spacing w:after="0" w:line="1" w:lineRule="exact"/>
        <w:rPr>
          <w:sz w:val="20"/>
          <w:szCs w:val="20"/>
          <w:color w:val="auto"/>
        </w:rPr>
      </w:pPr>
    </w:p>
    <w:p>
      <w:pPr>
        <w:jc w:val="both"/>
        <w:ind w:left="200" w:right="60"/>
        <w:spacing w:after="0" w:line="300" w:lineRule="auto"/>
        <w:rPr>
          <w:sz w:val="20"/>
          <w:szCs w:val="20"/>
          <w:color w:val="auto"/>
        </w:rPr>
      </w:pPr>
      <w:r>
        <w:rPr>
          <w:rFonts w:ascii="Arial" w:cs="Arial" w:eastAsia="Arial" w:hAnsi="Arial"/>
          <w:sz w:val="12"/>
          <w:szCs w:val="12"/>
          <w:color w:val="auto"/>
        </w:rPr>
        <w:t>percentage of initial tumor volume at time of study start (truncated at 300%) (b). Number of mice per group = 10. In (a) data represent mean, errors bars represent standard error of the mean. In (b) each animal is represented as a separate bar. Numbers indicate number of regressions (defined as &gt; 10% reduction in tumor volume from starting volume) in each group.</w:t>
      </w:r>
    </w:p>
    <w:p>
      <w:pPr>
        <w:spacing w:after="0" w:line="46" w:lineRule="exact"/>
        <w:rPr>
          <w:sz w:val="20"/>
          <w:szCs w:val="20"/>
          <w:color w:val="auto"/>
        </w:rPr>
      </w:pPr>
    </w:p>
    <w:p>
      <w:pPr>
        <w:jc w:val="both"/>
        <w:ind w:left="200" w:right="240"/>
        <w:spacing w:after="0" w:line="283" w:lineRule="auto"/>
        <w:rPr>
          <w:sz w:val="20"/>
          <w:szCs w:val="20"/>
          <w:color w:val="auto"/>
        </w:rPr>
      </w:pPr>
      <w:r>
        <w:rPr>
          <w:rFonts w:ascii="Arial" w:cs="Arial" w:eastAsia="Arial" w:hAnsi="Arial"/>
          <w:sz w:val="16"/>
          <w:szCs w:val="16"/>
          <w:color w:val="auto"/>
        </w:rPr>
        <w:t>Another rational combination partner for a KRAS</w:t>
      </w:r>
      <w:r>
        <w:rPr>
          <w:rFonts w:ascii="Arial" w:cs="Arial" w:eastAsia="Arial" w:hAnsi="Arial"/>
          <w:sz w:val="10"/>
          <w:szCs w:val="10"/>
          <w:color w:val="auto"/>
        </w:rPr>
        <w:t>G12C</w:t>
      </w:r>
      <w:r>
        <w:rPr>
          <w:rFonts w:ascii="Arial" w:cs="Arial" w:eastAsia="Arial" w:hAnsi="Arial"/>
          <w:sz w:val="16"/>
          <w:szCs w:val="16"/>
          <w:color w:val="auto"/>
        </w:rPr>
        <w:t xml:space="preserve">(ON) inhibitor is a MEK inhibitor. In the long-term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proliferation model, dramatic combination benefit was demonstrated for a MEK inhibitor (trametinib) and a KRAS</w:t>
      </w:r>
      <w:r>
        <w:rPr>
          <w:rFonts w:ascii="Arial" w:cs="Arial" w:eastAsia="Arial" w:hAnsi="Arial"/>
          <w:sz w:val="10"/>
          <w:szCs w:val="10"/>
          <w:color w:val="auto"/>
        </w:rPr>
        <w:t>G12C</w:t>
      </w:r>
      <w:r>
        <w:rPr>
          <w:rFonts w:ascii="Arial" w:cs="Arial" w:eastAsia="Arial" w:hAnsi="Arial"/>
          <w:sz w:val="16"/>
          <w:szCs w:val="16"/>
          <w:color w:val="auto"/>
        </w:rPr>
        <w:t>(ON) inhibitor (Figure 28). Complete and sustained inhibition of cell growth and substantial cell death were observed. These effects are in contrast to the relatively rapid escape observed with the combination of a KRAS</w:t>
      </w:r>
      <w:r>
        <w:rPr>
          <w:rFonts w:ascii="Arial" w:cs="Arial" w:eastAsia="Arial" w:hAnsi="Arial"/>
          <w:sz w:val="10"/>
          <w:szCs w:val="10"/>
          <w:color w:val="auto"/>
        </w:rPr>
        <w:t>G12C</w:t>
      </w:r>
      <w:r>
        <w:rPr>
          <w:rFonts w:ascii="Arial" w:cs="Arial" w:eastAsia="Arial" w:hAnsi="Arial"/>
          <w:sz w:val="16"/>
          <w:szCs w:val="16"/>
          <w:color w:val="auto"/>
        </w:rPr>
        <w:t>(OFF) inhibitor and trametinib, in which cells reached full confluence within 20 days.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color w:val="auto"/>
        </w:rPr>
        <w:t>Figure 28</w:t>
      </w:r>
      <w:r>
        <w:rPr>
          <w:rFonts w:ascii="Arial" w:cs="Arial" w:eastAsia="Arial" w:hAnsi="Arial"/>
          <w:sz w:val="18"/>
          <w:szCs w:val="18"/>
          <w:color w:val="auto"/>
        </w:rPr>
        <w:t>: Effects of tri-complex KRAS</w:t>
      </w:r>
      <w:r>
        <w:rPr>
          <w:rFonts w:ascii="Arial" w:cs="Arial" w:eastAsia="Arial" w:hAnsi="Arial"/>
          <w:sz w:val="11"/>
          <w:szCs w:val="11"/>
          <w:color w:val="auto"/>
        </w:rPr>
        <w:t>G12C</w:t>
      </w:r>
      <w:r>
        <w:rPr>
          <w:rFonts w:ascii="Arial" w:cs="Arial" w:eastAsia="Arial" w:hAnsi="Arial"/>
          <w:sz w:val="18"/>
          <w:szCs w:val="18"/>
          <w:color w:val="auto"/>
        </w:rPr>
        <w:t>(ON) inhibitor or KRAS</w:t>
      </w:r>
      <w:r>
        <w:rPr>
          <w:rFonts w:ascii="Arial" w:cs="Arial" w:eastAsia="Arial" w:hAnsi="Arial"/>
          <w:sz w:val="11"/>
          <w:szCs w:val="11"/>
          <w:color w:val="auto"/>
        </w:rPr>
        <w:t>G12C</w:t>
      </w:r>
      <w:r>
        <w:rPr>
          <w:rFonts w:ascii="Arial" w:cs="Arial" w:eastAsia="Arial" w:hAnsi="Arial"/>
          <w:sz w:val="18"/>
          <w:szCs w:val="18"/>
          <w:color w:val="auto"/>
        </w:rPr>
        <w:t>(OFF) inhibitor alone and in combination with MEK inhibitor, trametinib,</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long term cell growth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7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22"/>
          <w:szCs w:val="22"/>
          <w:b w:val="1"/>
          <w:bCs w:val="1"/>
          <w:color w:val="auto"/>
          <w:vertAlign w:val="superscript"/>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57150</wp:posOffset>
            </wp:positionV>
            <wp:extent cx="3404870" cy="12522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0487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line="182" w:lineRule="auto"/>
        <w:rPr>
          <w:sz w:val="20"/>
          <w:szCs w:val="20"/>
          <w:color w:val="auto"/>
        </w:rPr>
      </w:pPr>
      <w:r>
        <w:rPr>
          <w:rFonts w:ascii="Arial" w:cs="Arial" w:eastAsia="Arial" w:hAnsi="Arial"/>
          <w:sz w:val="13"/>
          <w:szCs w:val="13"/>
          <w:color w:val="auto"/>
        </w:rPr>
        <w:t>NSCLC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cancer cells were maintained in 2D cell culture and cell proliferation (expressed as % confluence) monitored over time using the Incucyte imaging platform. Cells were incubated in the absence (control, black) or presence of an EC</w:t>
      </w:r>
      <w:r>
        <w:rPr>
          <w:rFonts w:ascii="Arial" w:cs="Arial" w:eastAsia="Arial" w:hAnsi="Arial"/>
          <w:sz w:val="21"/>
          <w:szCs w:val="21"/>
          <w:color w:val="auto"/>
          <w:vertAlign w:val="subscript"/>
        </w:rPr>
        <w:t>50</w:t>
      </w:r>
      <w:r>
        <w:rPr>
          <w:rFonts w:ascii="Arial" w:cs="Arial" w:eastAsia="Arial" w:hAnsi="Arial"/>
          <w:sz w:val="13"/>
          <w:szCs w:val="13"/>
          <w:color w:val="auto"/>
        </w:rPr>
        <w:t xml:space="preserve"> concentration of test articles. </w:t>
      </w:r>
      <w:r>
        <w:rPr>
          <w:rFonts w:ascii="Arial" w:cs="Arial" w:eastAsia="Arial" w:hAnsi="Arial"/>
          <w:sz w:val="13"/>
          <w:szCs w:val="13"/>
          <w:b w:val="1"/>
          <w:bCs w:val="1"/>
          <w:color w:val="auto"/>
        </w:rPr>
        <w:t>(a)</w:t>
      </w:r>
      <w:r>
        <w:rPr>
          <w:rFonts w:ascii="Arial" w:cs="Arial" w:eastAsia="Arial" w:hAnsi="Arial"/>
          <w:sz w:val="13"/>
          <w:szCs w:val="13"/>
          <w:color w:val="auto"/>
        </w:rPr>
        <w:t xml:space="preserve"> Addition of KRAS</w:t>
      </w:r>
      <w:r>
        <w:rPr>
          <w:rFonts w:ascii="Arial" w:cs="Arial" w:eastAsia="Arial" w:hAnsi="Arial"/>
          <w:sz w:val="21"/>
          <w:szCs w:val="21"/>
          <w:color w:val="auto"/>
          <w:vertAlign w:val="superscript"/>
        </w:rPr>
        <w:t>G12C</w:t>
      </w:r>
      <w:r>
        <w:rPr>
          <w:rFonts w:ascii="Arial" w:cs="Arial" w:eastAsia="Arial" w:hAnsi="Arial"/>
          <w:sz w:val="13"/>
          <w:szCs w:val="13"/>
          <w:color w:val="auto"/>
        </w:rPr>
        <w:t>(ON) inhibitor (RM-007, dotted green line) produced a modest delay in the time for cells to reach 50% confluence, but the simultaneous addition of an EC</w:t>
      </w:r>
      <w:r>
        <w:rPr>
          <w:rFonts w:ascii="Arial" w:cs="Arial" w:eastAsia="Arial" w:hAnsi="Arial"/>
          <w:sz w:val="21"/>
          <w:szCs w:val="21"/>
          <w:color w:val="auto"/>
          <w:vertAlign w:val="subscript"/>
        </w:rPr>
        <w:t>50</w:t>
      </w:r>
      <w:r>
        <w:rPr>
          <w:rFonts w:ascii="Arial" w:cs="Arial" w:eastAsia="Arial" w:hAnsi="Arial"/>
          <w:sz w:val="13"/>
          <w:szCs w:val="13"/>
          <w:color w:val="auto"/>
        </w:rPr>
        <w:t xml:space="preserve"> concentration of the MEK inhibitor trametinib (solid green line) caused complete inhibition of cell growth and no viable cells were apparent during the time course of the experiment (~ 35 days). </w:t>
      </w:r>
      <w:r>
        <w:rPr>
          <w:rFonts w:ascii="Arial" w:cs="Arial" w:eastAsia="Arial" w:hAnsi="Arial"/>
          <w:sz w:val="13"/>
          <w:szCs w:val="13"/>
          <w:b w:val="1"/>
          <w:bCs w:val="1"/>
          <w:color w:val="auto"/>
        </w:rPr>
        <w:t>(b)</w:t>
      </w:r>
      <w:r>
        <w:rPr>
          <w:rFonts w:ascii="Arial" w:cs="Arial" w:eastAsia="Arial" w:hAnsi="Arial"/>
          <w:sz w:val="13"/>
          <w:szCs w:val="13"/>
          <w:color w:val="auto"/>
        </w:rPr>
        <w:t xml:space="preserve"> Addition of a KRAS</w:t>
      </w:r>
      <w:r>
        <w:rPr>
          <w:rFonts w:ascii="Arial" w:cs="Arial" w:eastAsia="Arial" w:hAnsi="Arial"/>
          <w:sz w:val="21"/>
          <w:szCs w:val="21"/>
          <w:color w:val="auto"/>
          <w:vertAlign w:val="superscript"/>
        </w:rPr>
        <w:t>G12C</w:t>
      </w:r>
      <w:r>
        <w:rPr>
          <w:rFonts w:ascii="Arial" w:cs="Arial" w:eastAsia="Arial" w:hAnsi="Arial"/>
          <w:sz w:val="13"/>
          <w:szCs w:val="13"/>
          <w:color w:val="auto"/>
        </w:rPr>
        <w:t>(OFF) inhibitor (Mirati-11, orange dotted line) produced a similar modest delay in the time for cells to reach 50% confluence and although the simultaneous addition of trametinib (solid orange line) caused a slight delay in cell proliferation, indicative of an initial combinatorial benefit, the cells escaped relatively quickly and approached full confluence within ~20 days. Data are from a single experiment, similar data have been obtained in another independent study.</w:t>
      </w:r>
    </w:p>
    <w:p>
      <w:pPr>
        <w:spacing w:after="0" w:line="99"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These results can be interpreted within the framework of what is known regarding the mechanism of action of the respective compounds and their effects on RAS signaling pathway activity. Hyperactivation of RTKs accompanied by reactivation of RAS is a well-established response to MEK (or ERK) inhibition, reflecting relief of endogenous inhibitory feedback loops in the presence of the downstream inhibitor. Consistent with this hypothesis, others have shown that MEK inhibition reduces KRAS</w:t>
      </w:r>
      <w:r>
        <w:rPr>
          <w:rFonts w:ascii="Arial" w:cs="Arial" w:eastAsia="Arial" w:hAnsi="Arial"/>
          <w:sz w:val="11"/>
          <w:szCs w:val="11"/>
          <w:color w:val="auto"/>
        </w:rPr>
        <w:t>G12C</w:t>
      </w:r>
      <w:r>
        <w:rPr>
          <w:rFonts w:ascii="Arial" w:cs="Arial" w:eastAsia="Arial" w:hAnsi="Arial"/>
          <w:sz w:val="18"/>
          <w:szCs w:val="18"/>
          <w:color w:val="auto"/>
        </w:rPr>
        <w:t xml:space="preserve"> target engagement by a representative KRAS</w:t>
      </w:r>
      <w:r>
        <w:rPr>
          <w:rFonts w:ascii="Arial" w:cs="Arial" w:eastAsia="Arial" w:hAnsi="Arial"/>
          <w:sz w:val="11"/>
          <w:szCs w:val="11"/>
          <w:color w:val="auto"/>
        </w:rPr>
        <w:t>G12C</w:t>
      </w:r>
      <w:r>
        <w:rPr>
          <w:rFonts w:ascii="Arial" w:cs="Arial" w:eastAsia="Arial" w:hAnsi="Arial"/>
          <w:sz w:val="18"/>
          <w:szCs w:val="18"/>
          <w:color w:val="auto"/>
        </w:rPr>
        <w:t>(OFF) inhibitor. In contrast, MEK inhibitor-induced activation of RAS does not antagonize the activity of a compound that inhibits KRAS</w:t>
      </w:r>
      <w:r>
        <w:rPr>
          <w:rFonts w:ascii="Arial" w:cs="Arial" w:eastAsia="Arial" w:hAnsi="Arial"/>
          <w:sz w:val="11"/>
          <w:szCs w:val="11"/>
          <w:color w:val="auto"/>
        </w:rPr>
        <w:t>G12C</w:t>
      </w:r>
      <w:r>
        <w:rPr>
          <w:rFonts w:ascii="Arial" w:cs="Arial" w:eastAsia="Arial" w:hAnsi="Arial"/>
          <w:sz w:val="18"/>
          <w:szCs w:val="18"/>
          <w:color w:val="auto"/>
        </w:rPr>
        <w:t>(ON) directly; rather, in this context the complementary mechanisms of the two agents can drive maximal pathway inhibition, which manifests as cell death.</w:t>
      </w:r>
    </w:p>
    <w:p>
      <w:pPr>
        <w:spacing w:after="0" w:line="83" w:lineRule="exact"/>
        <w:rPr>
          <w:sz w:val="20"/>
          <w:szCs w:val="20"/>
          <w:color w:val="auto"/>
        </w:rPr>
      </w:pPr>
    </w:p>
    <w:p>
      <w:pPr>
        <w:ind w:left="200" w:right="320"/>
        <w:spacing w:after="0" w:line="260" w:lineRule="auto"/>
        <w:rPr>
          <w:sz w:val="20"/>
          <w:szCs w:val="20"/>
          <w:color w:val="auto"/>
        </w:rPr>
      </w:pPr>
      <w:r>
        <w:rPr>
          <w:rFonts w:ascii="Arial" w:cs="Arial" w:eastAsia="Arial" w:hAnsi="Arial"/>
          <w:sz w:val="18"/>
          <w:szCs w:val="18"/>
          <w:color w:val="auto"/>
        </w:rPr>
        <w:t>We also observed combination benefit for a KRAS</w:t>
      </w:r>
      <w:r>
        <w:rPr>
          <w:rFonts w:ascii="Arial" w:cs="Arial" w:eastAsia="Arial" w:hAnsi="Arial"/>
          <w:sz w:val="11"/>
          <w:szCs w:val="11"/>
          <w:color w:val="auto"/>
        </w:rPr>
        <w:t>G12C</w:t>
      </w:r>
      <w:r>
        <w:rPr>
          <w:rFonts w:ascii="Arial" w:cs="Arial" w:eastAsia="Arial" w:hAnsi="Arial"/>
          <w:sz w:val="18"/>
          <w:szCs w:val="18"/>
          <w:color w:val="auto"/>
        </w:rPr>
        <w:t xml:space="preserve">(ON) inhibitor and a MEK inhibitor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 preclinical xenograft model of tumors harboring KRAS</w:t>
      </w:r>
      <w:r>
        <w:rPr>
          <w:rFonts w:ascii="Arial" w:cs="Arial" w:eastAsia="Arial" w:hAnsi="Arial"/>
          <w:sz w:val="11"/>
          <w:szCs w:val="11"/>
          <w:color w:val="auto"/>
        </w:rPr>
        <w:t>G12C</w:t>
      </w:r>
      <w:r>
        <w:rPr>
          <w:rFonts w:ascii="Arial" w:cs="Arial" w:eastAsia="Arial" w:hAnsi="Arial"/>
          <w:sz w:val="18"/>
          <w:szCs w:val="18"/>
          <w:color w:val="auto"/>
        </w:rPr>
        <w:t xml:space="preserve"> mutations (Figure 29).</w:t>
      </w:r>
    </w:p>
    <w:p>
      <w:pPr>
        <w:spacing w:after="0" w:line="1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24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b w:val="1"/>
          <w:bCs w:val="1"/>
          <w:color w:val="auto"/>
        </w:rPr>
        <w:t>Figure 29</w:t>
      </w:r>
      <w:r>
        <w:rPr>
          <w:rFonts w:ascii="Arial" w:cs="Arial" w:eastAsia="Arial" w:hAnsi="Arial"/>
          <w:sz w:val="18"/>
          <w:szCs w:val="18"/>
          <w:color w:val="auto"/>
        </w:rPr>
        <w:t>: Combination benefit for tri-complex KRAS</w:t>
      </w:r>
      <w:r>
        <w:rPr>
          <w:rFonts w:ascii="Arial" w:cs="Arial" w:eastAsia="Arial" w:hAnsi="Arial"/>
          <w:sz w:val="11"/>
          <w:szCs w:val="11"/>
          <w:color w:val="auto"/>
        </w:rPr>
        <w:t>G12C</w:t>
      </w:r>
      <w:r>
        <w:rPr>
          <w:rFonts w:ascii="Arial" w:cs="Arial" w:eastAsia="Arial" w:hAnsi="Arial"/>
          <w:sz w:val="18"/>
          <w:szCs w:val="18"/>
          <w:color w:val="auto"/>
        </w:rPr>
        <w:t>(ON) inhibitor and MEK inhibitor in preclinical xenograft model of tumors harboring</w:t>
      </w:r>
      <w:r>
        <w:rPr>
          <w:rFonts w:ascii="Arial" w:cs="Arial" w:eastAsia="Arial" w:hAnsi="Arial"/>
          <w:sz w:val="18"/>
          <w:szCs w:val="18"/>
          <w:b w:val="1"/>
          <w:bCs w:val="1"/>
          <w:color w:val="auto"/>
        </w:rPr>
        <w:t xml:space="preserve"> </w:t>
      </w:r>
      <w:r>
        <w:rPr>
          <w:rFonts w:ascii="Arial" w:cs="Arial" w:eastAsia="Arial" w:hAnsi="Arial"/>
          <w:sz w:val="18"/>
          <w:szCs w:val="18"/>
          <w:color w:val="auto"/>
        </w:rPr>
        <w:t>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spacing w:after="0" w:line="5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137795</wp:posOffset>
            </wp:positionV>
            <wp:extent cx="2504440" cy="17665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04440" cy="1766570"/>
                    </a:xfrm>
                    <a:prstGeom prst="rect">
                      <a:avLst/>
                    </a:prstGeom>
                    <a:noFill/>
                  </pic:spPr>
                </pic:pic>
              </a:graphicData>
            </a:graphic>
          </wp:anchor>
        </w:drawing>
      </w:r>
    </w:p>
    <w:p>
      <w:pPr>
        <w:spacing w:after="0" w:line="200" w:lineRule="exact"/>
        <w:rPr>
          <w:sz w:val="20"/>
          <w:szCs w:val="20"/>
          <w:color w:val="auto"/>
        </w:rPr>
      </w:pPr>
    </w:p>
    <w:p>
      <w:pPr>
        <w:ind w:left="200"/>
        <w:spacing w:after="0"/>
        <w:tabs>
          <w:tab w:leader="none" w:pos="5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12065</wp:posOffset>
            </wp:positionV>
            <wp:extent cx="2400935" cy="14662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0093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right="40"/>
        <w:spacing w:after="0" w:line="182" w:lineRule="auto"/>
        <w:rPr>
          <w:sz w:val="20"/>
          <w:szCs w:val="20"/>
          <w:color w:val="auto"/>
        </w:rPr>
      </w:pPr>
      <w:r>
        <w:rPr>
          <w:rFonts w:ascii="Arial" w:cs="Arial" w:eastAsia="Arial" w:hAnsi="Arial"/>
          <w:sz w:val="13"/>
          <w:szCs w:val="13"/>
          <w:color w:val="auto"/>
        </w:rPr>
        <w:t>Anti-tumor activity of RM-015 (50 mg/kg, intravenous, twice weekly; iv biw) and MEK inhibitor (cobimetinib) (2.5 mg/kg, oral, daily; po qd) as single agents or in combination in NSCLC CDX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xenograft model in mice. Data represent tumor volume over time (a) or waterfall plot of individual end of study responses, with tumor volume expressed as a</w:t>
      </w:r>
    </w:p>
    <w:p>
      <w:pPr>
        <w:spacing w:after="0" w:line="1" w:lineRule="exact"/>
        <w:rPr>
          <w:sz w:val="20"/>
          <w:szCs w:val="20"/>
          <w:color w:val="auto"/>
        </w:rPr>
      </w:pPr>
    </w:p>
    <w:p>
      <w:pPr>
        <w:jc w:val="both"/>
        <w:ind w:left="200" w:right="100"/>
        <w:spacing w:after="0" w:line="300" w:lineRule="auto"/>
        <w:rPr>
          <w:sz w:val="20"/>
          <w:szCs w:val="20"/>
          <w:color w:val="auto"/>
        </w:rPr>
      </w:pPr>
      <w:r>
        <w:rPr>
          <w:rFonts w:ascii="Arial" w:cs="Arial" w:eastAsia="Arial" w:hAnsi="Arial"/>
          <w:sz w:val="12"/>
          <w:szCs w:val="12"/>
          <w:color w:val="auto"/>
        </w:rPr>
        <w:t>percentage of initial tumor volume at time of study start (truncated at 300%) (b). Number of mice per group = 10. In (a) data represent mean, errors bars represent standard error of the mean. In (b) each animal is represented as a separate bar. Numbers indicate number of regressions (defined as &gt; 10% reduction in tumor volume from starting volume) in each group.</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Drug discovery, optimization and development strategy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Initially, we intend to prioritize four mutant RAS(ON) targets in our drug discovery efforts—KRAS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and NRAS</w:t>
      </w:r>
      <w:r>
        <w:rPr>
          <w:rFonts w:ascii="Arial" w:cs="Arial" w:eastAsia="Arial" w:hAnsi="Arial"/>
          <w:sz w:val="11"/>
          <w:szCs w:val="11"/>
          <w:color w:val="auto"/>
        </w:rPr>
        <w:t>G12C</w:t>
      </w:r>
      <w:r>
        <w:rPr>
          <w:rFonts w:ascii="Arial" w:cs="Arial" w:eastAsia="Arial" w:hAnsi="Arial"/>
          <w:sz w:val="18"/>
          <w:szCs w:val="18"/>
          <w:color w:val="auto"/>
        </w:rPr>
        <w:t>.</w:t>
      </w:r>
    </w:p>
    <w:p>
      <w:pPr>
        <w:ind w:left="200"/>
        <w:spacing w:after="0"/>
        <w:rPr>
          <w:sz w:val="20"/>
          <w:szCs w:val="20"/>
          <w:color w:val="auto"/>
        </w:rPr>
      </w:pPr>
      <w:r>
        <w:rPr>
          <w:rFonts w:ascii="Arial" w:cs="Arial" w:eastAsia="Arial" w:hAnsi="Arial"/>
          <w:sz w:val="18"/>
          <w:szCs w:val="18"/>
          <w:color w:val="auto"/>
        </w:rPr>
        <w:t>Our current RAS(ON) drug discovery programs are in either a lead generation or lead optimization stage.</w:t>
      </w:r>
    </w:p>
    <w:p>
      <w:pPr>
        <w:spacing w:after="0" w:line="104"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 xml:space="preserve">Similarly to “Rule of 5” drug discovery programs in the lead generation stage, in the lead generation stage for our RAS(ON) targets, we prosecute iterative cycles of compound design, synthesis and testing in various assays to identify specific chemical features that contribute to desired characteristics, such as potent and durable inhibition of the target, selectivity for the target of interest, physicochemical properties (for example, solubility) that support formulation,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ADME (absorption, distribution, metabolism and excretion), intrinsic chemical stability, and tolerability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The lead optimization stage for our RAS(ON) targets involves further iterative cycles of compound design, synthesis and testing toward the goal of bringing these features together in individual compounds to meet development candidate profiles. As compounds advance through this process, they undergo progressive scrutiny through extensive preclinical tests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culminating in development candidate selection followed by IND-enabling studies conducted in accordance with regulatory guidelines.</w:t>
      </w:r>
    </w:p>
    <w:p>
      <w:pPr>
        <w:spacing w:after="0" w:line="79"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 xml:space="preserve">These iterative design-make-test cycles can be more challenging for complex “Beyond Rule of 5” small molecules such as our tri-complex inhibitors, and we have developed tools, processes and know-how to support practical drug discovery of these types of molecules. As for conventional “Rule of 5” drug discovery programs, our compounds produced during lead generation or optimization stages are expected to have a diverse range of properties. Some of these compounds will not meet our candidate profile and will be rejected while others will fulfill some of the characteristics of our candidate profile, and the features of such compounds will be retained where possible. To date approximately 2,000 different test compounds have been produced and characterized in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with a subset of these characterized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rodents. The compounds reported in Figures 20, 21, 27 and 29 are examples of tri-complex KRAS(ON) inhibitors that have demonstrated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in xenograft models of human cancers in mice and were generally well-tolerated as indicated by either minimal or no body</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 xml:space="preserve">weight loss and an absence of observable gross abnormalities in these studies. We have also identified compounds with unfavorable properties such as low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potency for KRAS</w:t>
      </w:r>
      <w:r>
        <w:rPr>
          <w:rFonts w:ascii="Arial" w:cs="Arial" w:eastAsia="Arial" w:hAnsi="Arial"/>
          <w:sz w:val="11"/>
          <w:szCs w:val="11"/>
          <w:color w:val="auto"/>
        </w:rPr>
        <w:t>G12C</w:t>
      </w:r>
      <w:r>
        <w:rPr>
          <w:rFonts w:ascii="Arial" w:cs="Arial" w:eastAsia="Arial" w:hAnsi="Arial"/>
          <w:sz w:val="18"/>
          <w:szCs w:val="18"/>
          <w:color w:val="auto"/>
        </w:rPr>
        <w:t>(ON), cross-reactivity with one or more well-known safety targets, low solubility, poor ADME properties, including lack of oral bioavailability, and poor tolerability. Adverse effects have been observed following administration of high doses of some compounds to rodents by one or more routes of administration. As these effects were seen with only certain compounds and did not extend across all studies, doses or routes of administration, we do not believe there is a generalized liability of the tri-complex platform or chemical scaffolds underlying our RAS(ON) inhibitor programs.</w:t>
      </w:r>
    </w:p>
    <w:p>
      <w:pPr>
        <w:spacing w:after="0" w:line="102" w:lineRule="exact"/>
        <w:rPr>
          <w:sz w:val="20"/>
          <w:szCs w:val="20"/>
          <w:color w:val="auto"/>
        </w:rPr>
      </w:pPr>
    </w:p>
    <w:p>
      <w:pPr>
        <w:ind w:left="200" w:right="280"/>
        <w:spacing w:after="0" w:line="299" w:lineRule="auto"/>
        <w:rPr>
          <w:sz w:val="20"/>
          <w:szCs w:val="20"/>
          <w:color w:val="auto"/>
        </w:rPr>
      </w:pPr>
      <w:r>
        <w:rPr>
          <w:rFonts w:ascii="Arial" w:cs="Arial" w:eastAsia="Arial" w:hAnsi="Arial"/>
          <w:sz w:val="16"/>
          <w:szCs w:val="16"/>
          <w:color w:val="auto"/>
        </w:rPr>
        <w:t>We believe our multiparameter optimization efforts will yield candidates that meet our development candidate profiles to be advanced into IND-enabling studies and clinical studies as appropriate and we expect to nominate our first RAS(ON) development candidate in 2020.</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SOS1 program</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SOS1 protein is responsible for stimulating the conversion of RAS from the inactive GDP-bound form (RAS(OFF)) to the active GTP-bound form (RAS(ON)) in response to growth factor receptor signaling. SOS1 directly activates RAS proteins by promoting the release of the bound GDP and thereby facilitating the binding of GTP, which is present within a cell in great excess to GDP, to generate RAS(ON). SOS1 itself is activated by RAS through the binding of RAS(ON) to an allosteric site on the SOS1 protein (Figure 30). As a result, there is a positive feedback loop between SOS1 and RAS that increases RAS signaling. The activation of RAS by SOS1 is “processive”; that is, once a single molecule of SOS1 is activated it can sequentially activate multiple RAS molecules. As a result, the potential for amplification of RAS signals by SOS1 is considerable. Therefore, we believe that inhibition of SOS1 may represent a viable approach for targeting RAS-driven tumors.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86360</wp:posOffset>
            </wp:positionV>
            <wp:extent cx="4742180" cy="3215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42180"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240" w:top="459" w:right="5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00"/>
        <w:spacing w:after="0" w:line="275" w:lineRule="auto"/>
        <w:rPr>
          <w:sz w:val="20"/>
          <w:szCs w:val="20"/>
          <w:color w:val="auto"/>
        </w:rPr>
      </w:pPr>
      <w:r>
        <w:rPr>
          <w:rFonts w:ascii="Arial" w:cs="Arial" w:eastAsia="Arial" w:hAnsi="Arial"/>
          <w:sz w:val="16"/>
          <w:szCs w:val="16"/>
          <w:color w:val="auto"/>
        </w:rPr>
        <w:t xml:space="preserve">We have designed and synthesized a number of potent and selective inhibitors of SOS1. The current focus of our discovery program is to improve the potency and drug-like properties of compounds in this series. We are investigating the potential utility of SOS1 inhibitors alone and in combination with our other proprietary inhibitors of RAS signaling, such as our SHP2 inhibitors and mutant-selective RAS(ON) inhibitors, in a wide range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of genetically-defined cancers that are addicted to the RAS signaling pathway.</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4EBP1/mTORC1 program</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mTORC1 is a critical regulator of metabolism, growth and proliferation within cells, including cancer cells. The abnormal activation of mTORC1, and subsequent inactivation of the tumor suppressor 4EBP1, is a mechanism that is frequently harnessed by cancer cells to gain a growth and proliferation advantage over normal cells. Our preclinical development candidate, RMC-5552, selectively and deeply inhibits mTORC1, thereby preventing phosphorylation and inactivation of 4EBP1, a downstream protein in the mTOR signaling pathway that normally suppresses expression of certain oncogenes such as C-MYC. Approximately two-thirds of breast cancers contain oncogenic mutations that hyper-activate mTORC1. We advanced RMC-5552 into IND-enabling development in June 2019.</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studies</w:t>
      </w:r>
    </w:p>
    <w:p>
      <w:pPr>
        <w:spacing w:after="0" w:line="122" w:lineRule="exact"/>
        <w:rPr>
          <w:sz w:val="20"/>
          <w:szCs w:val="20"/>
          <w:color w:val="auto"/>
        </w:rPr>
      </w:pPr>
    </w:p>
    <w:p>
      <w:pPr>
        <w:ind w:left="200" w:right="320"/>
        <w:spacing w:after="0" w:line="364" w:lineRule="auto"/>
        <w:rPr>
          <w:sz w:val="20"/>
          <w:szCs w:val="20"/>
          <w:color w:val="auto"/>
        </w:rPr>
      </w:pPr>
      <w:r>
        <w:rPr>
          <w:rFonts w:ascii="Arial" w:cs="Arial" w:eastAsia="Arial" w:hAnsi="Arial"/>
          <w:sz w:val="18"/>
          <w:szCs w:val="18"/>
          <w:color w:val="auto"/>
        </w:rPr>
        <w:t xml:space="preserve">RMC-5552 is a potent and selective inhibitor of mTORC1, that exhibits selectivity over mTORC2 and a broad panel of kinases (Figure 31). </w:t>
      </w:r>
      <w:r>
        <w:rPr>
          <w:rFonts w:ascii="Arial" w:cs="Arial" w:eastAsia="Arial" w:hAnsi="Arial"/>
          <w:sz w:val="18"/>
          <w:szCs w:val="18"/>
          <w:b w:val="1"/>
          <w:bCs w:val="1"/>
          <w:color w:val="auto"/>
        </w:rPr>
        <w:t>Figure 31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profile of RMC-5552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wp:posOffset>
            </wp:positionV>
            <wp:extent cx="699770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7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RMC-5552</w:t>
            </w:r>
          </w:p>
        </w:tc>
      </w:tr>
      <w:tr>
        <w:trPr>
          <w:trHeight w:val="196"/>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Inhibition of mTORC1: pS6K</w:t>
            </w:r>
          </w:p>
        </w:tc>
        <w:tc>
          <w:tcPr>
            <w:tcW w:w="4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0.14 nM</w:t>
            </w:r>
          </w:p>
        </w:tc>
      </w:tr>
      <w:tr>
        <w:trPr>
          <w:trHeight w:val="203"/>
        </w:trPr>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Inhibition of mTORC1: p4EBP1</w:t>
            </w:r>
            <w:r>
              <w:rPr>
                <w:rFonts w:ascii="Arial" w:cs="Arial" w:eastAsia="Arial" w:hAnsi="Arial"/>
                <w:sz w:val="11"/>
                <w:szCs w:val="11"/>
                <w:color w:val="auto"/>
              </w:rPr>
              <w:t>1</w:t>
            </w:r>
          </w:p>
        </w:tc>
        <w:tc>
          <w:tcPr>
            <w:tcW w:w="4600" w:type="dxa"/>
            <w:vAlign w:val="bottom"/>
          </w:tcPr>
          <w:p>
            <w:pPr>
              <w:jc w:val="right"/>
              <w:spacing w:after="0" w:line="202" w:lineRule="exact"/>
              <w:rPr>
                <w:sz w:val="20"/>
                <w:szCs w:val="20"/>
                <w:color w:val="auto"/>
              </w:rPr>
            </w:pPr>
            <w:r>
              <w:rPr>
                <w:rFonts w:ascii="Arial" w:cs="Arial" w:eastAsia="Arial" w:hAnsi="Arial"/>
                <w:sz w:val="18"/>
                <w:szCs w:val="18"/>
                <w:color w:val="auto"/>
              </w:rPr>
              <w:t>0.48 nM</w:t>
            </w: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Selectivity over mTORC2: pAKT</w:t>
            </w:r>
            <w:r>
              <w:rPr>
                <w:rFonts w:ascii="Arial" w:cs="Arial" w:eastAsia="Arial" w:hAnsi="Arial"/>
                <w:sz w:val="11"/>
                <w:szCs w:val="11"/>
                <w:color w:val="auto"/>
              </w:rPr>
              <w:t>2</w:t>
            </w:r>
          </w:p>
        </w:tc>
        <w:tc>
          <w:tcPr>
            <w:tcW w:w="4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40X</w:t>
            </w:r>
          </w:p>
        </w:tc>
      </w:tr>
      <w:tr>
        <w:trPr>
          <w:trHeight w:val="203"/>
        </w:trPr>
        <w:tc>
          <w:tcPr>
            <w:tcW w:w="644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Selectivity over kinases: e.g., PI3K</w:t>
            </w:r>
            <w:r>
              <w:rPr>
                <w:rFonts w:ascii="Arial" w:cs="Arial" w:eastAsia="Arial" w:hAnsi="Arial"/>
                <w:sz w:val="11"/>
                <w:szCs w:val="11"/>
                <w:color w:val="auto"/>
              </w:rPr>
              <w:t>2</w:t>
            </w:r>
          </w:p>
        </w:tc>
        <w:tc>
          <w:tcPr>
            <w:tcW w:w="4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53X</w:t>
            </w:r>
          </w:p>
        </w:tc>
      </w:tr>
    </w:tbl>
    <w:p>
      <w:pPr>
        <w:spacing w:after="0" w:line="39" w:lineRule="exact"/>
        <w:rPr>
          <w:sz w:val="20"/>
          <w:szCs w:val="20"/>
          <w:color w:val="auto"/>
        </w:rPr>
      </w:pPr>
    </w:p>
    <w:p>
      <w:pPr>
        <w:ind w:left="200" w:right="60"/>
        <w:spacing w:after="0" w:line="221" w:lineRule="auto"/>
        <w:rPr>
          <w:sz w:val="20"/>
          <w:szCs w:val="20"/>
          <w:color w:val="auto"/>
        </w:rPr>
      </w:pPr>
      <w:r>
        <w:rPr>
          <w:rFonts w:ascii="Arial" w:cs="Arial" w:eastAsia="Arial" w:hAnsi="Arial"/>
          <w:sz w:val="13"/>
          <w:szCs w:val="13"/>
          <w:i w:val="1"/>
          <w:iCs w:val="1"/>
          <w:color w:val="auto"/>
        </w:rPr>
        <w:t xml:space="preserve">In vitro </w:t>
      </w:r>
      <w:r>
        <w:rPr>
          <w:rFonts w:ascii="Arial" w:cs="Arial" w:eastAsia="Arial" w:hAnsi="Arial"/>
          <w:sz w:val="13"/>
          <w:szCs w:val="13"/>
          <w:color w:val="auto"/>
        </w:rPr>
        <w:t>potency for RMC-5552 to inhibit phosphorylation of mTORC1 (pS6K and p4EBP1) and mTORC2 (pAKT) substrates was determined in MDA-MB-468 cells. Data represent mean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of at least two independent determinations. Selectivity over mTORC2 represents ratio of potency values for inhibition of AKT phosphorylation to inhibition of 4EBP1 phosphorylation. Selectivity over other kinases e.g. PI3K, represents ratio of potency values for inhibition of PI3K-alpha to mTORC1 in a biochemical, synthetic peptide phosphorylation assay. </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Rapamycin is not considered an inhibitor of 4EBP1 phosphorylation. </w:t>
      </w:r>
      <w:r>
        <w:rPr>
          <w:rFonts w:ascii="Arial" w:cs="Arial" w:eastAsia="Arial" w:hAnsi="Arial"/>
          <w:sz w:val="21"/>
          <w:szCs w:val="21"/>
          <w:color w:val="auto"/>
          <w:vertAlign w:val="superscript"/>
        </w:rPr>
        <w:t>2</w:t>
      </w:r>
      <w:r>
        <w:rPr>
          <w:rFonts w:ascii="Arial" w:cs="Arial" w:eastAsia="Arial" w:hAnsi="Arial"/>
          <w:sz w:val="13"/>
          <w:szCs w:val="13"/>
          <w:color w:val="auto"/>
        </w:rPr>
        <w:t xml:space="preserve"> Active site inhibitors are not considered selective over mTORC2 or other kinases.</w:t>
      </w:r>
    </w:p>
    <w:p>
      <w:pPr>
        <w:ind w:left="200" w:right="100"/>
        <w:spacing w:after="0" w:line="236" w:lineRule="auto"/>
        <w:rPr>
          <w:sz w:val="20"/>
          <w:szCs w:val="20"/>
          <w:color w:val="auto"/>
        </w:rPr>
      </w:pPr>
      <w:r>
        <w:rPr>
          <w:rFonts w:ascii="Arial" w:cs="Arial" w:eastAsia="Arial" w:hAnsi="Arial"/>
          <w:sz w:val="18"/>
          <w:szCs w:val="18"/>
          <w:color w:val="auto"/>
        </w:rPr>
        <w:t>In a xenograft model of human breast cancer in which an activating mutation in PIK3CA drives hyperactivation of the mTOR pathway, RMC-5552 inhibited tumor 4EBP1 phosphorylation at 48 hours-post intraperitoneal administration of a 3 mg/kg or 10 mg/kg dose by 71% and 63%, respectively. RMC-5552 induced significant regression of tumors when administered weekly via intraperitoneal injection at doses that were well tolerated (Figure 32). Inhibition of tumor growth was also seen in models of ovarian, liver, bladder and head and neck cancers that collectively bear activating mutations in the mTOR signaling pathway, are addicted to production of oncogenic proteins, and/or are dependent on inactivation or loss of 4EBP1.</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32</w:t>
      </w:r>
      <w:r>
        <w:rPr>
          <w:rFonts w:ascii="Arial" w:cs="Arial" w:eastAsia="Arial" w:hAnsi="Arial"/>
          <w:sz w:val="18"/>
          <w:szCs w:val="18"/>
          <w:color w:val="auto"/>
        </w:rPr>
        <w:t>: RMC-5552 drives tumor regressions in a preclinical xenograft model of breast cancer tumors harboring PIK3CA mutations.</w:t>
      </w:r>
    </w:p>
    <w:p>
      <w:pPr>
        <w:spacing w:after="0" w:line="11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PIK3CA</w:t>
      </w:r>
      <w:r>
        <w:rPr>
          <w:rFonts w:ascii="Arial" w:cs="Arial" w:eastAsia="Arial" w:hAnsi="Arial"/>
          <w:sz w:val="11"/>
          <w:szCs w:val="11"/>
          <w:b w:val="1"/>
          <w:bCs w:val="1"/>
          <w:color w:val="auto"/>
        </w:rPr>
        <w:t>E545K</w:t>
      </w:r>
      <w:r>
        <w:rPr>
          <w:rFonts w:ascii="Arial" w:cs="Arial" w:eastAsia="Arial" w:hAnsi="Arial"/>
          <w:sz w:val="18"/>
          <w:szCs w:val="18"/>
          <w:b w:val="1"/>
          <w:bCs w:val="1"/>
          <w:color w:val="auto"/>
        </w:rPr>
        <w:t>, ER</w:t>
      </w:r>
      <w:r>
        <w:rPr>
          <w:rFonts w:ascii="Arial" w:cs="Arial" w:eastAsia="Arial" w:hAnsi="Arial"/>
          <w:sz w:val="11"/>
          <w:szCs w:val="11"/>
          <w:b w:val="1"/>
          <w:bCs w:val="1"/>
          <w:color w:val="auto"/>
        </w:rPr>
        <w:t>+</w:t>
      </w:r>
      <w:r>
        <w:rPr>
          <w:rFonts w:ascii="Arial" w:cs="Arial" w:eastAsia="Arial" w:hAnsi="Arial"/>
          <w:sz w:val="18"/>
          <w:szCs w:val="18"/>
          <w:b w:val="1"/>
          <w:bCs w:val="1"/>
          <w:color w:val="auto"/>
        </w:rPr>
        <w:t>/HER2</w:t>
      </w:r>
      <w:r>
        <w:rPr>
          <w:rFonts w:ascii="Arial" w:cs="Arial" w:eastAsia="Arial" w:hAnsi="Arial"/>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8890</wp:posOffset>
            </wp:positionV>
            <wp:extent cx="4433570" cy="20669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43357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right="60"/>
        <w:spacing w:after="0" w:line="182" w:lineRule="auto"/>
        <w:rPr>
          <w:sz w:val="20"/>
          <w:szCs w:val="20"/>
          <w:color w:val="auto"/>
        </w:rPr>
      </w:pPr>
      <w:r>
        <w:rPr>
          <w:rFonts w:ascii="Arial" w:cs="Arial" w:eastAsia="Arial" w:hAnsi="Arial"/>
          <w:sz w:val="13"/>
          <w:szCs w:val="13"/>
          <w:color w:val="auto"/>
        </w:rPr>
        <w:t>Once weekly intraperitoneal administration of RMC-5552 (3 mg/kg, 10 mg/kg or 30 mg/kg ip qw) produces a dose-dependent inhibition of tumor growth in breast cancer MCF-7 ER-positive (ER</w:t>
      </w:r>
      <w:r>
        <w:rPr>
          <w:rFonts w:ascii="Arial" w:cs="Arial" w:eastAsia="Arial" w:hAnsi="Arial"/>
          <w:sz w:val="21"/>
          <w:szCs w:val="21"/>
          <w:color w:val="auto"/>
          <w:vertAlign w:val="superscript"/>
        </w:rPr>
        <w:t>+</w:t>
      </w:r>
      <w:r>
        <w:rPr>
          <w:rFonts w:ascii="Arial" w:cs="Arial" w:eastAsia="Arial" w:hAnsi="Arial"/>
          <w:sz w:val="13"/>
          <w:szCs w:val="13"/>
          <w:color w:val="auto"/>
        </w:rPr>
        <w:t>), HER2-negative (HER2-), PIK3CA</w:t>
      </w:r>
      <w:r>
        <w:rPr>
          <w:rFonts w:ascii="Arial" w:cs="Arial" w:eastAsia="Arial" w:hAnsi="Arial"/>
          <w:sz w:val="21"/>
          <w:szCs w:val="21"/>
          <w:color w:val="auto"/>
          <w:vertAlign w:val="superscript"/>
        </w:rPr>
        <w:t>E545K</w:t>
      </w:r>
      <w:r>
        <w:rPr>
          <w:rFonts w:ascii="Arial" w:cs="Arial" w:eastAsia="Arial" w:hAnsi="Arial"/>
          <w:sz w:val="13"/>
          <w:szCs w:val="13"/>
          <w:color w:val="auto"/>
        </w:rPr>
        <w:t xml:space="preserve"> cancer cell line-derived xenograft model in mice. Data represent tumor volume over time (a) and waterfall plots of individual</w:t>
      </w:r>
    </w:p>
    <w:p>
      <w:pPr>
        <w:spacing w:after="0" w:line="1" w:lineRule="exact"/>
        <w:rPr>
          <w:sz w:val="20"/>
          <w:szCs w:val="20"/>
          <w:color w:val="auto"/>
        </w:rPr>
      </w:pPr>
    </w:p>
    <w:p>
      <w:pPr>
        <w:ind w:left="200" w:right="80"/>
        <w:spacing w:after="0" w:line="228" w:lineRule="auto"/>
        <w:rPr>
          <w:sz w:val="20"/>
          <w:szCs w:val="20"/>
          <w:color w:val="auto"/>
        </w:rPr>
      </w:pPr>
      <w:r>
        <w:rPr>
          <w:rFonts w:ascii="Arial" w:cs="Arial" w:eastAsia="Arial" w:hAnsi="Arial"/>
          <w:sz w:val="14"/>
          <w:szCs w:val="14"/>
          <w:color w:val="auto"/>
        </w:rPr>
        <w:t>end of study responses with tumor volume expressed as a percentage of initial tumor volume at time of study start (truncated at 400%) (b). Number of mice per group = 12. In (a) data represent mean, errors bars represent standard error of the mean. In (b) each animal is represented as a separate bar. Numbers indicate number of regressions (defined as &gt; 10% reduction in tumor volume from starting volume) in each group. Dotted line in panel (</w:t>
      </w:r>
      <w:r>
        <w:rPr>
          <w:rFonts w:ascii="Arial" w:cs="Arial" w:eastAsia="Arial" w:hAnsi="Arial"/>
          <w:sz w:val="14"/>
          <w:szCs w:val="14"/>
          <w:b w:val="1"/>
          <w:bCs w:val="1"/>
          <w:color w:val="auto"/>
        </w:rPr>
        <w:t>b)</w:t>
      </w:r>
      <w:r>
        <w:rPr>
          <w:rFonts w:ascii="Arial" w:cs="Arial" w:eastAsia="Arial" w:hAnsi="Arial"/>
          <w:sz w:val="14"/>
          <w:szCs w:val="14"/>
          <w:color w:val="auto"/>
        </w:rPr>
        <w:t xml:space="preserve"> references 50% reduction in tumor volume.</w:t>
      </w:r>
    </w:p>
    <w:p>
      <w:pPr>
        <w:spacing w:after="0" w:line="99"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also tested RMC-5552 in the U87 cell line representing a human brain cancer, glioblastoma multiforme (Figure 33). In this model the tumors were implanted directly into the brains of immunodeficient mice to more accurately mimic the human disease. RMC-5552 was tested at two different doses, both of which were given once weekly via intraperitoneal injection. Because of the technical difficulties associated with measuring the size of tumors growing within the cranium, the main outcome measure for this experiment was duration of survival. RMC-5552 was well tolerated and prolonged survival at all doses tested.</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240" w:top="459"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33</w:t>
      </w:r>
      <w:r>
        <w:rPr>
          <w:rFonts w:ascii="Arial" w:cs="Arial" w:eastAsia="Arial" w:hAnsi="Arial"/>
          <w:sz w:val="18"/>
          <w:szCs w:val="18"/>
          <w:color w:val="auto"/>
        </w:rPr>
        <w:t>: RMC-5552 prolongs survival in a preclinical xenograft model of glioblastoma multiforme harboring PTEN</w:t>
      </w:r>
      <w:r>
        <w:rPr>
          <w:rFonts w:ascii="Arial" w:cs="Arial" w:eastAsia="Arial" w:hAnsi="Arial"/>
          <w:sz w:val="11"/>
          <w:szCs w:val="11"/>
          <w:color w:val="auto"/>
        </w:rPr>
        <w:t>LOF</w:t>
      </w:r>
      <w:r>
        <w:rPr>
          <w:rFonts w:ascii="Arial" w:cs="Arial" w:eastAsia="Arial" w:hAnsi="Arial"/>
          <w:sz w:val="18"/>
          <w:szCs w:val="18"/>
          <w:color w:val="auto"/>
        </w:rPr>
        <w:t>.</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PTEN</w:t>
      </w:r>
      <w:r>
        <w:rPr>
          <w:rFonts w:ascii="Arial" w:cs="Arial" w:eastAsia="Arial" w:hAnsi="Arial"/>
          <w:sz w:val="11"/>
          <w:szCs w:val="11"/>
          <w:b w:val="1"/>
          <w:bCs w:val="1"/>
          <w:color w:val="auto"/>
        </w:rPr>
        <w:t>LOF</w:t>
      </w:r>
      <w:r>
        <w:rPr>
          <w:rFonts w:ascii="Arial" w:cs="Arial" w:eastAsia="Arial" w:hAnsi="Arial"/>
          <w:sz w:val="18"/>
          <w:szCs w:val="18"/>
          <w:b w:val="1"/>
          <w:bCs w:val="1"/>
          <w:color w:val="auto"/>
        </w:rPr>
        <w:t xml:space="preserve"> orthotopic glioblastoma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86360</wp:posOffset>
            </wp:positionV>
            <wp:extent cx="3919220" cy="21266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91922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right="20"/>
        <w:spacing w:after="0" w:line="200" w:lineRule="auto"/>
        <w:rPr>
          <w:sz w:val="20"/>
          <w:szCs w:val="20"/>
          <w:color w:val="auto"/>
        </w:rPr>
      </w:pPr>
      <w:r>
        <w:rPr>
          <w:rFonts w:ascii="Arial" w:cs="Arial" w:eastAsia="Arial" w:hAnsi="Arial"/>
          <w:sz w:val="14"/>
          <w:szCs w:val="14"/>
          <w:color w:val="auto"/>
        </w:rPr>
        <w:t>Anti-tumor activity of RMC-5552 (3 mg/kg and 10 mg/kg once weekly intraperitoneal administration, ip qw), in a U87MG-Luc (PTEN</w:t>
      </w:r>
      <w:r>
        <w:rPr>
          <w:rFonts w:ascii="Arial" w:cs="Arial" w:eastAsia="Arial" w:hAnsi="Arial"/>
          <w:sz w:val="22"/>
          <w:szCs w:val="22"/>
          <w:color w:val="auto"/>
          <w:vertAlign w:val="superscript"/>
        </w:rPr>
        <w:t>LOF</w:t>
      </w:r>
      <w:r>
        <w:rPr>
          <w:rFonts w:ascii="Arial" w:cs="Arial" w:eastAsia="Arial" w:hAnsi="Arial"/>
          <w:sz w:val="14"/>
          <w:szCs w:val="14"/>
          <w:color w:val="auto"/>
        </w:rPr>
        <w:t>) orthotopic glioblastoma model in mice. Data represent Kaplan–Meier curves showing percentage of animals meeting the survival endpoint in each treatment group for the duration of the study, number of animals per group = 10. RMC-5552 (3 mg/kg and 10 mg/kg (ip, qw) is statistically significantly different from control (***p&lt;0.0001, Log-rank test).</w:t>
      </w:r>
    </w:p>
    <w:p>
      <w:pPr>
        <w:spacing w:after="0" w:line="99"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As described earlier in this prospectus RAS-addicted cancer cells can develop adaptive resistance to RAS pathway inhibitors and lose sensitivity to treatment by hijacking other cell signaling circuitry to circumvent the inhibition. In some cases this may involve activation of the mTOR signaling cascade. We have observed combination benefit for an mTORC1 inhibitor with KRAS</w:t>
      </w:r>
      <w:r>
        <w:rPr>
          <w:rFonts w:ascii="Arial" w:cs="Arial" w:eastAsia="Arial" w:hAnsi="Arial"/>
          <w:sz w:val="11"/>
          <w:szCs w:val="11"/>
          <w:color w:val="auto"/>
        </w:rPr>
        <w:t>G12C</w:t>
      </w:r>
      <w:r>
        <w:rPr>
          <w:rFonts w:ascii="Arial" w:cs="Arial" w:eastAsia="Arial" w:hAnsi="Arial"/>
          <w:sz w:val="18"/>
          <w:szCs w:val="18"/>
          <w:color w:val="auto"/>
        </w:rPr>
        <w:t xml:space="preserve"> inhibitors in preclinical models of NSCLC and CRC cancers harboring KRAS</w:t>
      </w:r>
      <w:r>
        <w:rPr>
          <w:rFonts w:ascii="Arial" w:cs="Arial" w:eastAsia="Arial" w:hAnsi="Arial"/>
          <w:sz w:val="11"/>
          <w:szCs w:val="11"/>
          <w:color w:val="auto"/>
        </w:rPr>
        <w:t>G12C</w:t>
      </w:r>
      <w:r>
        <w:rPr>
          <w:rFonts w:ascii="Arial" w:cs="Arial" w:eastAsia="Arial" w:hAnsi="Arial"/>
          <w:sz w:val="18"/>
          <w:szCs w:val="18"/>
          <w:color w:val="auto"/>
        </w:rPr>
        <w:t xml:space="preserve"> mutations (Figure 34). These preclinical data support evaluation of our RAS(ON) inhibitors in combination with RMC-5552. Based on the strength of our preclinical studies, we advanced RMC-5552 into IND-enabling development in June 2019. We expect to be ready to submit an IND for RMC-5552 in 2020.</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240" w:top="460" w:right="5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840"/>
        <w:spacing w:after="0" w:line="264" w:lineRule="auto"/>
        <w:rPr>
          <w:sz w:val="20"/>
          <w:szCs w:val="20"/>
          <w:color w:val="auto"/>
        </w:rPr>
      </w:pPr>
      <w:r>
        <w:rPr>
          <w:rFonts w:ascii="Arial" w:cs="Arial" w:eastAsia="Arial" w:hAnsi="Arial"/>
          <w:sz w:val="18"/>
          <w:szCs w:val="18"/>
          <w:b w:val="1"/>
          <w:bCs w:val="1"/>
          <w:color w:val="auto"/>
        </w:rPr>
        <w:t>Figure 34</w:t>
      </w:r>
      <w:r>
        <w:rPr>
          <w:rFonts w:ascii="Arial" w:cs="Arial" w:eastAsia="Arial" w:hAnsi="Arial"/>
          <w:sz w:val="18"/>
          <w:szCs w:val="18"/>
          <w:color w:val="auto"/>
        </w:rPr>
        <w:t>. Combination benefit for mTORC1 inhibitor with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inhibitors in preclinical models of cancers harboring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w:t>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4700" w:type="dxa"/>
            <w:vAlign w:val="bottom"/>
          </w:tcPr>
          <w:p>
            <w:pPr>
              <w:ind w:left="2100"/>
              <w:spacing w:after="0"/>
              <w:rPr>
                <w:sz w:val="20"/>
                <w:szCs w:val="20"/>
                <w:color w:val="auto"/>
              </w:rPr>
            </w:pPr>
            <w:r>
              <w:rPr>
                <w:rFonts w:ascii="Arial" w:cs="Arial" w:eastAsia="Arial" w:hAnsi="Arial"/>
                <w:sz w:val="18"/>
                <w:szCs w:val="18"/>
                <w:b w:val="1"/>
                <w:bCs w:val="1"/>
                <w:color w:val="auto"/>
              </w:rPr>
              <w:t>NSCLC KRAS</w:t>
            </w:r>
            <w:r>
              <w:rPr>
                <w:rFonts w:ascii="Arial" w:cs="Arial" w:eastAsia="Arial" w:hAnsi="Arial"/>
                <w:sz w:val="11"/>
                <w:szCs w:val="11"/>
                <w:b w:val="1"/>
                <w:bCs w:val="1"/>
                <w:color w:val="auto"/>
              </w:rPr>
              <w:t>G12C</w:t>
            </w:r>
          </w:p>
        </w:tc>
        <w:tc>
          <w:tcPr>
            <w:tcW w:w="4340" w:type="dxa"/>
            <w:vAlign w:val="bottom"/>
          </w:tcPr>
          <w:p>
            <w:pPr>
              <w:ind w:left="3120"/>
              <w:spacing w:after="0"/>
              <w:rPr>
                <w:sz w:val="20"/>
                <w:szCs w:val="20"/>
                <w:color w:val="auto"/>
              </w:rPr>
            </w:pPr>
            <w:r>
              <w:rPr>
                <w:rFonts w:ascii="Arial" w:cs="Arial" w:eastAsia="Arial" w:hAnsi="Arial"/>
                <w:sz w:val="18"/>
                <w:szCs w:val="18"/>
                <w:b w:val="1"/>
                <w:bCs w:val="1"/>
                <w:color w:val="auto"/>
                <w:w w:val="96"/>
              </w:rPr>
              <w:t>CRC KRAS</w:t>
            </w:r>
            <w:r>
              <w:rPr>
                <w:rFonts w:ascii="Arial" w:cs="Arial" w:eastAsia="Arial" w:hAnsi="Arial"/>
                <w:sz w:val="11"/>
                <w:szCs w:val="11"/>
                <w:b w:val="1"/>
                <w:bCs w:val="1"/>
                <w:color w:val="auto"/>
                <w:w w:val="96"/>
              </w:rPr>
              <w:t>G12C</w:t>
            </w:r>
          </w:p>
        </w:tc>
      </w:tr>
      <w:tr>
        <w:trPr>
          <w:trHeight w:val="351"/>
        </w:trPr>
        <w:tc>
          <w:tcPr>
            <w:tcW w:w="4700" w:type="dxa"/>
            <w:vAlign w:val="bottom"/>
          </w:tcPr>
          <w:p>
            <w:pPr>
              <w:spacing w:after="0"/>
              <w:rPr>
                <w:sz w:val="20"/>
                <w:szCs w:val="20"/>
                <w:color w:val="auto"/>
              </w:rPr>
            </w:pPr>
            <w:r>
              <w:rPr>
                <w:rFonts w:ascii="Arial" w:cs="Arial" w:eastAsia="Arial" w:hAnsi="Arial"/>
                <w:sz w:val="18"/>
                <w:szCs w:val="18"/>
                <w:color w:val="auto"/>
              </w:rPr>
              <w:t>(a)</w:t>
            </w:r>
          </w:p>
        </w:tc>
        <w:tc>
          <w:tcPr>
            <w:tcW w:w="4340" w:type="dxa"/>
            <w:vAlign w:val="bottom"/>
          </w:tcPr>
          <w:p>
            <w:pPr>
              <w:ind w:left="1160"/>
              <w:spacing w:after="0"/>
              <w:rPr>
                <w:sz w:val="20"/>
                <w:szCs w:val="20"/>
                <w:color w:val="auto"/>
              </w:rPr>
            </w:pPr>
            <w:r>
              <w:rPr>
                <w:rFonts w:ascii="Arial" w:cs="Arial" w:eastAsia="Arial" w:hAnsi="Arial"/>
                <w:sz w:val="18"/>
                <w:szCs w:val="18"/>
                <w:color w:val="auto"/>
              </w:rPr>
              <w:t>(b)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69850</wp:posOffset>
            </wp:positionV>
            <wp:extent cx="5917565" cy="22726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1756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spacing w:after="0" w:line="182" w:lineRule="auto"/>
        <w:rPr>
          <w:sz w:val="20"/>
          <w:szCs w:val="20"/>
          <w:color w:val="auto"/>
        </w:rPr>
      </w:pPr>
      <w:r>
        <w:rPr>
          <w:rFonts w:ascii="Arial" w:cs="Arial" w:eastAsia="Arial" w:hAnsi="Arial"/>
          <w:sz w:val="13"/>
          <w:szCs w:val="13"/>
          <w:color w:val="auto"/>
        </w:rPr>
        <w:t>Combination benefit between an mTORC1 inhibitor and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inhibitor was explored in NSCLC (a) and CRC (b) cancer cells harboring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mutations. (a) Anti-tumor activity of mTORC1 inhibitor (RM-006 at 10 mg/kg, intravenous, once weekly; iv qw) and KRAS</w:t>
      </w:r>
      <w:r>
        <w:rPr>
          <w:rFonts w:ascii="Arial" w:cs="Arial" w:eastAsia="Arial" w:hAnsi="Arial"/>
          <w:sz w:val="21"/>
          <w:szCs w:val="21"/>
          <w:color w:val="auto"/>
          <w:vertAlign w:val="superscript"/>
        </w:rPr>
        <w:t>G12C</w:t>
      </w:r>
      <w:r>
        <w:rPr>
          <w:rFonts w:ascii="Arial" w:cs="Arial" w:eastAsia="Arial" w:hAnsi="Arial"/>
          <w:sz w:val="13"/>
          <w:szCs w:val="13"/>
          <w:color w:val="auto"/>
        </w:rPr>
        <w:t>(OFF) inhibitor AMG-510 (5 mg/kg, oral, daily; po qd) as single agents or in combination in NSCLC CDX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xenograft model in mice. Data represent waterfall plot of individual end of study responses, with tumor volume expressed as a percentage of initial tumor volume at time of study start (truncated at 450%). Number of mice per group = 10. Each animal is represented as a separate bar. Numbers indicate number of regressions (defined as &gt; 10% reduction in tumor volume from starting volume) in each group.</w:t>
      </w:r>
    </w:p>
    <w:p>
      <w:pPr>
        <w:spacing w:after="0" w:line="21" w:lineRule="exact"/>
        <w:rPr>
          <w:sz w:val="20"/>
          <w:szCs w:val="20"/>
          <w:color w:val="auto"/>
        </w:rPr>
      </w:pPr>
    </w:p>
    <w:p>
      <w:pPr>
        <w:ind w:left="200" w:right="20" w:firstLine="4"/>
        <w:spacing w:after="0" w:line="182" w:lineRule="auto"/>
        <w:tabs>
          <w:tab w:leader="none" w:pos="358" w:val="left"/>
        </w:tabs>
        <w:numPr>
          <w:ilvl w:val="0"/>
          <w:numId w:val="88"/>
        </w:numPr>
        <w:rPr>
          <w:rFonts w:ascii="Arial" w:cs="Arial" w:eastAsia="Arial" w:hAnsi="Arial"/>
          <w:sz w:val="13"/>
          <w:szCs w:val="13"/>
          <w:color w:val="auto"/>
        </w:rPr>
      </w:pPr>
      <w:r>
        <w:rPr>
          <w:rFonts w:ascii="Arial" w:cs="Arial" w:eastAsia="Arial" w:hAnsi="Arial"/>
          <w:sz w:val="13"/>
          <w:szCs w:val="13"/>
          <w:color w:val="auto"/>
        </w:rPr>
        <w:t>CRC SW837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cancer cells were maintained in 2D cell culture and cell proliferation (expressed as % confluence) monitored over time using the Incucyte imaging platform. Cells were incubated in the absence (control, black) or presence of an mTORC1 inhibitor (RM-006, 10 nM) or KRAS</w:t>
      </w:r>
      <w:r>
        <w:rPr>
          <w:rFonts w:ascii="Arial" w:cs="Arial" w:eastAsia="Arial" w:hAnsi="Arial"/>
          <w:sz w:val="21"/>
          <w:szCs w:val="21"/>
          <w:color w:val="auto"/>
          <w:vertAlign w:val="superscript"/>
        </w:rPr>
        <w:t>G12C</w:t>
      </w:r>
      <w:r>
        <w:rPr>
          <w:rFonts w:ascii="Arial" w:cs="Arial" w:eastAsia="Arial" w:hAnsi="Arial"/>
          <w:sz w:val="13"/>
          <w:szCs w:val="13"/>
          <w:color w:val="auto"/>
        </w:rPr>
        <w:t>(ON) inhibitor (RM-015, 1 µM). Incubation with the mTORC1 inhibitor (red) or KRAS</w:t>
      </w:r>
      <w:r>
        <w:rPr>
          <w:rFonts w:ascii="Arial" w:cs="Arial" w:eastAsia="Arial" w:hAnsi="Arial"/>
          <w:sz w:val="21"/>
          <w:szCs w:val="21"/>
          <w:color w:val="auto"/>
          <w:vertAlign w:val="superscript"/>
        </w:rPr>
        <w:t>G12C</w:t>
      </w:r>
      <w:r>
        <w:rPr>
          <w:rFonts w:ascii="Arial" w:cs="Arial" w:eastAsia="Arial" w:hAnsi="Arial"/>
          <w:sz w:val="13"/>
          <w:szCs w:val="13"/>
          <w:color w:val="auto"/>
        </w:rPr>
        <w:t>(ON) inhibitor (blue) alone delayed the time for the cells to reach 50 % confluence. However, the simultaneous addition of the two inhibitors caused complete inhibition of cell growth and no viable cells were apparent during the time course of the experiment (~ 35 days). Data are from a single experiment, similar data have been obtained in another independent study. RM-006 is a proprietary mTORC1 inhibitor tool compound.</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Commercial plan</w:t>
      </w:r>
    </w:p>
    <w:p>
      <w:pPr>
        <w:spacing w:after="0" w:line="13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We intend to retain significant development and commercialization rights to our product candidates and, if marketing approval is obtained, to commercialize our product candidates on our own, or potentially with a partner, in the United States and other regions. Our most advanced product candidate, RMC-4630, is the subject of a global collaboration with Sanofi. Unless otherwise delegated to us by the joint commercialization committee, Sanofi has the sole right and responsibility for all aspects of the commercialization of SHP2 inhibitors in the world for any and all uses, at its expense, subject to our right to elect to co-promote SHP2 inhibitors in the United States. In the United States, we will share equally with Sanofi the profits and losses applicable to commercialization of SHP2 inhibitor products. Sanofi is responsible for manufacturing SHP2 inhibitors for commercial supply and is expected to lead commercialization efforts through a joint commercialization committee representing the partners.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and the status of our pipeline, may all influence or alter our commercialization plans.</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Collaboration agreement with Sanofi</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07"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Under the Sanofi Agreement, we have primary responsibility for performing preclinical research on SHP2 inhibitors, pursuant to an initial research plan and budget directed toward the identification, validation and optimization of SHP2 inhibitors for 2018-2020. The research plan and budget beyond 2020 will be determined by a joint research and development committee, over which Sanofi has final decision-making power subject to certain exceptions. We have primary responsibility for early clinical development of RMC-4630 pursuant to an initial development plan. The joint research and development committee is responsible for preparing development plans for other SHP2 inhibitors approved by such committee for development, if any. Sanofi is responsible for 80% of all internal and external research costs and expenses incurred under the research plan for 2019 and 2020, and for all other internal and external costs and expenses incurred to perform activities under the research and development plans. We are responsible for 20% of all internal and external research costs incurred under the research plan for 2019 and 2020, in which our share of these costs is estimated to be approximately $2 million in total, representing less than three percent of the anticipated overall budget for the SHP2 program in 2019 and 2020. Sanofi is responsible for all costs under the development plan, and since our SHP2 program is in clinical development, the costs under the development plan are expected to be significantly greater than the costs under the research plan. We are responsible for the manufacture of SHP2 inhibitors for Phase 1 and non-registrational Phase 2 clinical trials at Sanofi’s cost,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 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 SHP2 inhibitor product candidate in certain major market countries. Sanofi agrees to provide us, and we agree to provide Sanofi, with research, development and commercialization updates through the joint committees.</w:t>
      </w:r>
    </w:p>
    <w:p>
      <w:pPr>
        <w:spacing w:after="0" w:line="106"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During the term of the Sanofi Agreement, we may not, alone or with any affiliate or third party, conduct certain research activities with respect to, or develop or commercialize, any product that contains a SHP2 inhibitor outside of the Sanofi Agreement.</w:t>
      </w:r>
    </w:p>
    <w:p>
      <w:pPr>
        <w:spacing w:after="0" w:line="101" w:lineRule="exact"/>
        <w:rPr>
          <w:sz w:val="20"/>
          <w:szCs w:val="20"/>
          <w:color w:val="auto"/>
        </w:rPr>
      </w:pPr>
    </w:p>
    <w:p>
      <w:pPr>
        <w:ind w:left="200" w:right="580"/>
        <w:spacing w:after="0" w:line="275" w:lineRule="auto"/>
        <w:rPr>
          <w:sz w:val="20"/>
          <w:szCs w:val="20"/>
          <w:color w:val="auto"/>
        </w:rPr>
      </w:pPr>
      <w:r>
        <w:rPr>
          <w:rFonts w:ascii="Arial" w:cs="Arial" w:eastAsia="Arial" w:hAnsi="Arial"/>
          <w:sz w:val="16"/>
          <w:szCs w:val="16"/>
          <w:color w:val="auto"/>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p>
    <w:p>
      <w:pPr>
        <w:spacing w:after="0" w:line="102"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 based on the development and regulatory status of such reverted products, in each case subject to reductions in accordance with the terms of the Sanofi Agreement.</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Acquisition of Warp Drive</w:t>
      </w:r>
    </w:p>
    <w:p>
      <w:pPr>
        <w:spacing w:after="0" w:line="134"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In October 2018, we entered into an Agreement and Plan of Merger pursuant to which we acquired all outstanding shares of Warp Drive. In connection with the acquisition, we issued 6,797,915 shares of our Series B preferred stock and provided $0.9 million in other consideration, for total consideration valued at $69.0 million. The Agreement and Plan of Merger contained representations, warranties and covenants by, among and for the benefit of the parties, as well as mutual indemnification obligations.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Manufacturing</w:t>
      </w:r>
    </w:p>
    <w:p>
      <w:pPr>
        <w:spacing w:after="0" w:line="13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We rely on and will continue to rely on our contract manufacturing organizations, or CMOs, for both drug substance and drug product. Currently, all of our manufacturing is outsourced to well-established third-party manufacturers. We have entered into contracts with CMOs for production of RMC-4630 and RMC-5552 drug substance and drug product for our clinical trials and IND-enabling development studies, respectively, and plan to enter into additional contracts with these or other manufacturers for additional supply.</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71" w:lineRule="auto"/>
        <w:rPr>
          <w:sz w:val="20"/>
          <w:szCs w:val="20"/>
          <w:color w:val="auto"/>
        </w:rPr>
      </w:pPr>
      <w:r>
        <w:rPr>
          <w:rFonts w:ascii="Arial" w:cs="Arial" w:eastAsia="Arial" w:hAnsi="Arial"/>
          <w:sz w:val="16"/>
          <w:szCs w:val="16"/>
          <w:color w:val="auto"/>
        </w:rPr>
        <w:t>Our outsourced approach to manufacturing relies on CMOs to first develop manufacturing processes that are compliant with current Good Manufacturing Practice, or cGMP, then produce material for preclinical and clinical studies. Our agreements with CMOs may obligate them to develop and qualify upstream and downstream processes, develop drug product process, validate (and in some cases develop) suitable analytical methods for test and release as well as stability testing, produce drug substance for preclinical testing, produce cGMP-compliant drug substance, or produce cGMP-compliant drug product. We, and Sanofi, conduct audits of CMOs prior to initiation of activities under these agreements and monitor operations to ensure compliance with the mutually agreed process descriptions and to cGMP regulations.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Competition</w:t>
      </w:r>
    </w:p>
    <w:p>
      <w:pPr>
        <w:spacing w:after="0" w:line="134" w:lineRule="exact"/>
        <w:rPr>
          <w:sz w:val="20"/>
          <w:szCs w:val="20"/>
          <w:color w:val="auto"/>
        </w:rPr>
      </w:pPr>
    </w:p>
    <w:p>
      <w:pPr>
        <w:ind w:left="200" w:right="620"/>
        <w:spacing w:after="0" w:line="275" w:lineRule="auto"/>
        <w:rPr>
          <w:sz w:val="20"/>
          <w:szCs w:val="20"/>
          <w:color w:val="auto"/>
        </w:rPr>
      </w:pPr>
      <w:r>
        <w:rPr>
          <w:rFonts w:ascii="Arial" w:cs="Arial" w:eastAsia="Arial" w:hAnsi="Arial"/>
          <w:sz w:val="16"/>
          <w:szCs w:val="16"/>
          <w:color w:val="auto"/>
        </w:rPr>
        <w:t>The biotechnology and pharmaceutical industries, and the oncology sector, are characterized by rapid evolution of technologies, fierce competition and strong defense of intellectual property rights. While we believe that our discovery programs, technology,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75"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and convenience of our products and the ease of use and effectiveness of any complementary diagnostics and/or companion diagnostics.</w:t>
      </w:r>
    </w:p>
    <w:p>
      <w:pPr>
        <w:spacing w:after="0" w:line="101"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There is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and Jacobio Pharmaceuticals Co. Ltd. There are several RAS pathway mutations programs, including those directed at KRAS</w:t>
      </w:r>
      <w:r>
        <w:rPr>
          <w:rFonts w:ascii="Arial" w:cs="Arial" w:eastAsia="Arial" w:hAnsi="Arial"/>
          <w:sz w:val="11"/>
          <w:szCs w:val="11"/>
          <w:color w:val="auto"/>
        </w:rPr>
        <w:t>G12C</w:t>
      </w:r>
      <w:r>
        <w:rPr>
          <w:rFonts w:ascii="Arial" w:cs="Arial" w:eastAsia="Arial" w:hAnsi="Arial"/>
          <w:sz w:val="18"/>
          <w:szCs w:val="18"/>
          <w:color w:val="auto"/>
        </w:rPr>
        <w:t>(OFF) and KRAS</w:t>
      </w:r>
      <w:r>
        <w:rPr>
          <w:rFonts w:ascii="Arial" w:cs="Arial" w:eastAsia="Arial" w:hAnsi="Arial"/>
          <w:sz w:val="11"/>
          <w:szCs w:val="11"/>
          <w:color w:val="auto"/>
        </w:rPr>
        <w:t>G12D</w:t>
      </w:r>
      <w:r>
        <w:rPr>
          <w:rFonts w:ascii="Arial" w:cs="Arial" w:eastAsia="Arial" w:hAnsi="Arial"/>
          <w:sz w:val="18"/>
          <w:szCs w:val="18"/>
          <w:color w:val="auto"/>
        </w:rPr>
        <w:t>(OFF) mutations, including clinical programs directed at KRAS</w:t>
      </w:r>
      <w:r>
        <w:rPr>
          <w:rFonts w:ascii="Arial" w:cs="Arial" w:eastAsia="Arial" w:hAnsi="Arial"/>
          <w:sz w:val="11"/>
          <w:szCs w:val="11"/>
          <w:color w:val="auto"/>
        </w:rPr>
        <w:t>G12C</w:t>
      </w:r>
      <w:r>
        <w:rPr>
          <w:rFonts w:ascii="Arial" w:cs="Arial" w:eastAsia="Arial" w:hAnsi="Arial"/>
          <w:sz w:val="18"/>
          <w:szCs w:val="18"/>
          <w:color w:val="auto"/>
        </w:rPr>
        <w:t>(OFF) being conducted by, Amgen Inc., Mirati Therapeutics, Inc., Johnson &amp; Johnson, AstraZeneca plc and Eli Lilly &amp; Co. Other clinical programs directed at mutant RAS are being conducted by Merck &amp; Co./Moderna Therapeutics, Boehringer Ingelheim and Gilead Sciences, Inc. 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07" w:lineRule="exact"/>
        <w:rPr>
          <w:sz w:val="20"/>
          <w:szCs w:val="20"/>
          <w:color w:val="auto"/>
        </w:rPr>
      </w:pPr>
    </w:p>
    <w:p>
      <w:pPr>
        <w:ind w:left="200" w:right="420"/>
        <w:spacing w:after="0" w:line="237" w:lineRule="auto"/>
        <w:rPr>
          <w:sz w:val="20"/>
          <w:szCs w:val="20"/>
          <w:color w:val="auto"/>
        </w:rPr>
      </w:pPr>
      <w:r>
        <w:rPr>
          <w:rFonts w:ascii="Arial" w:cs="Arial" w:eastAsia="Arial" w:hAnsi="Arial"/>
          <w:sz w:val="18"/>
          <w:szCs w:val="18"/>
          <w:color w:val="auto"/>
        </w:rPr>
        <w:t>The availability of coverage and reimbursement from government and other third-party payors will also significantly affect the pricing and competitiveness of our products. Our competitors also may obtain U.S. Food and Drug Administration, or the FDA, or other regulatory approval for their products more rapidly than we may obtain approval for ours, which could result in our competitors establishing a strong market position before we are able to enter the market.</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Intellectual property</w:t>
      </w:r>
    </w:p>
    <w:p>
      <w:pPr>
        <w:spacing w:after="0" w:line="134" w:lineRule="exact"/>
        <w:rPr>
          <w:sz w:val="20"/>
          <w:szCs w:val="20"/>
          <w:color w:val="auto"/>
        </w:rPr>
      </w:pPr>
    </w:p>
    <w:p>
      <w:pPr>
        <w:jc w:val="both"/>
        <w:ind w:left="200" w:right="60"/>
        <w:spacing w:after="0" w:line="237" w:lineRule="auto"/>
        <w:rPr>
          <w:sz w:val="20"/>
          <w:szCs w:val="20"/>
          <w:color w:val="auto"/>
        </w:rPr>
      </w:pPr>
      <w:r>
        <w:rPr>
          <w:rFonts w:ascii="Arial" w:cs="Arial" w:eastAsia="Arial" w:hAnsi="Arial"/>
          <w:sz w:val="18"/>
          <w:szCs w:val="18"/>
          <w:color w:val="auto"/>
        </w:rPr>
        <w:t>Our success depends in part on our ability and the ability of our collaborators to obtain and maintain proprietary protection for our technology, programs, and know-how related to our business, defend and enforce our intellectual property rights, in particular, our patent rights, preserve the confidentiality of our trade secrets, and operate without infringing valid and enforceable intellectual property rights of others. We endeavor to establish, maintain and enforce intellectual property rights that protect our business interests.</w:t>
      </w:r>
    </w:p>
    <w:p>
      <w:pPr>
        <w:spacing w:after="0" w:line="101" w:lineRule="exact"/>
        <w:rPr>
          <w:sz w:val="20"/>
          <w:szCs w:val="20"/>
          <w:color w:val="auto"/>
        </w:rPr>
      </w:pPr>
    </w:p>
    <w:p>
      <w:pPr>
        <w:ind w:left="200" w:right="140"/>
        <w:spacing w:after="0" w:line="235" w:lineRule="auto"/>
        <w:rPr>
          <w:sz w:val="20"/>
          <w:szCs w:val="20"/>
          <w:color w:val="auto"/>
        </w:rPr>
      </w:pPr>
      <w:r>
        <w:rPr>
          <w:rFonts w:ascii="Arial" w:cs="Arial" w:eastAsia="Arial" w:hAnsi="Arial"/>
          <w:sz w:val="18"/>
          <w:szCs w:val="18"/>
          <w:color w:val="auto"/>
        </w:rPr>
        <w:t>The term of individual patents depends upon the legal term of patents in the countries in which they are obtained. In most countries in which we file, including the United States, the patent term is generally 20 years from the earliest date of filing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In the United States, the term of a patent may also be eligible for patent term adjustment for delays within the United States Patent and Trademark Office, or USPTO. In addition, for patents that cover an FDA-approved drug, the Drug Price Competition and Patent Term Restoration Act of 1984, or the Hatch-Waxman Act, may permit a patent term extension of up to five years beyond the expiration of the patent. While the length of such patent term extension is related to the length of time the drug is under regulatory review, patent term extension cannot extend the remaining term of a patent beyond a total of 14 years from the date of product approval, only one patent per approved drug may be extended and only those claims covering the approved drug product, a method for using it or a method for manufacturing it may be extended. Similar provisions are available in Europe and certain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107" w:lineRule="exact"/>
        <w:rPr>
          <w:sz w:val="20"/>
          <w:szCs w:val="20"/>
          <w:color w:val="auto"/>
        </w:rPr>
      </w:pPr>
    </w:p>
    <w:p>
      <w:pPr>
        <w:ind w:left="200"/>
        <w:spacing w:after="0" w:line="266" w:lineRule="auto"/>
        <w:rPr>
          <w:sz w:val="20"/>
          <w:szCs w:val="20"/>
          <w:color w:val="auto"/>
        </w:rPr>
      </w:pPr>
      <w:r>
        <w:rPr>
          <w:rFonts w:ascii="Arial" w:cs="Arial" w:eastAsia="Arial" w:hAnsi="Arial"/>
          <w:sz w:val="16"/>
          <w:szCs w:val="16"/>
          <w:color w:val="auto"/>
        </w:rPr>
        <w:t>We also rely on trade secrets, know-how, and confidential information relating to our programs to develop and maintain our proprietary position, and seek to protect and maintain the confidentiality of such items to protect aspects of our business that are not amenable to, or that we do not presently consider appropriate for, patent protection. Our trade secrets include, for example, certain program specific syntheses, manufacturing schema, formulations, biomarkers, patient selection strategies, and certain aspects of our proprietary tri-complex technology platform. It is our policy to require our employees, consultants, contractors, outside scientific collaborators, sponsored researchers and other advisors to execute confidentiality agreements prior to the commencement of employment or consulting relationships with us, and for employees, contractors and consultants to enter into invention assignment agreements with us. These agreements generally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be self-executing or otherwise provide meaningful protection or adequate remedies for our trade secrets or other proprietary information, including in the event of unauthorized use or disclosure of such information. We also seek to preserve the integrity and confidentiality of our trade secrets and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w:t>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more information regarding the risks related to intellectual property, please see “Risk Factors—Risks related to intellectual property.”</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program-specific patent portfolio</w:t>
      </w:r>
    </w:p>
    <w:p>
      <w:pPr>
        <w:spacing w:after="0" w:line="124" w:lineRule="exact"/>
        <w:rPr>
          <w:sz w:val="20"/>
          <w:szCs w:val="20"/>
          <w:color w:val="auto"/>
        </w:rPr>
      </w:pPr>
    </w:p>
    <w:p>
      <w:pPr>
        <w:ind w:left="200" w:right="360"/>
        <w:spacing w:after="0" w:line="238" w:lineRule="auto"/>
        <w:rPr>
          <w:sz w:val="20"/>
          <w:szCs w:val="20"/>
          <w:color w:val="auto"/>
        </w:rPr>
      </w:pPr>
      <w:r>
        <w:rPr>
          <w:rFonts w:ascii="Arial" w:cs="Arial" w:eastAsia="Arial" w:hAnsi="Arial"/>
          <w:sz w:val="18"/>
          <w:szCs w:val="18"/>
          <w:color w:val="auto"/>
        </w:rPr>
        <w:t>Our patent portfolio is directed to small molecules, platform methodologies, and related technology. We seek patent protection for product candidates, development programs, and related alternatives by filing and prosecuting patent applications in the United States and other countries, as appropriate.</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own and co-own patent applications related to our SHP2 development program. As of September 30, 2019, our patent portfolio related to this program consists of ownership or co-ownership rights to three pending U.S. non-provisional patent applications, six pending applications under the Patent Cooperation Treaty, or PCT, and approximately 57 pending patent applications in other jurisdictions, including without limitation major markets such as Brazil, Canada, China, Europe, Japan, Mexico and South Korea, within eight total patent families that include patent applications covering compositions of matter or methods of using our clinical candidate, RMC-4630, alone or in combination with certain other therapeutic agents. The single co-owned patent family is co-owned with The University of California, San Francisco, or UCSF. Any patents issuing from these patent applications would have nominal expiration dates ranging from 2037 to 2039, without accounting for any applicable patent term adjustments or extensions. All but the single UCSF co-owned family is exclusively licensed to our SHP2 collaborator, Sanofi, under the Sanofi Agreement.</w:t>
      </w:r>
    </w:p>
    <w:p>
      <w:pPr>
        <w:spacing w:after="0" w:line="10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own or exclusively license patents and patent applications related to our 4EBP1/mTORC1 development program. As of September 30, 2019, our patent portfolio related to this program consists of ownership or the exclusive license of rights to one issued U.S. patent, two pending U.S. non-provisional patent applications, three pending PCT applications and nine pending patent applications in other jurisdictions, including without limitation major markets such as Canada, China, Europe, Japan and Mexico, within four total patent families that include filings covering compositions of matter or methods of using our development candidate, RMC-5552, alone or in combination with certain other therapeutic agents. The single exclusively licensed patent family is licensed from UCSF. The issued patent has, and any patents issuing from these patent applications would have, nominal expiration dates ranging from 2035 to 2039, without accounting for any applicable patent term adjustments or extensions.</w:t>
      </w:r>
    </w:p>
    <w:p>
      <w:pPr>
        <w:spacing w:after="0" w:line="100"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We own patents and patent applications related to our RAS tri-complex inhibitors and related platform technology. As of September 30, 2019, our patent portfolio related to this program consists of ownership rights to four issued U.S. patents, four pending U.S. non-provisional patent applications, two pending PCT applications and approximately nine pending patent applications in other jurisdictions, including without limitation major markets such as Canada, Europe and Japan, within six total patent families that include filings covering compositions of matter, methods of using those compositions alone or in combination with certain other therapeutic agents, or aspects pertaining to our tri-complex approach to RAS inhibition. The issued patents have, and any patents issuing from these patent applications would have, nominal expiration dates ranging from 2031 to 2038, without accounting for any applicable patent term adjustments or extensions.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Government regulation</w:t>
      </w:r>
    </w:p>
    <w:p>
      <w:pPr>
        <w:spacing w:after="0" w:line="13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storage, recordkeeping, approval, labeling, marketing and promotion, distribution, post-approval monitoring and reporting, sampling, and import and export of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drug regulation</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420" w:right="160" w:hanging="216"/>
        <w:spacing w:after="0" w:line="239" w:lineRule="auto"/>
        <w:tabs>
          <w:tab w:leader="none" w:pos="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where all supporting safety and toxicity studies are performed in accordance with the FDA’s Good Laboratory Practice, or GLP, regulations;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manufacture of clinical drug supply in accordance with FDA’s current Good Manufacturing Practice, or cGMP, regulations, when required;</w:t>
      </w:r>
    </w:p>
    <w:p>
      <w:pPr>
        <w:spacing w:after="0" w:line="140" w:lineRule="exact"/>
        <w:rPr>
          <w:rFonts w:ascii="Arial" w:cs="Arial" w:eastAsia="Arial" w:hAnsi="Arial"/>
          <w:sz w:val="16"/>
          <w:szCs w:val="16"/>
          <w:color w:val="auto"/>
        </w:rPr>
      </w:pPr>
    </w:p>
    <w:p>
      <w:pPr>
        <w:ind w:left="420" w:right="120" w:hanging="216"/>
        <w:spacing w:after="0" w:line="239" w:lineRule="auto"/>
        <w:tabs>
          <w:tab w:leader="none" w:pos="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studies may begin and must be updated annually or when significant changes are made;</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a clinical study may be initiated;</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regulations to establish the safety and efficacy of the product candidate for each proposed indication;</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preparation of and submission to the FDA of a NDA;</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420" w:right="240" w:hanging="216"/>
        <w:spacing w:after="0" w:line="238" w:lineRule="auto"/>
        <w:tabs>
          <w:tab w:leader="none" w:pos="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facility(ies) where the product is manufactured to assess compliance with current good manufacturing practice, or cGMP, regulations, and of selected clinical investigation sites to assess compliance with GCP; and</w:t>
      </w:r>
    </w:p>
    <w:p>
      <w:pPr>
        <w:spacing w:after="0" w:line="113" w:lineRule="exact"/>
        <w:rPr>
          <w:rFonts w:ascii="Arial" w:cs="Arial" w:eastAsia="Arial" w:hAnsi="Arial"/>
          <w:sz w:val="18"/>
          <w:szCs w:val="18"/>
          <w:color w:val="auto"/>
        </w:rPr>
      </w:pPr>
    </w:p>
    <w:p>
      <w:pPr>
        <w:ind w:left="420" w:hanging="216"/>
        <w:spacing w:after="0"/>
        <w:tabs>
          <w:tab w:leader="none" w:pos="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FDA review and approval of an NDA to permit commercial marketing of the product for its particular labeled uses in the United States.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 and clinical studies</w:t>
      </w:r>
    </w:p>
    <w:p>
      <w:pPr>
        <w:spacing w:after="0" w:line="124"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preclinical and clinical testing and approval process can take many years and the actual time required to obtain approval, if any, may vary substantially based upon the type, complexity and novelty of the product or condition being treated.</w:t>
      </w:r>
    </w:p>
    <w:p>
      <w:pPr>
        <w:spacing w:after="0" w:line="83"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Preclinical tests include laboratory (</w:t>
      </w:r>
      <w:r>
        <w:rPr>
          <w:rFonts w:ascii="Arial" w:cs="Arial" w:eastAsia="Arial" w:hAnsi="Arial"/>
          <w:sz w:val="18"/>
          <w:szCs w:val="18"/>
          <w:i w:val="1"/>
          <w:iCs w:val="1"/>
          <w:color w:val="auto"/>
        </w:rPr>
        <w:t>in vitro</w:t>
      </w:r>
      <w:r>
        <w:rPr>
          <w:rFonts w:ascii="Arial" w:cs="Arial" w:eastAsia="Arial" w:hAnsi="Arial"/>
          <w:sz w:val="18"/>
          <w:szCs w:val="18"/>
          <w:color w:val="auto"/>
        </w:rPr>
        <w:t>) evaluation of product chemistry, formulation and toxicity, as well as animal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 studies to assess the characteristics and potential safety and efficacy of the product. The conduct of preclinical tests that provide safety and toxicological information must comply with federal regulations and requirements, including GLP. The results of preclinical testing are submitted to the FDA as part of an IND along with other information, including information about product chemistry, manufacturing and</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controls (CMC) and any available human data or literature to support use of the product in humans. Long-term preclinical tests, such as animal tests of reproductive toxicity and carcinogenicity, may continue after the IND is submitted.</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studies. In such a case, the IND may be placed on clinical hold and the IND sponsor and the FDA must resolve any outstanding concerns or questions before clinical studies can begin.</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preclinical studies suggesting a significant risk for human subjects, as well as IND annual reports on the progress of the investigations conducted under the IND.</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Clinical studies involve the administration of the investigational new drug to human subjects under the supervision of qualified investigators in accordance with GCPs, which include the requirement that all research subjects provide their informed consent for participation in each clinical study.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Additionally, approval must also be obtained from each clinical study site’s IRB before a study may be initiated at the site, and the IRB must monitor the study until completed. Sponsors of clinical trials generally must register and report ongoing clinical studies and clinical study results to public registries, including the website maintained by the U.S. National Institutes of Health, ClinicalTrials.gov.</w:t>
      </w:r>
    </w:p>
    <w:p>
      <w:pPr>
        <w:spacing w:after="0" w:line="100"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For purposes of NDA approval, human clinical trials are typically divided into three or four phases. Although the phases are usually conducted sequentially, they may overlap or be combined.</w:t>
      </w:r>
    </w:p>
    <w:p>
      <w:pPr>
        <w:spacing w:after="0" w:line="96" w:lineRule="exact"/>
        <w:rPr>
          <w:sz w:val="20"/>
          <w:szCs w:val="20"/>
          <w:color w:val="auto"/>
        </w:rPr>
      </w:pPr>
    </w:p>
    <w:p>
      <w:pPr>
        <w:ind w:left="420" w:right="200" w:hanging="216"/>
        <w:spacing w:after="0" w:line="247" w:lineRule="auto"/>
        <w:tabs>
          <w:tab w:leader="none" w:pos="42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initially introduced into healthy human subjects or into patients with the target disease or condition. These studies</w:t>
      </w:r>
      <w:r>
        <w:rPr>
          <w:rFonts w:ascii="Arial" w:cs="Arial" w:eastAsia="Arial" w:hAnsi="Arial"/>
          <w:sz w:val="18"/>
          <w:szCs w:val="18"/>
          <w:i w:val="1"/>
          <w:iCs w:val="1"/>
          <w:color w:val="auto"/>
        </w:rPr>
        <w:t xml:space="preserve"> </w:t>
      </w:r>
      <w:r>
        <w:rPr>
          <w:rFonts w:ascii="Arial" w:cs="Arial" w:eastAsia="Arial" w:hAnsi="Arial"/>
          <w:sz w:val="18"/>
          <w:szCs w:val="18"/>
          <w:color w:val="auto"/>
        </w:rPr>
        <w:t>are designed to evaluate the safety, dosage tolerance, metabolism and pharmacologic actions of the drug in humans, the side effects associated with increasing doses, and if possible, to gain early evidence on effectiveness.</w:t>
      </w:r>
    </w:p>
    <w:p>
      <w:pPr>
        <w:spacing w:after="0" w:line="90" w:lineRule="exact"/>
        <w:rPr>
          <w:rFonts w:ascii="Arial" w:cs="Arial" w:eastAsia="Arial" w:hAnsi="Arial"/>
          <w:sz w:val="18"/>
          <w:szCs w:val="18"/>
          <w:color w:val="auto"/>
        </w:rPr>
      </w:pPr>
    </w:p>
    <w:p>
      <w:pPr>
        <w:ind w:left="420" w:right="180" w:hanging="216"/>
        <w:spacing w:after="0" w:line="247" w:lineRule="auto"/>
        <w:tabs>
          <w:tab w:leader="none" w:pos="42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is administered to a limited patient population to evaluate tolerance and optimal dose, identify possible adverse side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and safety risks, and preliminarily evaluate efficacy. Multiple Phase 2 trials may be conducted to obtain additional data prior to beginning Phase 3 trials.</w:t>
      </w:r>
    </w:p>
    <w:p>
      <w:pPr>
        <w:spacing w:after="0" w:line="90" w:lineRule="exact"/>
        <w:rPr>
          <w:rFonts w:ascii="Arial" w:cs="Arial" w:eastAsia="Arial" w:hAnsi="Arial"/>
          <w:sz w:val="18"/>
          <w:szCs w:val="18"/>
          <w:color w:val="auto"/>
        </w:rPr>
      </w:pPr>
    </w:p>
    <w:p>
      <w:pPr>
        <w:ind w:left="420" w:right="200" w:hanging="216"/>
        <w:spacing w:after="0" w:line="247" w:lineRule="auto"/>
        <w:tabs>
          <w:tab w:leader="none" w:pos="42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is administered to an expanded patient population, generally at geographically dispersed clinical study sites to</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 enough data to statistically evaluate dosage, clinical effectiveness and safety, to establish the overall benefit-risk relationship of the investigational product and to provide an adequate basis for product approval.</w:t>
      </w:r>
    </w:p>
    <w:p>
      <w:pPr>
        <w:spacing w:after="0" w:line="90" w:lineRule="exact"/>
        <w:rPr>
          <w:rFonts w:ascii="Arial" w:cs="Arial" w:eastAsia="Arial" w:hAnsi="Arial"/>
          <w:sz w:val="18"/>
          <w:szCs w:val="18"/>
          <w:color w:val="auto"/>
        </w:rPr>
      </w:pPr>
    </w:p>
    <w:p>
      <w:pPr>
        <w:ind w:left="420" w:right="100" w:hanging="216"/>
        <w:spacing w:after="0" w:line="247" w:lineRule="auto"/>
        <w:tabs>
          <w:tab w:leader="none" w:pos="42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In some cases, the FDA may condition approval of an NDA for a product candidate on the sponsor’s agreement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clinical studies after approval. In other cases, a sponsor may voluntarily conduct additional clinical studies after approval to gain more information about the drug. Such post-approval studies are typically referred to as Phase 4 clinical studies.</w:t>
      </w:r>
    </w:p>
    <w:p>
      <w:pPr>
        <w:spacing w:after="0" w:line="95"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The FDA, the IRB or the clinical study sponsor may suspend or terminate a clinical study at any time on various grounds, including a finding that the research subjects are being exposed to an unacceptable health risk. The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sponsor may also suspend or terminate a clinical study based on evolving business objectives and/or competitive climate.</w:t>
      </w:r>
    </w:p>
    <w:p>
      <w:pPr>
        <w:spacing w:after="0" w:line="86"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 xml:space="preserve">Concurrent with clinical trials, companies may complete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and develop additional information about the characteristics of the product candidate. Companies must also finalize a process for manufacturing the product in commercially applicable quantities in accordance with cGMP requirements. The manufacturing process must be capable of consistently producing quality batches of the product and, among other things, must use validated methods for testing the product against specifications to confirm its identity, strength, quality and purity. Additionally, appropriate packaging must be selected and tested and stability studies must be conducted to demonstrate that the product does not undergo unacceptable deterioration over its shelf life.</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Submission of an NDA to the FDA</w:t>
      </w:r>
    </w:p>
    <w:p>
      <w:pPr>
        <w:spacing w:after="0" w:line="122" w:lineRule="exact"/>
        <w:rPr>
          <w:sz w:val="20"/>
          <w:szCs w:val="20"/>
          <w:color w:val="auto"/>
        </w:rPr>
      </w:pPr>
    </w:p>
    <w:p>
      <w:pPr>
        <w:ind w:left="200" w:right="500"/>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and testing are submitted to the FDA in the form of an NDA requesting approval to market the product for one or more indications. The submission of an NDA requires payment of a substantial application user fee to the FDA, unless a waiver or exemption applies.</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An NDA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product to the satisfaction of the FDA.</w:t>
      </w:r>
    </w:p>
    <w:p>
      <w:pPr>
        <w:spacing w:after="0" w:line="102"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or PDUFA, performance goals, the FDA endeavors to review applications subject to standard review within ten to twelve months, and to review applications subject to priority review within six to eight months, depending on whether the drug is a new molecular entity.</w:t>
      </w:r>
    </w:p>
    <w:p>
      <w:pPr>
        <w:spacing w:after="0" w:line="101" w:lineRule="exact"/>
        <w:rPr>
          <w:sz w:val="20"/>
          <w:szCs w:val="20"/>
          <w:color w:val="auto"/>
        </w:rPr>
      </w:pPr>
    </w:p>
    <w:p>
      <w:pPr>
        <w:ind w:left="200" w:right="120"/>
        <w:spacing w:after="0" w:line="299" w:lineRule="auto"/>
        <w:rPr>
          <w:sz w:val="20"/>
          <w:szCs w:val="20"/>
          <w:color w:val="auto"/>
        </w:rPr>
      </w:pPr>
      <w:r>
        <w:rPr>
          <w:rFonts w:ascii="Arial" w:cs="Arial" w:eastAsia="Arial" w:hAnsi="Arial"/>
          <w:sz w:val="16"/>
          <w:szCs w:val="16"/>
          <w:color w:val="auto"/>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55"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the FDA will typically inspect one or more clinical sites to assure that relevant study data was obtained in compliance with GCP requirements.</w:t>
      </w:r>
    </w:p>
    <w:p>
      <w:pPr>
        <w:spacing w:after="0" w:line="101"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After the FDA evaluates the NDA and conducts inspections of manufacturing facilities, it may issue an approval letter or a complete response letter. A complete response letter indicates that the review cycle of the application is complete and the application is not ready for approval. A complete response letter generally</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80"/>
          </w:cols>
          <w:pgMar w:left="240" w:top="460"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application, the FDA will issue an approval letter. An approval letter authorizes commercial marketing of the drug with specific prescribing information for specific indications.</w:t>
      </w:r>
    </w:p>
    <w:p>
      <w:pPr>
        <w:spacing w:after="0" w:line="103"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As a condition of NDA approval, the FDA may require a Risk Evaluation and Mitigation Strategy, or REMS, program to help ensure that the benefits of the drug outweigh its risks. If the FDA determines a REMS program is necessary during review of the application, the drug sponsor must agree to the REMS plan at the time of approval. A REMS program may be required to include various elements, such as a medication guide or patient package insert, a 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7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Further, product approval may require substantial post-approval testing and surveillance to monitor the drug’s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22"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one or more of which may be available for our current or future products.</w:t>
      </w:r>
    </w:p>
    <w:p>
      <w:pPr>
        <w:spacing w:after="0" w:line="101"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New drug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an NDA is submitted, the product may be eligible for priority review. A fast track product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00"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After an NDA is submitted for a product, including a product with a fast track designation and/or breakthrough therapy designation, the NDA may be eligible for priority review. A product is eligible for priority review if it has the potential to provide a significant improvement in the treatment, diagnosis or prevention of a serious disease or condition compared to marketed products. Depending on whether a drug contains a new molecular entity, priority review designation means the FDA’s goal is to take an action on the marketing application within six to eight months of the 60-day filing date, compared with ten to twelve months under standard review.</w:t>
      </w:r>
    </w:p>
    <w:p>
      <w:pPr>
        <w:spacing w:after="0" w:line="103"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Orphan drug designation</w:t>
      </w:r>
    </w:p>
    <w:p>
      <w:pPr>
        <w:spacing w:after="0" w:line="122"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We intend to pursue orphan drug designation with respect to oncology indications, as appropriate, with the potential to obtain orphan drug exclusivity for our products, if approved.</w:t>
      </w:r>
    </w:p>
    <w:p>
      <w:pPr>
        <w:spacing w:after="0" w:line="10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01"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application user fee.</w:t>
      </w:r>
    </w:p>
    <w:p>
      <w:pPr>
        <w:spacing w:after="0" w:line="102" w:lineRule="exact"/>
        <w:rPr>
          <w:sz w:val="20"/>
          <w:szCs w:val="20"/>
          <w:color w:val="auto"/>
        </w:rPr>
      </w:pPr>
    </w:p>
    <w:p>
      <w:pPr>
        <w:ind w:left="200" w:right="360"/>
        <w:spacing w:after="0" w:line="23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Pediatric information and pediatric exclusivity</w:t>
      </w:r>
    </w:p>
    <w:p>
      <w:pPr>
        <w:spacing w:after="0" w:line="122"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Under the Pediatric Research Equity Act, or PREA, certain NDAs and certain supplements to an NDA must contain data to assess the safety and efficacy of the drug for the claimed indications in all relevant pediatric</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drug that includes a new active ingredient, new indication, new dosage form, new dosing regimen or new route of administration submit an initial Pediatric Study Plan, or iPSP, within 60 days of an end-of-Phase 2 meeting or, if there is no such meeting, as early as practicable before the initiation of a Phase 3 or Phase 2/3 study. 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preclinical studies, early phase clinical trials and/or other clinical development programs.</w:t>
      </w:r>
    </w:p>
    <w:p>
      <w:pPr>
        <w:spacing w:after="0" w:line="107" w:lineRule="exact"/>
        <w:rPr>
          <w:sz w:val="20"/>
          <w:szCs w:val="20"/>
          <w:color w:val="auto"/>
        </w:rPr>
      </w:pPr>
    </w:p>
    <w:p>
      <w:pPr>
        <w:ind w:left="200" w:right="60"/>
        <w:spacing w:after="0" w:line="281" w:lineRule="auto"/>
        <w:rPr>
          <w:sz w:val="20"/>
          <w:szCs w:val="20"/>
          <w:color w:val="auto"/>
        </w:rPr>
      </w:pPr>
      <w:r>
        <w:rPr>
          <w:rFonts w:ascii="Arial" w:cs="Arial" w:eastAsia="Arial" w:hAnsi="Arial"/>
          <w:sz w:val="16"/>
          <w:szCs w:val="16"/>
          <w:color w:val="auto"/>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Post-approval requirements</w:t>
      </w:r>
    </w:p>
    <w:p>
      <w:pPr>
        <w:spacing w:after="0" w:line="122"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Once an NDA is approved, a product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00"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cGMPs.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07" w:lineRule="exact"/>
        <w:rPr>
          <w:sz w:val="20"/>
          <w:szCs w:val="20"/>
          <w:color w:val="auto"/>
        </w:rPr>
      </w:pPr>
    </w:p>
    <w:p>
      <w:pPr>
        <w:jc w:val="both"/>
        <w:ind w:left="200" w:right="500"/>
        <w:spacing w:after="0" w:line="238" w:lineRule="auto"/>
        <w:rPr>
          <w:sz w:val="20"/>
          <w:szCs w:val="20"/>
          <w:color w:val="auto"/>
        </w:rPr>
      </w:pPr>
      <w:r>
        <w:rPr>
          <w:rFonts w:ascii="Arial" w:cs="Arial" w:eastAsia="Arial" w:hAnsi="Arial"/>
          <w:sz w:val="18"/>
          <w:szCs w:val="18"/>
          <w:color w:val="auto"/>
        </w:rPr>
        <w:t>The FDA may withdraw approval of a product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14" w:lineRule="exact"/>
        <w:rPr>
          <w:sz w:val="20"/>
          <w:szCs w:val="20"/>
          <w:color w:val="auto"/>
        </w:rPr>
      </w:pPr>
    </w:p>
    <w:p>
      <w:pPr>
        <w:ind w:left="420" w:hanging="216"/>
        <w:spacing w:after="0"/>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fines, warning or untitled letters or holds on post-approval clinical studies;</w:t>
      </w:r>
    </w:p>
    <w:p>
      <w:pPr>
        <w:spacing w:after="0" w:line="117" w:lineRule="exact"/>
        <w:rPr>
          <w:rFonts w:ascii="Arial" w:cs="Arial" w:eastAsia="Arial" w:hAnsi="Arial"/>
          <w:sz w:val="18"/>
          <w:szCs w:val="18"/>
          <w:color w:val="auto"/>
        </w:rPr>
      </w:pPr>
    </w:p>
    <w:p>
      <w:pPr>
        <w:ind w:left="420" w:right="480" w:hanging="216"/>
        <w:spacing w:after="0" w:line="239" w:lineRule="auto"/>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2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In addition to regulations in the United States, we could become subject to a variety of foreign regulations regarding development, approval, commercial sales and distribution of our products if we seek to market our product candidates in other jurisdictions.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consumer fraud, pricing reporting, data privacy and security, and transparency laws and regulations as well as similar foreign laws in jurisdictions outside the U.S.</w:t>
      </w:r>
    </w:p>
    <w:p>
      <w:pPr>
        <w:spacing w:after="0" w:line="101"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240" w:top="459"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other federal healthcare programs.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and the civil monetary penalties statute. 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The federal Health Insurance Portability and Accountability Act of 1996, or HIPAA, created additional federal civil and criminal statutes that prohibit, among other things, knowingly and willfully executing a scheme to defraud any healthcare benefit program. Similar to the U.S. federal Anti-Kickback Statute, a person or entity does not need to have actual knowledge of the healthcare fraud statute implemented under HIPAA or specific intent to violate it in order to have committed a violation. 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and applicable manufacturers and applicable group purchasing organizations to report annually to CMS ownership and investment interests held by physicians and their immediate family members.</w:t>
      </w:r>
    </w:p>
    <w:p>
      <w:pPr>
        <w:spacing w:after="0" w:line="10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 Violation of any of such laws or any other governmental regulations that apply may result in penalties, including, without limitation, civil and criminal penalties, damages, fines, additional reporting obligation, the curtailment or restructuring of operations, exclusion from participation in governmental healthcare programs and individual imprisonment.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24"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HIPAA and state laws may differ from each other, which may complicate compliance efforts.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In addition, California enacted the California Consumer Privacy Act, or CCPA, which creates individual privacy rights for California consumers and increases the privacy and security obligations of entities handling certain personal data. The CCPA went into</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effect on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European Union member states, the United Kingdom, Switzerland and other jurisdictions have also adopted data protection laws and regulations, which impose significant compliance obligations. In the European Economic Area, or EEA, and the United Kingdom, the collection and use of personal data, including clinical trial data, is governed by the provisions of the General Data Protection Regulation, or GDPR. The GDPR became effective on May 25, 2018, repealing its predecessor directive and increasing responsibility and liability of pharmaceutical companies in relation to the processing of personal data of EU data subjects.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including health data from clinical trials and adverse event reporting. In particular, the GDPR includes obligations and restrictions concerning the consent of the individuals to whom the personal data relates, the information provided to such individuals, the transfer of personal data out of the EEA or the United Kingdom, security breach notifications, security and confidentiality of the personal data and imposition of substantial potential fines for breaches of the data protection obligations.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 that coverage and adequate reimbursement will be applied consistently or obtained in the first instance.</w:t>
      </w:r>
    </w:p>
    <w:p>
      <w:pPr>
        <w:spacing w:after="0" w:line="10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more and more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01"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4" w:lineRule="exact"/>
        <w:rPr>
          <w:sz w:val="20"/>
          <w:szCs w:val="20"/>
          <w:color w:val="auto"/>
        </w:rPr>
      </w:pPr>
    </w:p>
    <w:p>
      <w:pPr>
        <w:ind w:left="200" w:right="60"/>
        <w:spacing w:after="0" w:line="268" w:lineRule="auto"/>
        <w:rPr>
          <w:sz w:val="20"/>
          <w:szCs w:val="20"/>
          <w:color w:val="auto"/>
        </w:rPr>
      </w:pPr>
      <w:r>
        <w:rPr>
          <w:rFonts w:ascii="Arial" w:cs="Arial" w:eastAsia="Arial" w:hAnsi="Arial"/>
          <w:sz w:val="16"/>
          <w:szCs w:val="16"/>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or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282"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in 2017, Congress enacted the Tax Cuts and Jobs Act, which eliminated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ACA, and therefore, because it was repealed as part of the Tax Cuts and Jobs Act, the remaining provisions of the ACA are invalid as well. While the Texas U.S. District Court Judge, as well as the Trump Administration and CMS, have stated that the ruling will have no immediate effect, and on December 30, 2018 the Texas District Court Judge issued an order staying the judgment pending appeal, it is unclear how this decision, subsequent appeals, and other efforts to repeal and replace the ACA will impact the ACA.</w:t>
      </w:r>
    </w:p>
    <w:p>
      <w:pPr>
        <w:spacing w:after="0" w:line="10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through 2027 absent additional congressional action.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implementing regulations designed to control pharmaceutical product pricing, including price or patient reimbursement constraints, discounts, restrictions on certain product access and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Employees</w:t>
      </w:r>
    </w:p>
    <w:p>
      <w:pPr>
        <w:spacing w:after="0" w:line="134"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As of September 30, 2019, we had 90 full-time employees. 50 of our employees have M.D. or Ph.D. degrees. Within our workforce, 74 employees are engaged in research and development and 16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Facilities</w:t>
      </w:r>
    </w:p>
    <w:p>
      <w:pPr>
        <w:spacing w:after="0" w:line="134" w:lineRule="exact"/>
        <w:rPr>
          <w:sz w:val="20"/>
          <w:szCs w:val="20"/>
          <w:color w:val="auto"/>
        </w:rPr>
      </w:pPr>
    </w:p>
    <w:p>
      <w:pPr>
        <w:jc w:val="both"/>
        <w:ind w:left="200" w:right="260"/>
        <w:spacing w:after="0" w:line="238" w:lineRule="auto"/>
        <w:rPr>
          <w:sz w:val="20"/>
          <w:szCs w:val="20"/>
          <w:color w:val="auto"/>
        </w:rPr>
      </w:pPr>
      <w:r>
        <w:rPr>
          <w:rFonts w:ascii="Arial" w:cs="Arial" w:eastAsia="Arial" w:hAnsi="Arial"/>
          <w:sz w:val="18"/>
          <w:szCs w:val="18"/>
          <w:color w:val="auto"/>
        </w:rPr>
        <w:t>Our corporate headquarters is located in Redwood City, California, where we lease and occupy approximately 42,000 square feet of office and laboratory space. The current term of our Redwood City lease expires in April 2023, with an option to extend the term through January 2028.</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sublease approximately 3,000 square feet of additional laboratory space in Redwood City, California from OncoMed Pharmaceuticals, Inc.</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 month-to-month basis.</w:t>
      </w:r>
    </w:p>
    <w:p>
      <w:pPr>
        <w:spacing w:after="0" w:line="104"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color w:val="auto"/>
        </w:rPr>
        <w:t>We also lease approximately 22,000 square feet of office and laboratory space in Cambridge, Massachusetts. The current term of our Cambridge lease expires in February 2023, with an option to extend the term through February 2028, subject to certain conditions. We have subleased this office and laboratory space to Casma Therapeutics, Inc. The current term of this sublease expires in February 2023.</w:t>
      </w:r>
    </w:p>
    <w:p>
      <w:pPr>
        <w:spacing w:after="0" w:line="70" w:lineRule="exact"/>
        <w:rPr>
          <w:sz w:val="20"/>
          <w:szCs w:val="20"/>
          <w:color w:val="auto"/>
        </w:rPr>
      </w:pPr>
    </w:p>
    <w:p>
      <w:pPr>
        <w:jc w:val="both"/>
        <w:ind w:left="200" w:right="400"/>
        <w:spacing w:after="0" w:line="238" w:lineRule="auto"/>
        <w:rPr>
          <w:sz w:val="20"/>
          <w:szCs w:val="20"/>
          <w:color w:val="auto"/>
        </w:rPr>
      </w:pPr>
      <w:r>
        <w:rPr>
          <w:rFonts w:ascii="Arial" w:cs="Arial" w:eastAsia="Arial" w:hAnsi="Arial"/>
          <w:sz w:val="18"/>
          <w:szCs w:val="18"/>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Legal proceedings</w:t>
      </w:r>
    </w:p>
    <w:p>
      <w:pPr>
        <w:spacing w:after="0" w:line="134" w:lineRule="exact"/>
        <w:rPr>
          <w:sz w:val="20"/>
          <w:szCs w:val="20"/>
          <w:color w:val="auto"/>
        </w:rPr>
      </w:pPr>
    </w:p>
    <w:p>
      <w:pPr>
        <w:ind w:left="200" w:right="60"/>
        <w:spacing w:after="0" w:line="271" w:lineRule="auto"/>
        <w:rPr>
          <w:sz w:val="20"/>
          <w:szCs w:val="20"/>
          <w:color w:val="auto"/>
        </w:rPr>
      </w:pPr>
      <w:r>
        <w:rPr>
          <w:rFonts w:ascii="Arial" w:cs="Arial" w:eastAsia="Arial" w:hAnsi="Arial"/>
          <w:sz w:val="16"/>
          <w:szCs w:val="16"/>
          <w:color w:val="auto"/>
        </w:rPr>
        <w:t>On February 7, 2020, former employees, Hirdesh Uppal and Catriona Carey, filed lawsuits against us in the Superior Court of the State of California, San Mateo County. Following their termination in March 2019, the plaintiffs allege wrongful termination in violation of public policy, retaliatory termination in violation of the California labor code and defamation. Plaintiffs seek compensatory and punitive damages, general emotional distress damages, prejudgment interest, cost of the lawsuit and attorneys’ fees. We have carefully evaluated the plaintiffs’ claims and believe that we have substantial and meritorious defenses to those claims and intend to vigorously and aggressively defend our position. We do not believe this matter will have a material adverse effect on our financial position, results of operations or cash flows.</w:t>
      </w:r>
    </w:p>
    <w:p>
      <w:pPr>
        <w:spacing w:after="0" w:line="77" w:lineRule="exact"/>
        <w:rPr>
          <w:sz w:val="20"/>
          <w:szCs w:val="20"/>
          <w:color w:val="auto"/>
        </w:rPr>
      </w:pPr>
    </w:p>
    <w:p>
      <w:pPr>
        <w:ind w:left="200" w:right="520"/>
        <w:spacing w:after="0" w:line="237" w:lineRule="auto"/>
        <w:rPr>
          <w:sz w:val="20"/>
          <w:szCs w:val="20"/>
          <w:color w:val="auto"/>
        </w:rPr>
      </w:pPr>
      <w:r>
        <w:rPr>
          <w:rFonts w:ascii="Arial" w:cs="Arial" w:eastAsia="Arial" w:hAnsi="Arial"/>
          <w:sz w:val="18"/>
          <w:szCs w:val="18"/>
          <w:color w:val="auto"/>
        </w:rPr>
        <w:t>In addition, from time to time, we may become involved in other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Management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officers and directors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Age</w:t>
            </w:r>
          </w:p>
        </w:tc>
        <w:tc>
          <w:tcPr>
            <w:tcW w:w="6180" w:type="dxa"/>
            <w:vAlign w:val="bottom"/>
          </w:tcPr>
          <w:p>
            <w:pPr>
              <w:ind w:left="120"/>
              <w:spacing w:after="0"/>
              <w:rPr>
                <w:sz w:val="20"/>
                <w:szCs w:val="20"/>
                <w:color w:val="auto"/>
              </w:rPr>
            </w:pPr>
            <w:r>
              <w:rPr>
                <w:rFonts w:ascii="Arial" w:cs="Arial" w:eastAsia="Arial" w:hAnsi="Arial"/>
                <w:sz w:val="18"/>
                <w:szCs w:val="18"/>
                <w:b w:val="1"/>
                <w:bCs w:val="1"/>
                <w:color w:val="auto"/>
              </w:rPr>
              <w:t>Position(s)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92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1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Executive Officers and Employee Director</w:t>
            </w:r>
          </w:p>
        </w:tc>
        <w:tc>
          <w:tcPr>
            <w:tcW w:w="92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940" w:type="dxa"/>
            <w:vAlign w:val="bottom"/>
            <w:gridSpan w:val="2"/>
          </w:tcPr>
          <w:p>
            <w:pPr>
              <w:spacing w:after="0"/>
              <w:rPr>
                <w:sz w:val="20"/>
                <w:szCs w:val="20"/>
                <w:color w:val="auto"/>
              </w:rPr>
            </w:pPr>
            <w:r>
              <w:rPr>
                <w:rFonts w:ascii="Arial" w:cs="Arial" w:eastAsia="Arial" w:hAnsi="Arial"/>
                <w:sz w:val="18"/>
                <w:szCs w:val="18"/>
                <w:color w:val="auto"/>
              </w:rPr>
              <w:t>Mark A. Goldsmith, M.D., Ph.D.</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618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43"/>
        </w:trPr>
        <w:tc>
          <w:tcPr>
            <w:tcW w:w="39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 Kelsey, M.D., FRCP, FRCPath</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58</w:t>
            </w:r>
          </w:p>
        </w:tc>
        <w:tc>
          <w:tcPr>
            <w:tcW w:w="6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President, Research and Development</w:t>
            </w:r>
          </w:p>
        </w:tc>
        <w:tc>
          <w:tcPr>
            <w:tcW w:w="0" w:type="dxa"/>
            <w:vAlign w:val="bottom"/>
          </w:tcPr>
          <w:p>
            <w:pPr>
              <w:spacing w:after="0"/>
              <w:rPr>
                <w:sz w:val="1"/>
                <w:szCs w:val="1"/>
                <w:color w:val="auto"/>
              </w:rPr>
            </w:pPr>
          </w:p>
        </w:tc>
      </w:tr>
      <w:tr>
        <w:trPr>
          <w:trHeight w:val="268"/>
        </w:trPr>
        <w:tc>
          <w:tcPr>
            <w:tcW w:w="3940" w:type="dxa"/>
            <w:vAlign w:val="bottom"/>
            <w:gridSpan w:val="2"/>
          </w:tcPr>
          <w:p>
            <w:pPr>
              <w:spacing w:after="0"/>
              <w:rPr>
                <w:sz w:val="20"/>
                <w:szCs w:val="20"/>
                <w:color w:val="auto"/>
              </w:rPr>
            </w:pPr>
            <w:r>
              <w:rPr>
                <w:rFonts w:ascii="Arial" w:cs="Arial" w:eastAsia="Arial" w:hAnsi="Arial"/>
                <w:sz w:val="18"/>
                <w:szCs w:val="18"/>
                <w:color w:val="auto"/>
              </w:rPr>
              <w:t>Margaret Horn, J.D.</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6180" w:type="dxa"/>
            <w:vAlign w:val="bottom"/>
          </w:tcPr>
          <w:p>
            <w:pPr>
              <w:ind w:left="120"/>
              <w:spacing w:after="0"/>
              <w:rPr>
                <w:sz w:val="20"/>
                <w:szCs w:val="20"/>
                <w:color w:val="auto"/>
              </w:rPr>
            </w:pPr>
            <w:r>
              <w:rPr>
                <w:rFonts w:ascii="Arial" w:cs="Arial" w:eastAsia="Arial" w:hAnsi="Arial"/>
                <w:sz w:val="18"/>
                <w:szCs w:val="18"/>
                <w:color w:val="auto"/>
              </w:rPr>
              <w:t>Chief Operating Officer and General Counsel</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Key Employees</w:t>
            </w:r>
          </w:p>
        </w:tc>
        <w:tc>
          <w:tcPr>
            <w:tcW w:w="92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940" w:type="dxa"/>
            <w:vAlign w:val="bottom"/>
            <w:gridSpan w:val="2"/>
          </w:tcPr>
          <w:p>
            <w:pPr>
              <w:spacing w:after="0"/>
              <w:rPr>
                <w:sz w:val="20"/>
                <w:szCs w:val="20"/>
                <w:color w:val="auto"/>
              </w:rPr>
            </w:pPr>
            <w:r>
              <w:rPr>
                <w:rFonts w:ascii="Arial" w:cs="Arial" w:eastAsia="Arial" w:hAnsi="Arial"/>
                <w:sz w:val="18"/>
                <w:szCs w:val="18"/>
                <w:color w:val="auto"/>
              </w:rPr>
              <w:t>Jack Anders</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6180" w:type="dxa"/>
            <w:vAlign w:val="bottom"/>
          </w:tcPr>
          <w:p>
            <w:pPr>
              <w:ind w:left="120"/>
              <w:spacing w:after="0"/>
              <w:rPr>
                <w:sz w:val="20"/>
                <w:szCs w:val="20"/>
                <w:color w:val="auto"/>
              </w:rPr>
            </w:pPr>
            <w:r>
              <w:rPr>
                <w:rFonts w:ascii="Arial" w:cs="Arial" w:eastAsia="Arial" w:hAnsi="Arial"/>
                <w:sz w:val="18"/>
                <w:szCs w:val="18"/>
                <w:color w:val="auto"/>
              </w:rPr>
              <w:t>Vice President, Finance and Principal Accounting Officer</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Non-Employee Directors</w:t>
            </w:r>
          </w:p>
        </w:tc>
        <w:tc>
          <w:tcPr>
            <w:tcW w:w="92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940" w:type="dxa"/>
            <w:vAlign w:val="bottom"/>
            <w:gridSpan w:val="2"/>
          </w:tcPr>
          <w:p>
            <w:pPr>
              <w:spacing w:after="0"/>
              <w:rPr>
                <w:sz w:val="20"/>
                <w:szCs w:val="20"/>
                <w:color w:val="auto"/>
              </w:rPr>
            </w:pPr>
            <w:r>
              <w:rPr>
                <w:rFonts w:ascii="Arial" w:cs="Arial" w:eastAsia="Arial" w:hAnsi="Arial"/>
                <w:sz w:val="18"/>
                <w:szCs w:val="18"/>
                <w:color w:val="auto"/>
              </w:rPr>
              <w:t>Elizabeth McKee Anderson(2)</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61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
        </w:trPr>
        <w:tc>
          <w:tcPr>
            <w:tcW w:w="39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Alexis Borisy(2)(3)</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47</w:t>
            </w:r>
          </w:p>
        </w:tc>
        <w:tc>
          <w:tcPr>
            <w:tcW w:w="6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8"/>
        </w:trPr>
        <w:tc>
          <w:tcPr>
            <w:tcW w:w="3940" w:type="dxa"/>
            <w:vAlign w:val="bottom"/>
            <w:gridSpan w:val="2"/>
          </w:tcPr>
          <w:p>
            <w:pPr>
              <w:spacing w:after="0"/>
              <w:rPr>
                <w:sz w:val="20"/>
                <w:szCs w:val="20"/>
                <w:color w:val="auto"/>
              </w:rPr>
            </w:pPr>
            <w:r>
              <w:rPr>
                <w:rFonts w:ascii="Arial" w:cs="Arial" w:eastAsia="Arial" w:hAnsi="Arial"/>
                <w:sz w:val="18"/>
                <w:szCs w:val="18"/>
                <w:color w:val="auto"/>
              </w:rPr>
              <w:t>Neil Exter(1)</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61</w:t>
            </w:r>
          </w:p>
        </w:tc>
        <w:tc>
          <w:tcPr>
            <w:tcW w:w="61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
        </w:trPr>
        <w:tc>
          <w:tcPr>
            <w:tcW w:w="39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Larry Lasky, Ph.D.(3)</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68</w:t>
            </w:r>
          </w:p>
        </w:tc>
        <w:tc>
          <w:tcPr>
            <w:tcW w:w="6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8"/>
        </w:trPr>
        <w:tc>
          <w:tcPr>
            <w:tcW w:w="3940" w:type="dxa"/>
            <w:vAlign w:val="bottom"/>
            <w:gridSpan w:val="2"/>
          </w:tcPr>
          <w:p>
            <w:pPr>
              <w:spacing w:after="0"/>
              <w:rPr>
                <w:sz w:val="20"/>
                <w:szCs w:val="20"/>
                <w:color w:val="auto"/>
              </w:rPr>
            </w:pPr>
            <w:r>
              <w:rPr>
                <w:rFonts w:ascii="Arial" w:cs="Arial" w:eastAsia="Arial" w:hAnsi="Arial"/>
                <w:sz w:val="18"/>
                <w:szCs w:val="18"/>
                <w:color w:val="auto"/>
              </w:rPr>
              <w:t>Vincent A. Miller, M.D.(2)(3)</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61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
        </w:trPr>
        <w:tc>
          <w:tcPr>
            <w:tcW w:w="39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Thilo Schroeder, Ph.D.(1)</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38</w:t>
            </w:r>
          </w:p>
        </w:tc>
        <w:tc>
          <w:tcPr>
            <w:tcW w:w="6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9"/>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Barbara Weber, M.D.(1)</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63</w:t>
            </w:r>
          </w:p>
        </w:tc>
        <w:tc>
          <w:tcPr>
            <w:tcW w:w="6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20" w:hanging="316"/>
        <w:spacing w:after="0"/>
        <w:tabs>
          <w:tab w:leader="none" w:pos="5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officers and employee director</w:t>
      </w:r>
    </w:p>
    <w:p>
      <w:pPr>
        <w:spacing w:after="0" w:line="114" w:lineRule="exact"/>
        <w:rPr>
          <w:sz w:val="20"/>
          <w:szCs w:val="20"/>
          <w:color w:val="auto"/>
        </w:rPr>
      </w:pPr>
    </w:p>
    <w:p>
      <w:pPr>
        <w:ind w:left="200" w:right="40"/>
        <w:spacing w:after="0" w:line="266" w:lineRule="auto"/>
        <w:rPr>
          <w:sz w:val="20"/>
          <w:szCs w:val="20"/>
          <w:color w:val="auto"/>
        </w:rPr>
      </w:pPr>
      <w:r>
        <w:rPr>
          <w:rFonts w:ascii="Arial" w:cs="Arial" w:eastAsia="Arial" w:hAnsi="Arial"/>
          <w:sz w:val="16"/>
          <w:szCs w:val="16"/>
          <w:b w:val="1"/>
          <w:bCs w:val="1"/>
          <w:i w:val="1"/>
          <w:iCs w:val="1"/>
          <w:color w:val="auto"/>
        </w:rPr>
        <w:t xml:space="preserve">Mark A. Goldsmith, M.D., Ph.D. </w:t>
      </w:r>
      <w:r>
        <w:rPr>
          <w:rFonts w:ascii="Arial" w:cs="Arial" w:eastAsia="Arial" w:hAnsi="Arial"/>
          <w:sz w:val="16"/>
          <w:szCs w:val="16"/>
          <w:color w:val="auto"/>
        </w:rPr>
        <w:t>has served as a member of our board of directors and as our President and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2014. Since 2009, Dr. Goldsmith has served as a member of the board of directors of Constellation Pharmaceuticals, Inc., a biopharmaceutical company, where he also served as President and Chief Executive Officer from 2009 to 2012, as Chairman from 2012 to June 2016 and from March 2017 to present, and as Interim Executive Chairman from June 2016 to March 2017. Dr. Goldsmith was previously a Partner with Third Rock Ventures, a life sciences venture capital firm, from 2013 to 2015, and a Venture Partner with Third Rock from 2012 to 2013. Dr. Goldsmith served as President and Chief Executive Officer and as a member of the board of directors of Global Blood Therapeutics, a biopharmaceutical company, from 2012 to 2014. Dr. Goldsmith also served as President and Chief Executive Officer of Nurix, Inc., a drug discovery company, from 2012 to 2014. Before entering the private sector, Dr. Goldsmith led a medical research laboratory at the Gladstone Institute of Virology and Immunology, practiced medicine on the faculty of the School of Medicine of the University of California, San Francisco and the San Francisco General Hospital, and was a consultant to leading pharmaceutical and biotechnology companies.</w:t>
      </w:r>
    </w:p>
    <w:p>
      <w:pPr>
        <w:spacing w:after="0" w:line="7"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Dr. Goldsmith received an A.B. from Princeton University in Biology and an M.D. and Ph.D. in Microbiology and Immunology from the School of Medicine of the University of California, San Francisco. We believe that Dr. Goldsmith’s role as our President and Chief Executive Officer together with his extensive experience as an executive and director of several</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companies in the biopharmaceutical and biotechnology industry, his extensive knowledge of our company, his experience as a venture capital investor in the life sciences industry and his educational background provide him with the qualifications and skills necessary to serve as a member of our board of directors.</w:t>
      </w:r>
    </w:p>
    <w:p>
      <w:pPr>
        <w:spacing w:after="0" w:line="80" w:lineRule="exact"/>
        <w:rPr>
          <w:sz w:val="20"/>
          <w:szCs w:val="20"/>
          <w:color w:val="auto"/>
        </w:rPr>
      </w:pPr>
    </w:p>
    <w:p>
      <w:pPr>
        <w:ind w:left="200" w:right="340"/>
        <w:spacing w:after="0"/>
        <w:rPr>
          <w:sz w:val="20"/>
          <w:szCs w:val="20"/>
          <w:color w:val="auto"/>
        </w:rPr>
      </w:pPr>
      <w:r>
        <w:rPr>
          <w:rFonts w:ascii="Arial" w:cs="Arial" w:eastAsia="Arial" w:hAnsi="Arial"/>
          <w:sz w:val="18"/>
          <w:szCs w:val="18"/>
          <w:b w:val="1"/>
          <w:bCs w:val="1"/>
          <w:i w:val="1"/>
          <w:iCs w:val="1"/>
          <w:color w:val="auto"/>
        </w:rPr>
        <w:t xml:space="preserve">Steve Kelsey, M.D., FRCP, FRCPath </w:t>
      </w:r>
      <w:r>
        <w:rPr>
          <w:rFonts w:ascii="Arial" w:cs="Arial" w:eastAsia="Arial" w:hAnsi="Arial"/>
          <w:sz w:val="18"/>
          <w:szCs w:val="18"/>
          <w:color w:val="auto"/>
        </w:rPr>
        <w:t>has served as our President, Research and Development since March 2017. Previously, Dr. Kelsey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President of Onkaido Therapeutics, a Moderna venture biopharmaceutical company, from 2014 to March 2017. Dr. Kelsey also served as Senior Vice President, New Projects at Medivation, a biopharmaceutical company, from 2013 to 2014. From 2009 to 2013, Dr. Kelsey served as Executive Vice President, Research and Development, and Chief Medical Officer at Geron Corporation, a biopharmaceutical company. Dr. Kelsey received a B.S.c in Pharmacology, an M.B. Ch.B. in Medicine and an M.D. from the University of Birmingham, U.K.</w:t>
      </w:r>
    </w:p>
    <w:p>
      <w:pPr>
        <w:spacing w:after="0" w:line="82" w:lineRule="exact"/>
        <w:rPr>
          <w:sz w:val="20"/>
          <w:szCs w:val="20"/>
          <w:color w:val="auto"/>
        </w:rPr>
      </w:pPr>
    </w:p>
    <w:p>
      <w:pPr>
        <w:ind w:left="200" w:right="80"/>
        <w:spacing w:after="0" w:line="244" w:lineRule="auto"/>
        <w:rPr>
          <w:sz w:val="20"/>
          <w:szCs w:val="20"/>
          <w:color w:val="auto"/>
        </w:rPr>
      </w:pPr>
      <w:r>
        <w:rPr>
          <w:rFonts w:ascii="Arial" w:cs="Arial" w:eastAsia="Arial" w:hAnsi="Arial"/>
          <w:sz w:val="18"/>
          <w:szCs w:val="18"/>
          <w:b w:val="1"/>
          <w:bCs w:val="1"/>
          <w:i w:val="1"/>
          <w:iCs w:val="1"/>
          <w:color w:val="auto"/>
        </w:rPr>
        <w:t xml:space="preserve">Margaret Horn, J.D. </w:t>
      </w:r>
      <w:r>
        <w:rPr>
          <w:rFonts w:ascii="Arial" w:cs="Arial" w:eastAsia="Arial" w:hAnsi="Arial"/>
          <w:sz w:val="18"/>
          <w:szCs w:val="18"/>
          <w:color w:val="auto"/>
        </w:rPr>
        <w:t>has served as our Chief Operating Officer since October 2018 and our General Counsel since December 2014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served as our Executive Vice President from December 2014 to October 2018. Prior to joining us, Ms. Horn served as Chief Operating Officer at ProLynx LLC from 2010 to December 2014. Ms. Horn received a B.S. in Pharmacy from the University of the Sciences in Philadelphia and a J.D. from Villanova University Charles Widger School of Law.</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Key employees</w:t>
      </w:r>
    </w:p>
    <w:p>
      <w:pPr>
        <w:spacing w:after="0" w:line="114" w:lineRule="exact"/>
        <w:rPr>
          <w:sz w:val="20"/>
          <w:szCs w:val="20"/>
          <w:color w:val="auto"/>
        </w:rPr>
      </w:pPr>
    </w:p>
    <w:p>
      <w:pPr>
        <w:ind w:left="200" w:right="180"/>
        <w:spacing w:after="0" w:line="294" w:lineRule="auto"/>
        <w:rPr>
          <w:sz w:val="20"/>
          <w:szCs w:val="20"/>
          <w:color w:val="auto"/>
        </w:rPr>
      </w:pPr>
      <w:r>
        <w:rPr>
          <w:rFonts w:ascii="Arial" w:cs="Arial" w:eastAsia="Arial" w:hAnsi="Arial"/>
          <w:sz w:val="16"/>
          <w:szCs w:val="16"/>
          <w:b w:val="1"/>
          <w:bCs w:val="1"/>
          <w:i w:val="1"/>
          <w:iCs w:val="1"/>
          <w:color w:val="auto"/>
        </w:rPr>
        <w:t xml:space="preserve">Jack Anders </w:t>
      </w:r>
      <w:r>
        <w:rPr>
          <w:rFonts w:ascii="Arial" w:cs="Arial" w:eastAsia="Arial" w:hAnsi="Arial"/>
          <w:sz w:val="16"/>
          <w:szCs w:val="16"/>
          <w:color w:val="auto"/>
        </w:rPr>
        <w:t>has served as our Vice President, Finance since August 2018. Prior to joining us, Mr. Anders served in various roles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Depomed, Inc. from 2006 to July 2018, including most recently as Vice President, Finance from 2013 to 2018. Mr. Anders received a B.A. in Economics with an emphasis in Accounting from the University of California, Los Angeles and is a former certified public accountant.</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Non-employee directors</w:t>
      </w:r>
    </w:p>
    <w:p>
      <w:pPr>
        <w:spacing w:after="0" w:line="114"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b w:val="1"/>
          <w:bCs w:val="1"/>
          <w:i w:val="1"/>
          <w:iCs w:val="1"/>
          <w:color w:val="auto"/>
        </w:rPr>
        <w:t xml:space="preserve">Elizabeth McKee Anderson </w:t>
      </w:r>
      <w:r>
        <w:rPr>
          <w:rFonts w:ascii="Arial" w:cs="Arial" w:eastAsia="Arial" w:hAnsi="Arial"/>
          <w:sz w:val="16"/>
          <w:szCs w:val="16"/>
          <w:color w:val="auto"/>
        </w:rPr>
        <w:t>has served as member of our board of directors since March 2015. Ms. Anderson has served as a member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of directors of BioMarin Pharmaceutical, a biotechnology company, since July 2019. Since November 2018, Ms. Anderson has served as a member of the board of directors of Insmed Incorporated, a biopharmaceutical company. Ms. Anderson has also served as a member of the board of directors of Huntsworth PLC, a healthcare communications group, since January 2018 and Bavarian Nordic A/S, a biotechnology company, since April 2017. Ms. Anderson previously served in various roles at Janssen Pharmaceuticals, Inc., a Johnson &amp; Johnson company focusing on pharmaceuticals, from 2003 to 2014, most recently as Worldwide Vice President, Commercial Leader, Infectious Diseases and Vaccines, from 2012 to 2014 and Worldwide Vice President, Global Strategic Marketing and Market Access, Vaccines from 2009 to 2012. Prior to that, Ms. Anderson served as Vice President and General Manager for Wyeth Lederle Vaccines, a pharmaceutical company. Ms. Anderson received a B.Eng. in Engineering and Technical Management from Rutgers, The State University of New Jersey-New Brunswick and an M.B.A. in Finance from Loyola University of Maryland. We believe that Ms. Anderson’s extensive experience in biotechnology and pharmaceutical companies and in serving on the boards of directors of biopharmaceutical and life sciences companies provides her with the qualifications and skills necessary to serve as a member of our board of directors.</w:t>
      </w:r>
    </w:p>
    <w:p>
      <w:pPr>
        <w:spacing w:after="0" w:line="262" w:lineRule="exact"/>
        <w:rPr>
          <w:sz w:val="20"/>
          <w:szCs w:val="20"/>
          <w:color w:val="auto"/>
        </w:rPr>
      </w:pPr>
    </w:p>
    <w:p>
      <w:pPr>
        <w:ind w:left="200" w:right="100"/>
        <w:spacing w:after="0" w:line="241" w:lineRule="auto"/>
        <w:rPr>
          <w:sz w:val="20"/>
          <w:szCs w:val="20"/>
          <w:color w:val="auto"/>
        </w:rPr>
      </w:pPr>
      <w:r>
        <w:rPr>
          <w:rFonts w:ascii="Arial" w:cs="Arial" w:eastAsia="Arial" w:hAnsi="Arial"/>
          <w:sz w:val="18"/>
          <w:szCs w:val="18"/>
          <w:b w:val="1"/>
          <w:bCs w:val="1"/>
          <w:i w:val="1"/>
          <w:iCs w:val="1"/>
          <w:color w:val="auto"/>
        </w:rPr>
        <w:t xml:space="preserve">Alexis Borisy </w:t>
      </w:r>
      <w:r>
        <w:rPr>
          <w:rFonts w:ascii="Arial" w:cs="Arial" w:eastAsia="Arial" w:hAnsi="Arial"/>
          <w:sz w:val="18"/>
          <w:szCs w:val="18"/>
          <w:color w:val="auto"/>
        </w:rPr>
        <w:t>has served as a member of our board of directors since November 2014. Mr. Borisy currently serves as the Chairman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EQRx, Inc., a biotechnology company. From 2010 to June 2019, Mr. Borisy was a Partner at Third Rock Ventures. Since June 2015, Mr. Borisy has served as a member of the board of directors of Magenta Therapeutics, Inc., a biopharmaceutical company. Mr. Borisy co-founded Blueprint Medicines Corporation, a biopharmaceutical company, and served as its Interim Chief Executive Officer from 2013 to 2014 and has served as a member of its board of directors since 2011. Mr. Borisy</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co-founded Foundation Medicine, Inc., or Foundation Medicine, a biotechnology company, where he served as its Interim Chief Executive Officer from 2009 to 2011 and served as a member of its board of directors from 2009 to July 2018, including as Chairman from 2011 to February 2017. Mr. Borisy previously served as a member of the board of directors of Editas Medicine, Inc., a pharmaceutical company, from 2013 to March 2018.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57"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b w:val="1"/>
          <w:bCs w:val="1"/>
          <w:i w:val="1"/>
          <w:iCs w:val="1"/>
          <w:color w:val="auto"/>
        </w:rPr>
        <w:t xml:space="preserve">Neil Exter </w:t>
      </w:r>
      <w:r>
        <w:rPr>
          <w:rFonts w:ascii="Arial" w:cs="Arial" w:eastAsia="Arial" w:hAnsi="Arial"/>
          <w:sz w:val="18"/>
          <w:szCs w:val="18"/>
          <w:color w:val="auto"/>
        </w:rPr>
        <w:t>has served as a member of our board of directors during his current term since July 2019. Mr. Exter previously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our board of directors from November 2014 to March 2016. Mr. Exter has been a Partner at Third Rock Ventures since 2007. Prior to joining Third Rock Ventures, Mr. Exter was Chief Business Officer of Alantos Pharmaceuticals from 2006 until its acquisition by Amgen in 2007. Previously, he served as Vice President of Business Development for Millennium Pharmaceuticals from 2002 to 2006. Mr. Exter previously served as a member of the boards of directors of CytomX Therapeutics, a biopharmaceutical company, from December 2010 to December 2017, and Rhythm Pharmaceuticals, a biopharmaceutical company, from 2014 to June 2019. He is a member of the Research Committee of Children’s Hospital Boston, the investment committee of the Innovation Research Fund at Partners Healthcare, and the board of directors of the New England Venture Capital Association. Mr. Exter received a B.S. from Cornell University, an M.S. from Stanford University, and an M.B.A. as a Baker Scholar from Harvard Business School. We believe that Mr. Exter’s extensive experience as a venture capital investor in, and director of, several biotechnology companies, provides him with the qualifications and skills necessary to serve as a member of our board of directors.</w:t>
      </w:r>
    </w:p>
    <w:p>
      <w:pPr>
        <w:spacing w:after="0" w:line="88"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i w:val="1"/>
          <w:iCs w:val="1"/>
          <w:color w:val="auto"/>
        </w:rPr>
        <w:t xml:space="preserve">Larry Lasky, Ph.D. </w:t>
      </w:r>
      <w:r>
        <w:rPr>
          <w:rFonts w:ascii="Arial" w:cs="Arial" w:eastAsia="Arial" w:hAnsi="Arial"/>
          <w:sz w:val="18"/>
          <w:szCs w:val="18"/>
          <w:color w:val="auto"/>
        </w:rPr>
        <w:t>has served as a member of our board of directors since December 2016. Since May 2014, Dr. Lasky has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at The Column Group, a healthcare venture capital firm. Dr. Lasky served as a member of the board of directors of OncoMed Pharmaceuticals, Inc., a biopharmaceutical company, from 2004 to June 2018. From 2007 to May 2014, Dr. Lasky was a Partner of U.S. Venture Partners, a venture capital firm, focusing on investments in biotechnology companies. From 2002 to 2007, Dr. Lasky was a General Partner of Latterell Venture Partners, a healthcare venture capital firm that he co-founded. From 1982 to 2002, Dr. Lasky was a leading scientist at Genentech, where he attained the position of Genentech Fellow. Dr. Lasky received a B.A. in Music and Molecular Biology and a Ph.D. in Molecular Biology from the University of California, Los Angeles. We believe that Dr. Lasky’s scientific expertise in biotechnology, and his extensive experience as a venture capital investor in, and director of, biotechnology companies, provide him with the qualifications and skills necessary to serve as a member of our board of directors.</w:t>
      </w:r>
    </w:p>
    <w:p>
      <w:pPr>
        <w:spacing w:after="0" w:line="8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b w:val="1"/>
          <w:bCs w:val="1"/>
          <w:i w:val="1"/>
          <w:iCs w:val="1"/>
          <w:color w:val="auto"/>
        </w:rPr>
        <w:t xml:space="preserve">Vincent A. Miller, M.D. </w:t>
      </w:r>
      <w:r>
        <w:rPr>
          <w:rFonts w:ascii="Arial" w:cs="Arial" w:eastAsia="Arial" w:hAnsi="Arial"/>
          <w:sz w:val="18"/>
          <w:szCs w:val="18"/>
          <w:color w:val="auto"/>
        </w:rPr>
        <w:t>has served as a member of our board of directors since September 2017. Since April 2019, Dr. Miller has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Advisor to Foundation Medicines. Previously, Dr. Miller served as Foundation Medicine’s Senior Vice President, Clinical Development from 2011 to 2013 and served as Foundation Medicine’s Chief Medical Officer from 2013 to April 2019. From 1991 to 2011, Dr. Miller served as an Attending Physician at Memorial Sloan-Kettering Cancer Center. Since 2011, Dr. Miller has served as a Consulting Physician, at Memorial Sloan-Kettering Cancer Center. Dr. Miller received a B.A. from the University of Pennsylvania in Mathematics and an M.D. from the University of Medicine and Dentistry of New Jersey in Newark. We believe that Dr. Miller’s experience in the biotechnology industry, his extensive experience practicing medicine and his educational background provide him with the qualifications and skills necessary to serve as a member of our board of directors.</w:t>
      </w:r>
    </w:p>
    <w:p>
      <w:pPr>
        <w:spacing w:after="0" w:line="87" w:lineRule="exact"/>
        <w:rPr>
          <w:sz w:val="20"/>
          <w:szCs w:val="20"/>
          <w:color w:val="auto"/>
        </w:rPr>
      </w:pPr>
    </w:p>
    <w:p>
      <w:pPr>
        <w:ind w:left="200" w:right="120"/>
        <w:spacing w:after="0" w:line="262" w:lineRule="auto"/>
        <w:rPr>
          <w:sz w:val="20"/>
          <w:szCs w:val="20"/>
          <w:color w:val="auto"/>
        </w:rPr>
      </w:pPr>
      <w:r>
        <w:rPr>
          <w:rFonts w:ascii="Arial" w:cs="Arial" w:eastAsia="Arial" w:hAnsi="Arial"/>
          <w:sz w:val="18"/>
          <w:szCs w:val="18"/>
          <w:b w:val="1"/>
          <w:bCs w:val="1"/>
          <w:i w:val="1"/>
          <w:iCs w:val="1"/>
          <w:color w:val="auto"/>
        </w:rPr>
        <w:t xml:space="preserve">Thilo Schroeder, Ph.D. </w:t>
      </w:r>
      <w:r>
        <w:rPr>
          <w:rFonts w:ascii="Arial" w:cs="Arial" w:eastAsia="Arial" w:hAnsi="Arial"/>
          <w:sz w:val="18"/>
          <w:szCs w:val="18"/>
          <w:color w:val="auto"/>
        </w:rPr>
        <w:t>has served as a member of our board of directors since March 2018. Since 2012, Dr. Schroeder has been a Partner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Nextech Invest Ltd., or Nextech, a venture capital fund focused on investing</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in oncology companies. Since January 2018, Dr. Schroeder has served as a member of the board of directors of IDEAYA Biosciences, Inc., an oncology-focused biotechnology company. He also serves as a member of the board of directors of ImaginAB, Inc., an immune-oncology imaging company. Dr. Schroeder also served as a member of the board of directors of Blueprint Medicines Corp., a biopharmaceutical company, from 2014 to May 2015. Prior to joining Nextech in 2012, Dr. Schroeder worked in research specializing on the development of Designed Ankyrin Repeat Proteins (DARPins) as specific protein inhibitors from 2007 to 2012. Dr. Schroeder received a B.S. in Biology from the Technical University of Darmstadt in Germany, an M.S. in Biotechnology from the École de Supérieure de Biotechnologie de Strasbourg in France, and a Ph.D. in Biochemistry from the University of Zurich in Switzerland. We believe that Dr. Schroeder’s educational background, his experience as a board member of biotechnology and pharmaceutical companies, and his experience as an investor in life sciences companies provide him with the qualifications and skills necessary to serve as a member of our board of directors.</w:t>
      </w:r>
    </w:p>
    <w:p>
      <w:pPr>
        <w:spacing w:after="0" w:line="62"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b w:val="1"/>
          <w:bCs w:val="1"/>
          <w:i w:val="1"/>
          <w:iCs w:val="1"/>
          <w:color w:val="auto"/>
        </w:rPr>
        <w:t xml:space="preserve">Barbara Weber, M.D. </w:t>
      </w:r>
      <w:r>
        <w:rPr>
          <w:rFonts w:ascii="Arial" w:cs="Arial" w:eastAsia="Arial" w:hAnsi="Arial"/>
          <w:sz w:val="18"/>
          <w:szCs w:val="18"/>
          <w:color w:val="auto"/>
        </w:rPr>
        <w:t>has served as a member of our board of directors since April 2018. Since September 2017, Dr. Weber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President and Chief Executive Officer of Tango Therapeutics, Inc., a biotechnology company. Dr. Weber has been a Venture Partner at Third Rock Ventures since March 2015 and from April 2015 to September 2017 she served as Interim Chief Executive Officer at Neon Therapeutics, Inc., a biotechnology company. From 2009 to February 2015, Dr. Weber served as Senior Vice President, Oncology Translation Medicine at Novartis. Dr. Weber received a B.S. in Chemistry from the University of Washington and an M.D. from the University of Washington School of Medicine and was a resident in internal medicine at Yale University. We believe that Dr. Weber’s experience as an officer and director of other biotechnology companies and her educational background provide her with the qualifications and skills necessary to serve as a member of our board of directors.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composition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board of directors currently consists of eight members. Our board of directors has determined that all of our directors, other than</w:t>
      </w:r>
    </w:p>
    <w:p>
      <w:pPr>
        <w:ind w:left="200" w:right="40"/>
        <w:spacing w:after="0" w:line="269" w:lineRule="auto"/>
        <w:rPr>
          <w:sz w:val="20"/>
          <w:szCs w:val="20"/>
          <w:color w:val="auto"/>
        </w:rPr>
      </w:pPr>
      <w:r>
        <w:rPr>
          <w:rFonts w:ascii="Arial" w:cs="Arial" w:eastAsia="Arial" w:hAnsi="Arial"/>
          <w:sz w:val="16"/>
          <w:szCs w:val="16"/>
          <w:color w:val="auto"/>
        </w:rPr>
        <w:t>Dr. Goldsmith, qualify as “independent” directors in accordance with the Nasdaq Global Select Market listing requirements. Dr. Goldsmith is not considered independent because he is an employee of Revolution Medicines, Inc. The Nasdaq Global Select Market’s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Global Select Market rules, our board of directors has made a subjective determination as to each independent director that no relationship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2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 accordance with our amended and restated certificate of incorporation to be in effect immediately prior to the consummation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240" w:top="460"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Effective upon the consummation of this offering, we expect that our directors will be divided among the three classes as follows:</w:t>
      </w:r>
    </w:p>
    <w:p>
      <w:pPr>
        <w:spacing w:after="0" w:line="117" w:lineRule="exact"/>
        <w:rPr>
          <w:sz w:val="20"/>
          <w:szCs w:val="20"/>
          <w:color w:val="auto"/>
        </w:rPr>
      </w:pPr>
    </w:p>
    <w:p>
      <w:pPr>
        <w:ind w:left="420" w:right="120" w:hanging="216"/>
        <w:spacing w:after="0" w:line="239" w:lineRule="auto"/>
        <w:tabs>
          <w:tab w:leader="none" w:pos="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Class I directors will be Dr. Lasky, Mr. Exter and Ms. Anderson, and their terms will expire at the annual meeting of stockholders to be held in 2021;</w:t>
      </w:r>
    </w:p>
    <w:p>
      <w:pPr>
        <w:spacing w:after="0" w:line="114" w:lineRule="exact"/>
        <w:rPr>
          <w:rFonts w:ascii="Arial" w:cs="Arial" w:eastAsia="Arial" w:hAnsi="Arial"/>
          <w:sz w:val="18"/>
          <w:szCs w:val="18"/>
          <w:color w:val="auto"/>
        </w:rPr>
      </w:pPr>
    </w:p>
    <w:p>
      <w:pPr>
        <w:ind w:left="420" w:right="340" w:hanging="216"/>
        <w:spacing w:after="0" w:line="239" w:lineRule="auto"/>
        <w:tabs>
          <w:tab w:leader="none" w:pos="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Class II directors will be Dr. Schroeder and Dr. Miller, and their terms will expire at the annual meeting of stockholders to be held in 2022; and</w:t>
      </w:r>
    </w:p>
    <w:p>
      <w:pPr>
        <w:spacing w:after="0" w:line="114" w:lineRule="exact"/>
        <w:rPr>
          <w:rFonts w:ascii="Arial" w:cs="Arial" w:eastAsia="Arial" w:hAnsi="Arial"/>
          <w:sz w:val="18"/>
          <w:szCs w:val="18"/>
          <w:color w:val="auto"/>
        </w:rPr>
      </w:pPr>
    </w:p>
    <w:p>
      <w:pPr>
        <w:ind w:left="420" w:right="140" w:hanging="216"/>
        <w:spacing w:after="0" w:line="239" w:lineRule="auto"/>
        <w:tabs>
          <w:tab w:leader="none" w:pos="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Class III directors will be Dr. Weber, Mr. Borisy and Dr. Goldsmith, and their terms will expire at the annual meeting of stockholders to be held in 2023.</w:t>
      </w:r>
    </w:p>
    <w:p>
      <w:pPr>
        <w:spacing w:after="0" w:line="101" w:lineRule="exact"/>
        <w:rPr>
          <w:sz w:val="20"/>
          <w:szCs w:val="20"/>
          <w:color w:val="auto"/>
        </w:rPr>
      </w:pPr>
    </w:p>
    <w:p>
      <w:pPr>
        <w:ind w:left="200" w:right="20"/>
        <w:spacing w:after="0" w:line="275" w:lineRule="auto"/>
        <w:rPr>
          <w:sz w:val="20"/>
          <w:szCs w:val="20"/>
          <w:color w:val="auto"/>
        </w:rPr>
      </w:pPr>
      <w:r>
        <w:rPr>
          <w:rFonts w:ascii="Arial" w:cs="Arial" w:eastAsia="Arial" w:hAnsi="Arial"/>
          <w:sz w:val="16"/>
          <w:szCs w:val="16"/>
          <w:color w:val="auto"/>
        </w:rPr>
        <w:t>Our amended and restated certificate of incorporation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arrangements</w:t>
      </w:r>
    </w:p>
    <w:p>
      <w:pPr>
        <w:spacing w:after="0" w:line="124"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In June 2019, we entered into an Amended and Restated Voting Agreement, or the Voting Agreement, with certain holders of our capital stock, including certain members of, and affiliates of, our board of directors and certain of our executive officers.</w:t>
      </w:r>
    </w:p>
    <w:p>
      <w:pPr>
        <w:spacing w:after="0" w:line="101"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Pursuant to the Voting Agreement, each of Third Rock Ventures, The Column Group and Nextech has the right to designate one member to be elected to our board of directors. The Voting Agreement will terminate by its terms in connection with the closing of this offering and none of our stockholders will have any continuing rights regarding the election or designation of members of our board of directors following this offering.</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Leadership structure of the board</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Our amended and restated bylaws and corporate governance guidelines to be in place immediately prior to the consummation of this offering provide our board of directors with flexibility to combine or separate the positions of chair of the board of directors and Chief Executive Officer and to implement a lead director in accordance with its determination that utilizing one or the other structure would be in the best interests of our company. Dr. Goldsmith currently serves as the chair of the board of directors and Mr. Borisy currently serves as the lead independent director of the board. In his role as lead independent director, Mr. Borisy presides over the executive sessions of the board of directors and acts as a liaison between management and the board of directors.</w:t>
      </w:r>
    </w:p>
    <w:p>
      <w:pPr>
        <w:spacing w:after="0" w:line="102"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Role of board in risk oversight process</w:t>
      </w:r>
    </w:p>
    <w:p>
      <w:pPr>
        <w:spacing w:after="0" w:line="134"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60"/>
          </w:cols>
          <w:pgMar w:left="24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60"/>
        <w:spacing w:after="0" w:line="299" w:lineRule="auto"/>
        <w:rPr>
          <w:sz w:val="20"/>
          <w:szCs w:val="20"/>
          <w:color w:val="auto"/>
        </w:rPr>
      </w:pPr>
      <w:r>
        <w:rPr>
          <w:rFonts w:ascii="Arial" w:cs="Arial" w:eastAsia="Arial" w:hAnsi="Arial"/>
          <w:sz w:val="16"/>
          <w:szCs w:val="16"/>
          <w:color w:val="auto"/>
        </w:rPr>
        <w:t>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5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committees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audit committee oversees our corporate accounting and financial reporting process. Among other matters, the audit committee:</w:t>
      </w:r>
    </w:p>
    <w:p>
      <w:pPr>
        <w:spacing w:after="0" w:line="117" w:lineRule="exact"/>
        <w:rPr>
          <w:sz w:val="20"/>
          <w:szCs w:val="20"/>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evaluates the independent registered public accounting firm’s qualifications, independence and performance;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determines the terms of engagement of the independent registered public accounting firm;</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the audit fee;</w:t>
      </w:r>
    </w:p>
    <w:p>
      <w:pPr>
        <w:spacing w:after="0" w:line="117" w:lineRule="exact"/>
        <w:rPr>
          <w:rFonts w:ascii="Arial" w:cs="Arial" w:eastAsia="Arial" w:hAnsi="Arial"/>
          <w:sz w:val="18"/>
          <w:szCs w:val="18"/>
          <w:color w:val="auto"/>
        </w:rPr>
      </w:pPr>
    </w:p>
    <w:p>
      <w:pPr>
        <w:ind w:left="420" w:right="240" w:hanging="216"/>
        <w:spacing w:after="0" w:line="239"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financial statements;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non-audit services;</w:t>
      </w:r>
    </w:p>
    <w:p>
      <w:pPr>
        <w:spacing w:after="0" w:line="117" w:lineRule="exact"/>
        <w:rPr>
          <w:rFonts w:ascii="Arial" w:cs="Arial" w:eastAsia="Arial" w:hAnsi="Arial"/>
          <w:sz w:val="18"/>
          <w:szCs w:val="18"/>
          <w:color w:val="auto"/>
        </w:rPr>
      </w:pPr>
    </w:p>
    <w:p>
      <w:pPr>
        <w:ind w:left="420" w:right="640" w:hanging="216"/>
        <w:spacing w:after="0" w:line="239"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monitors the rotation of partners of the independent registered public accounting firm on our engagement team in accordance with requirements established by the SEC;</w:t>
      </w:r>
    </w:p>
    <w:p>
      <w:pPr>
        <w:spacing w:after="0" w:line="114" w:lineRule="exact"/>
        <w:rPr>
          <w:rFonts w:ascii="Arial" w:cs="Arial" w:eastAsia="Arial" w:hAnsi="Arial"/>
          <w:sz w:val="18"/>
          <w:szCs w:val="18"/>
          <w:color w:val="auto"/>
        </w:rPr>
      </w:pPr>
    </w:p>
    <w:p>
      <w:pPr>
        <w:ind w:left="420" w:right="420" w:hanging="216"/>
        <w:spacing w:after="0" w:line="239"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responsible for reviewing our audited consolidated financial statements and our management’s discussion and analysis of financial condition and results of operations to be included in our annual and quarterly reports to be filed with the SEC;</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reviews our critical accounting policies and estimates;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reviews all related party transactions on an ongoing basis;</w:t>
      </w:r>
    </w:p>
    <w:p>
      <w:pPr>
        <w:spacing w:after="0" w:line="117" w:lineRule="exact"/>
        <w:rPr>
          <w:rFonts w:ascii="Arial" w:cs="Arial" w:eastAsia="Arial" w:hAnsi="Arial"/>
          <w:sz w:val="18"/>
          <w:szCs w:val="18"/>
          <w:color w:val="auto"/>
        </w:rPr>
      </w:pPr>
    </w:p>
    <w:p>
      <w:pPr>
        <w:ind w:left="420" w:right="380" w:hanging="216"/>
        <w:spacing w:after="0" w:line="239"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establishes procedures for the receipt, retention and treatment of complaints received by us regarding accounting, internal controls or auditing matters;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periodically reviews and assesses treasury functions including cash management process;</w:t>
      </w:r>
    </w:p>
    <w:p>
      <w:pPr>
        <w:spacing w:after="0" w:line="117" w:lineRule="exact"/>
        <w:rPr>
          <w:rFonts w:ascii="Arial" w:cs="Arial" w:eastAsia="Arial" w:hAnsi="Arial"/>
          <w:sz w:val="18"/>
          <w:szCs w:val="18"/>
          <w:color w:val="auto"/>
        </w:rPr>
      </w:pPr>
    </w:p>
    <w:p>
      <w:pPr>
        <w:jc w:val="center"/>
        <w:ind w:left="5560" w:right="400" w:hanging="5356"/>
        <w:spacing w:after="0" w:line="411" w:lineRule="auto"/>
        <w:tabs>
          <w:tab w:leader="none" w:pos="412"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discusses on a periodic basis, or as appropriate, with management, our policies and procedures with respect to risk assessment; and 174</w:t>
      </w:r>
    </w:p>
    <w:p>
      <w:pPr>
        <w:sectPr>
          <w:pgSz w:w="11900" w:h="16838" w:orient="portrait"/>
          <w:cols w:equalWidth="0" w:num="1">
            <w:col w:w="11140"/>
          </w:cols>
          <w:pgMar w:left="240" w:top="459" w:right="5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840" w:hanging="216"/>
        <w:spacing w:after="0" w:line="239" w:lineRule="auto"/>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investigates any matters received, and reports to the Board periodically, with respect to ethics issues, complaints and associated investigations;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reviews the audit committee charter and the committee’s performance at least annually.</w:t>
      </w:r>
    </w:p>
    <w:p>
      <w:pPr>
        <w:spacing w:after="0" w:line="10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current members of our audit committee are Dr. Weber, Dr. Schroeder and Mr. Exter. Dr. Weber serves as the chair of the committee. All members of our audit committee meet the requirements for financial literacy under the applicable rules and regulations of the SEC and the Nasdaq Global Select Market. Our board of directors has determined that Dr. Weber is an audit committee financial expert as defined under the applicable rules of the SEC and has the requisite financial sophistication as defined under the applicable rules and regulations of the Nasdaq Global Select Market. Under the rules of the SEC, members of the audit committee must also meet heightened independence standards. Our board of directors has determined that Dr. Weber and Dr. Schroeder are “independent” for audit committee purposes as that term is defined in the applicable rules of the SEC and The Nasdaq Global Select Market. Mr. Exter will not meet the heightened independence criteria set forth in such rules if Third Rock Ventures, L.P. continues to own more than ten percent of our capital stock after this offering, but in such event applicable exemptions under the Nasdaq rules would permit him to continue to serve on the committee for a transition period following the consummation of this offering. The audit committee operates under a written charter that satisfies the applicable standards of the SEC and the Nasdaq Global Select Market.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4"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Our compensation committee oversees policies relating to compensation and benefits of our officers and employees. Among other things, the compensation committee:</w:t>
      </w:r>
    </w:p>
    <w:p>
      <w:pPr>
        <w:spacing w:after="0" w:line="114" w:lineRule="exact"/>
        <w:rPr>
          <w:sz w:val="20"/>
          <w:szCs w:val="20"/>
          <w:color w:val="auto"/>
        </w:rPr>
      </w:pPr>
    </w:p>
    <w:p>
      <w:pPr>
        <w:ind w:left="420" w:hanging="216"/>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reviews and recommends corporate goals and objectives relevant to compensation of our executive officers;</w:t>
      </w:r>
    </w:p>
    <w:p>
      <w:pPr>
        <w:spacing w:after="0" w:line="117"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evaluates the performance of our executive officers (other than our Chief Executive Officer), including in light of those goals and objectives, and approves the compensation of these officers based on such evaluations;</w:t>
      </w:r>
    </w:p>
    <w:p>
      <w:pPr>
        <w:spacing w:after="0" w:line="114" w:lineRule="exact"/>
        <w:rPr>
          <w:rFonts w:ascii="Arial" w:cs="Arial" w:eastAsia="Arial" w:hAnsi="Arial"/>
          <w:sz w:val="18"/>
          <w:szCs w:val="18"/>
          <w:color w:val="auto"/>
        </w:rPr>
      </w:pPr>
    </w:p>
    <w:p>
      <w:pPr>
        <w:ind w:left="420" w:right="460" w:hanging="216"/>
        <w:spacing w:after="0" w:line="239"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reviews and approves or makes recommendations to our board of directors regarding the issuance of stock options and other awards under our stock plans to our executive officers, other than our Chief Executive Officer;</w:t>
      </w:r>
    </w:p>
    <w:p>
      <w:pPr>
        <w:spacing w:after="0" w:line="114" w:lineRule="exact"/>
        <w:rPr>
          <w:rFonts w:ascii="Arial" w:cs="Arial" w:eastAsia="Arial" w:hAnsi="Arial"/>
          <w:sz w:val="18"/>
          <w:szCs w:val="18"/>
          <w:color w:val="auto"/>
        </w:rPr>
      </w:pPr>
    </w:p>
    <w:p>
      <w:pPr>
        <w:ind w:left="420" w:right="460" w:hanging="216"/>
        <w:spacing w:after="0" w:line="299" w:lineRule="auto"/>
        <w:tabs>
          <w:tab w:leader="none" w:pos="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reviews the performance of our Chief Executive Officer and makes recommendations to our board of directors with respect to his compensation and our board of directors retains the authority to make compensation decisions relative to our Chief Executive Officer;</w:t>
      </w:r>
    </w:p>
    <w:p>
      <w:pPr>
        <w:spacing w:after="0" w:line="68" w:lineRule="exact"/>
        <w:rPr>
          <w:rFonts w:ascii="Arial" w:cs="Arial" w:eastAsia="Arial" w:hAnsi="Arial"/>
          <w:sz w:val="16"/>
          <w:szCs w:val="16"/>
          <w:color w:val="auto"/>
        </w:rPr>
      </w:pPr>
    </w:p>
    <w:p>
      <w:pPr>
        <w:ind w:left="420" w:hanging="216"/>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evaluates compliance with applicable compensation rules, regulations and guidelines and other law, as applicable; and</w:t>
      </w:r>
    </w:p>
    <w:p>
      <w:pPr>
        <w:spacing w:after="0" w:line="117" w:lineRule="exact"/>
        <w:rPr>
          <w:rFonts w:ascii="Arial" w:cs="Arial" w:eastAsia="Arial" w:hAnsi="Arial"/>
          <w:sz w:val="18"/>
          <w:szCs w:val="18"/>
          <w:color w:val="auto"/>
        </w:rPr>
      </w:pPr>
    </w:p>
    <w:p>
      <w:pPr>
        <w:ind w:left="420" w:right="720" w:hanging="216"/>
        <w:spacing w:after="0" w:line="239"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periodically reviews the performance of the compensation committee and its members, including compliance by the compensation committee.</w:t>
      </w:r>
    </w:p>
    <w:p>
      <w:pPr>
        <w:spacing w:after="0" w:line="101" w:lineRule="exact"/>
        <w:rPr>
          <w:sz w:val="20"/>
          <w:szCs w:val="20"/>
          <w:color w:val="auto"/>
        </w:rPr>
      </w:pPr>
    </w:p>
    <w:p>
      <w:pPr>
        <w:jc w:val="both"/>
        <w:ind w:left="200" w:right="280"/>
        <w:spacing w:after="0" w:line="275" w:lineRule="auto"/>
        <w:rPr>
          <w:sz w:val="20"/>
          <w:szCs w:val="20"/>
          <w:color w:val="auto"/>
        </w:rPr>
      </w:pPr>
      <w:r>
        <w:rPr>
          <w:rFonts w:ascii="Arial" w:cs="Arial" w:eastAsia="Arial" w:hAnsi="Arial"/>
          <w:sz w:val="16"/>
          <w:szCs w:val="16"/>
          <w:color w:val="auto"/>
        </w:rPr>
        <w:t>The current members of our compensation committee are Ms. Anderson, Mr. Borisy and Dr. Miller. Ms. Anderson serves as the chair of the committee. Each of the members of our compensation committee is independent under the applicable rules and regulations of the Nasdaq Global Select Market and is a “non-employee director” as defined in Rule 16b-3 promulgated under the Exchange Act. The compensation committee operates under a written charter that satisfies the applicable standards of the SEC and the Nasdaq Global Select Market.</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4" w:lineRule="exact"/>
        <w:rPr>
          <w:sz w:val="20"/>
          <w:szCs w:val="20"/>
          <w:color w:val="auto"/>
        </w:rPr>
      </w:pPr>
    </w:p>
    <w:p>
      <w:pPr>
        <w:ind w:left="200" w:right="720"/>
        <w:spacing w:after="0" w:line="239"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size and composition of our board of directors. In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addition, the nominating and corporate governance committee is responsible for overseeing our corporate governance policies and reporting and making recommendations to our board of directors concerning governance matters. The current members of our nominating and corporate governance committee are Mr. Borisy, Dr. Lasky and Dr. Miller. Mr. Borisy serves as the chair of the committee. Each of the members of our nominating and corporate governance committee is an independent director under the applicable rules and regulations of the Nasdaq Global Select Market relating to nominating and corporate governance committee independence. The nominating and corporate governance committee operates under a written charter that satisfies the applicable standards of the SEC and the Nasdaq Global Select Market.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During the year ended December 31, 2019, our compensation committee consisted of Ms. Anderson, Mr. Borisy and Dr. Miller. None of the members of our compensation committee during 2019 nor any of the current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 For a description of transactions between us and members of our compensation committee and affiliates of such members, please see “Certain relationships and related party transactions.”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diversity</w:t>
      </w:r>
    </w:p>
    <w:p>
      <w:pPr>
        <w:spacing w:after="0" w:line="134" w:lineRule="exact"/>
        <w:rPr>
          <w:sz w:val="20"/>
          <w:szCs w:val="20"/>
          <w:color w:val="auto"/>
        </w:rPr>
      </w:pPr>
    </w:p>
    <w:p>
      <w:pPr>
        <w:ind w:left="200" w:right="160"/>
        <w:spacing w:after="0" w:line="273" w:lineRule="auto"/>
        <w:rPr>
          <w:sz w:val="20"/>
          <w:szCs w:val="20"/>
          <w:color w:val="auto"/>
        </w:rPr>
      </w:pPr>
      <w:r>
        <w:rPr>
          <w:rFonts w:ascii="Arial" w:cs="Arial" w:eastAsia="Arial" w:hAnsi="Arial"/>
          <w:sz w:val="16"/>
          <w:szCs w:val="16"/>
          <w:color w:val="auto"/>
        </w:rPr>
        <w:t>Upon consummation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may take into account many factors, including but not limited to the following:</w:t>
      </w:r>
    </w:p>
    <w:p>
      <w:pPr>
        <w:spacing w:after="0" w:line="88" w:lineRule="exact"/>
        <w:rPr>
          <w:sz w:val="20"/>
          <w:szCs w:val="20"/>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experience as a board member of other companies, including service on the board of directors of another publicly held company;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experience in the life sciences industry;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 held company;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0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Currently, our board of directors evaluates, and following the consummation of this offering will evaluate, each individual in the context of the board of directors as a whole, with the objective of assembling a group that can best exercise oversight of management and the business and effectively represent stockholder interests through the exercise of sound business judgment using its diversity and depth of experience in these various areas.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240" w:top="460"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34"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Our board of directors has adopted a code of business conduct and ethics that will apply to all of our employees, officers and directors, including those officers responsible for financial reporting. Following the consummation of this offering, the code of business conduct and ethics will be available on our website. We expect that any amendments to the code, or any waivers of its requirements, will be disclosed on our website or in public filings.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Limitation of liability and indemnification matters</w:t>
      </w:r>
    </w:p>
    <w:p>
      <w:pPr>
        <w:spacing w:after="0" w:line="13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Our amended and restated certificate of incorporation, which will become effective immediately prior to the consummation of this offering,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14" w:lineRule="exact"/>
        <w:rPr>
          <w:sz w:val="20"/>
          <w:szCs w:val="20"/>
          <w:color w:val="auto"/>
        </w:rPr>
      </w:pPr>
    </w:p>
    <w:p>
      <w:pPr>
        <w:ind w:left="420" w:hanging="216"/>
        <w:spacing w:after="0"/>
        <w:tabs>
          <w:tab w:leader="none" w:pos="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420" w:right="700" w:hanging="216"/>
        <w:spacing w:after="0" w:line="239" w:lineRule="auto"/>
        <w:tabs>
          <w:tab w:leader="none" w:pos="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04" w:lineRule="exact"/>
        <w:rPr>
          <w:sz w:val="20"/>
          <w:szCs w:val="20"/>
          <w:color w:val="auto"/>
        </w:rPr>
      </w:pPr>
    </w:p>
    <w:p>
      <w:pPr>
        <w:ind w:left="200" w:right="160"/>
        <w:spacing w:after="0" w:line="268" w:lineRule="auto"/>
        <w:rPr>
          <w:sz w:val="20"/>
          <w:szCs w:val="20"/>
          <w:color w:val="auto"/>
        </w:rPr>
      </w:pPr>
      <w:r>
        <w:rPr>
          <w:rFonts w:ascii="Arial" w:cs="Arial" w:eastAsia="Arial" w:hAnsi="Arial"/>
          <w:sz w:val="16"/>
          <w:szCs w:val="16"/>
          <w:color w:val="auto"/>
        </w:rPr>
        <w:t>Each of our amended and restated certificate of incorporation and amended and restated bylaws, which will become effective immediately prior to the consummation of this offering, will provide that we are required to indemnify our directors and officers, in each case to the fullest extent permitted by Delaware law. Our amended and restated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79"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limitation of liability and indemnification provisions that will be included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Executive and director compensation</w:t>
      </w:r>
    </w:p>
    <w:p>
      <w:pPr>
        <w:spacing w:after="0" w:line="158"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“2019 summary compensation table” below. In 2019, our “named executive officers” and their positions were as follows:</w:t>
      </w:r>
    </w:p>
    <w:p>
      <w:pPr>
        <w:spacing w:after="0" w:line="110" w:lineRule="exact"/>
        <w:rPr>
          <w:sz w:val="20"/>
          <w:szCs w:val="20"/>
          <w:color w:val="auto"/>
        </w:rPr>
      </w:pPr>
    </w:p>
    <w:p>
      <w:pPr>
        <w:ind w:left="420" w:hanging="216"/>
        <w:spacing w:after="0"/>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Mark A. Goldsmith, M.D., Ph.D., our President and Chief Executive Officer;</w:t>
      </w:r>
    </w:p>
    <w:p>
      <w:pPr>
        <w:ind w:left="420" w:hanging="216"/>
        <w:spacing w:after="0" w:line="234" w:lineRule="auto"/>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Steve Kelsey, M.D., our President, Research and Development; and</w:t>
      </w:r>
    </w:p>
    <w:p>
      <w:pPr>
        <w:ind w:left="420" w:hanging="216"/>
        <w:spacing w:after="0"/>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Margaret Horn, J.D., our Chief Operating Officer and General Counsel.</w:t>
      </w:r>
    </w:p>
    <w:p>
      <w:pPr>
        <w:spacing w:after="0" w:line="10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2019 summary compensation table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sets forth all of the compensation awarded to or earned by or paid to our named executive officers during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86995</wp:posOffset>
            </wp:positionV>
            <wp:extent cx="699770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jc w:val="right"/>
              <w:ind w:right="332"/>
              <w:spacing w:after="0"/>
              <w:rPr>
                <w:sz w:val="20"/>
                <w:szCs w:val="20"/>
                <w:color w:val="auto"/>
              </w:rPr>
            </w:pPr>
            <w:r>
              <w:rPr>
                <w:rFonts w:ascii="Arial" w:cs="Arial" w:eastAsia="Arial" w:hAnsi="Arial"/>
                <w:sz w:val="18"/>
                <w:szCs w:val="18"/>
                <w:b w:val="1"/>
                <w:bCs w:val="1"/>
                <w:color w:val="auto"/>
              </w:rPr>
              <w:t>Non-equity</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Option</w:t>
            </w:r>
          </w:p>
        </w:tc>
        <w:tc>
          <w:tcPr>
            <w:tcW w:w="170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incentive plan</w:t>
            </w:r>
          </w:p>
        </w:tc>
        <w:tc>
          <w:tcPr>
            <w:tcW w:w="400" w:type="dxa"/>
            <w:vAlign w:val="bottom"/>
          </w:tcPr>
          <w:p>
            <w:pPr>
              <w:spacing w:after="0"/>
              <w:rPr>
                <w:sz w:val="17"/>
                <w:szCs w:val="17"/>
                <w:color w:val="auto"/>
              </w:rPr>
            </w:pPr>
          </w:p>
        </w:tc>
        <w:tc>
          <w:tcPr>
            <w:tcW w:w="1300" w:type="dxa"/>
            <w:vAlign w:val="bottom"/>
          </w:tcPr>
          <w:p>
            <w:pPr>
              <w:jc w:val="right"/>
              <w:ind w:right="372"/>
              <w:spacing w:after="0" w:line="202" w:lineRule="exact"/>
              <w:rPr>
                <w:sz w:val="20"/>
                <w:szCs w:val="20"/>
                <w:color w:val="auto"/>
              </w:rPr>
            </w:pPr>
            <w:r>
              <w:rPr>
                <w:rFonts w:ascii="Arial" w:cs="Arial" w:eastAsia="Arial" w:hAnsi="Arial"/>
                <w:sz w:val="18"/>
                <w:szCs w:val="18"/>
                <w:b w:val="1"/>
                <w:bCs w:val="1"/>
                <w:color w:val="auto"/>
              </w:rPr>
              <w:t>All other</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700" w:type="dxa"/>
            <w:vAlign w:val="bottom"/>
          </w:tcPr>
          <w:p>
            <w:pPr>
              <w:ind w:left="180"/>
              <w:spacing w:after="0"/>
              <w:rPr>
                <w:sz w:val="20"/>
                <w:szCs w:val="20"/>
                <w:color w:val="auto"/>
              </w:rPr>
            </w:pPr>
            <w:r>
              <w:rPr>
                <w:rFonts w:ascii="Arial" w:cs="Arial" w:eastAsia="Arial" w:hAnsi="Arial"/>
                <w:sz w:val="18"/>
                <w:szCs w:val="18"/>
                <w:b w:val="1"/>
                <w:bCs w:val="1"/>
                <w:color w:val="auto"/>
              </w:rPr>
              <w:t>Year</w:t>
            </w:r>
          </w:p>
        </w:tc>
        <w:tc>
          <w:tcPr>
            <w:tcW w:w="940" w:type="dxa"/>
            <w:vAlign w:val="bottom"/>
          </w:tcPr>
          <w:p>
            <w:pPr>
              <w:jc w:val="right"/>
              <w:ind w:right="132"/>
              <w:spacing w:after="0"/>
              <w:rPr>
                <w:sz w:val="20"/>
                <w:szCs w:val="20"/>
                <w:color w:val="auto"/>
              </w:rPr>
            </w:pPr>
            <w:r>
              <w:rPr>
                <w:rFonts w:ascii="Arial" w:cs="Arial" w:eastAsia="Arial" w:hAnsi="Arial"/>
                <w:sz w:val="18"/>
                <w:szCs w:val="18"/>
                <w:b w:val="1"/>
                <w:bCs w:val="1"/>
                <w:color w:val="auto"/>
              </w:rPr>
              <w:t>Salary</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Bonus</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awards(1)</w:t>
            </w:r>
          </w:p>
        </w:tc>
        <w:tc>
          <w:tcPr>
            <w:tcW w:w="1700" w:type="dxa"/>
            <w:vAlign w:val="bottom"/>
          </w:tcPr>
          <w:p>
            <w:pPr>
              <w:jc w:val="right"/>
              <w:ind w:right="92"/>
              <w:spacing w:after="0"/>
              <w:rPr>
                <w:sz w:val="20"/>
                <w:szCs w:val="20"/>
                <w:color w:val="auto"/>
              </w:rPr>
            </w:pPr>
            <w:r>
              <w:rPr>
                <w:rFonts w:ascii="Arial" w:cs="Arial" w:eastAsia="Arial" w:hAnsi="Arial"/>
                <w:sz w:val="18"/>
                <w:szCs w:val="18"/>
                <w:b w:val="1"/>
                <w:bCs w:val="1"/>
                <w:color w:val="auto"/>
              </w:rPr>
              <w:t>compensation(2)</w:t>
            </w:r>
          </w:p>
        </w:tc>
        <w:tc>
          <w:tcPr>
            <w:tcW w:w="17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compensation(3)</w:t>
            </w:r>
          </w:p>
        </w:tc>
        <w:tc>
          <w:tcPr>
            <w:tcW w:w="10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r>
      <w:tr>
        <w:trPr>
          <w:trHeight w:val="196"/>
        </w:trPr>
        <w:tc>
          <w:tcPr>
            <w:tcW w:w="20" w:type="dxa"/>
            <w:vAlign w:val="bottom"/>
          </w:tcPr>
          <w:p>
            <w:pPr>
              <w:spacing w:after="0"/>
              <w:rPr>
                <w:sz w:val="17"/>
                <w:szCs w:val="17"/>
                <w:color w:val="auto"/>
              </w:rPr>
            </w:pPr>
          </w:p>
        </w:tc>
        <w:tc>
          <w:tcPr>
            <w:tcW w:w="3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Mark A. Goldsmith, M.D., Ph.D.</w:t>
            </w:r>
          </w:p>
        </w:tc>
        <w:tc>
          <w:tcPr>
            <w:tcW w:w="700" w:type="dxa"/>
            <w:vAlign w:val="bottom"/>
            <w:tcBorders>
              <w:top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2019</w:t>
            </w:r>
          </w:p>
        </w:tc>
        <w:tc>
          <w:tcPr>
            <w:tcW w:w="94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$504,300</w:t>
            </w:r>
          </w:p>
        </w:tc>
        <w:tc>
          <w:tcPr>
            <w:tcW w:w="1760" w:type="dxa"/>
            <w:vAlign w:val="bottom"/>
            <w:tcBorders>
              <w:top w:val="single" w:sz="8" w:color="auto"/>
            </w:tcBorders>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 $3,808,974</w:t>
            </w:r>
          </w:p>
        </w:tc>
        <w:tc>
          <w:tcPr>
            <w:tcW w:w="170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2,000</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$4,315,274</w:t>
            </w:r>
          </w:p>
        </w:tc>
        <w:tc>
          <w:tcPr>
            <w:tcW w:w="6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w w:val="98"/>
              </w:rPr>
              <w:t>President and Chief Executive Officer</w:t>
            </w:r>
          </w:p>
        </w:tc>
        <w:tc>
          <w:tcPr>
            <w:tcW w:w="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489,567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582,915</w:t>
            </w: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232,500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1,304,982</w:t>
            </w:r>
          </w:p>
        </w:tc>
        <w:tc>
          <w:tcPr>
            <w:tcW w:w="60" w:type="dxa"/>
            <w:vAlign w:val="bottom"/>
            <w:shd w:val="clear" w:color="auto" w:fill="CCEEFF"/>
          </w:tcPr>
          <w:p>
            <w:pPr>
              <w:spacing w:after="0"/>
              <w:rPr>
                <w:sz w:val="18"/>
                <w:szCs w:val="18"/>
                <w:color w:val="auto"/>
              </w:rPr>
            </w:pPr>
          </w:p>
        </w:tc>
      </w:tr>
      <w:tr>
        <w:trPr>
          <w:trHeight w:val="255"/>
        </w:trPr>
        <w:tc>
          <w:tcPr>
            <w:tcW w:w="3180" w:type="dxa"/>
            <w:vAlign w:val="bottom"/>
            <w:gridSpan w:val="2"/>
          </w:tcPr>
          <w:p>
            <w:pPr>
              <w:spacing w:after="0"/>
              <w:rPr>
                <w:sz w:val="20"/>
                <w:szCs w:val="20"/>
                <w:color w:val="auto"/>
              </w:rPr>
            </w:pPr>
            <w:r>
              <w:rPr>
                <w:rFonts w:ascii="Arial" w:cs="Arial" w:eastAsia="Arial" w:hAnsi="Arial"/>
                <w:sz w:val="18"/>
                <w:szCs w:val="18"/>
                <w:color w:val="auto"/>
              </w:rPr>
              <w:t>Steve Kelsey, M.D.</w:t>
            </w:r>
          </w:p>
        </w:tc>
        <w:tc>
          <w:tcPr>
            <w:tcW w:w="700" w:type="dxa"/>
            <w:vAlign w:val="bottom"/>
          </w:tcPr>
          <w:p>
            <w:pPr>
              <w:ind w:left="200"/>
              <w:spacing w:after="0"/>
              <w:rPr>
                <w:sz w:val="20"/>
                <w:szCs w:val="20"/>
                <w:color w:val="auto"/>
              </w:rPr>
            </w:pPr>
            <w:r>
              <w:rPr>
                <w:rFonts w:ascii="Arial" w:cs="Arial" w:eastAsia="Arial" w:hAnsi="Arial"/>
                <w:sz w:val="18"/>
                <w:szCs w:val="18"/>
                <w:color w:val="auto"/>
              </w:rPr>
              <w:t>2019</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424,350</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1,298,253</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000" w:type="dxa"/>
            <w:vAlign w:val="bottom"/>
          </w:tcPr>
          <w:p>
            <w:pPr>
              <w:jc w:val="right"/>
              <w:spacing w:after="0"/>
              <w:rPr>
                <w:sz w:val="20"/>
                <w:szCs w:val="20"/>
                <w:color w:val="auto"/>
              </w:rPr>
            </w:pPr>
            <w:r>
              <w:rPr>
                <w:rFonts w:ascii="Arial" w:cs="Arial" w:eastAsia="Arial" w:hAnsi="Arial"/>
                <w:sz w:val="18"/>
                <w:szCs w:val="18"/>
                <w:color w:val="auto"/>
              </w:rPr>
              <w:t>1,724,603</w:t>
            </w:r>
          </w:p>
        </w:tc>
        <w:tc>
          <w:tcPr>
            <w:tcW w:w="60" w:type="dxa"/>
            <w:vAlign w:val="bottom"/>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3160" w:type="dxa"/>
            <w:vAlign w:val="bottom"/>
          </w:tcPr>
          <w:p>
            <w:pPr>
              <w:ind w:left="200"/>
              <w:spacing w:after="0" w:line="202" w:lineRule="exact"/>
              <w:rPr>
                <w:sz w:val="20"/>
                <w:szCs w:val="20"/>
                <w:color w:val="auto"/>
              </w:rPr>
            </w:pPr>
            <w:r>
              <w:rPr>
                <w:rFonts w:ascii="Arial" w:cs="Arial" w:eastAsia="Arial" w:hAnsi="Arial"/>
                <w:sz w:val="18"/>
                <w:szCs w:val="18"/>
                <w:i w:val="1"/>
                <w:iCs w:val="1"/>
                <w:color w:val="auto"/>
              </w:rPr>
              <w:t>President, Research and</w:t>
            </w:r>
          </w:p>
        </w:tc>
        <w:tc>
          <w:tcPr>
            <w:tcW w:w="700" w:type="dxa"/>
            <w:vAlign w:val="bottom"/>
          </w:tcPr>
          <w:p>
            <w:pPr>
              <w:ind w:left="200"/>
              <w:spacing w:after="0" w:line="202" w:lineRule="exact"/>
              <w:rPr>
                <w:sz w:val="20"/>
                <w:szCs w:val="20"/>
                <w:color w:val="auto"/>
              </w:rPr>
            </w:pPr>
            <w:r>
              <w:rPr>
                <w:rFonts w:ascii="Arial" w:cs="Arial" w:eastAsia="Arial" w:hAnsi="Arial"/>
                <w:sz w:val="18"/>
                <w:szCs w:val="18"/>
                <w:color w:val="auto"/>
              </w:rPr>
              <w:t>2018</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405,000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81,934</w:t>
            </w:r>
          </w:p>
        </w:tc>
        <w:tc>
          <w:tcPr>
            <w:tcW w:w="17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152,150</w:t>
            </w:r>
          </w:p>
        </w:tc>
        <w:tc>
          <w:tcPr>
            <w:tcW w:w="400" w:type="dxa"/>
            <w:vAlign w:val="bottom"/>
          </w:tcPr>
          <w:p>
            <w:pPr>
              <w:spacing w:after="0"/>
              <w:rPr>
                <w:sz w:val="17"/>
                <w:szCs w:val="17"/>
                <w:color w:val="auto"/>
              </w:rPr>
            </w:pP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639,084</w:t>
            </w:r>
          </w:p>
        </w:tc>
        <w:tc>
          <w:tcPr>
            <w:tcW w:w="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3160" w:type="dxa"/>
            <w:vAlign w:val="bottom"/>
          </w:tcPr>
          <w:p>
            <w:pPr>
              <w:ind w:left="200"/>
              <w:spacing w:after="0"/>
              <w:rPr>
                <w:sz w:val="20"/>
                <w:szCs w:val="20"/>
                <w:color w:val="auto"/>
              </w:rPr>
            </w:pPr>
            <w:r>
              <w:rPr>
                <w:rFonts w:ascii="Arial" w:cs="Arial" w:eastAsia="Arial" w:hAnsi="Arial"/>
                <w:sz w:val="18"/>
                <w:szCs w:val="18"/>
                <w:i w:val="1"/>
                <w:iCs w:val="1"/>
                <w:color w:val="auto"/>
              </w:rPr>
              <w:t>Development</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0"/>
        </w:trPr>
        <w:tc>
          <w:tcPr>
            <w:tcW w:w="3180" w:type="dxa"/>
            <w:vAlign w:val="bottom"/>
            <w:gridSpan w:val="2"/>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Margaret Horn, J.D.</w:t>
            </w:r>
          </w:p>
        </w:tc>
        <w:tc>
          <w:tcPr>
            <w:tcW w:w="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2019</w:t>
            </w: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384,375</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1,662,587</w:t>
            </w:r>
          </w:p>
        </w:tc>
        <w:tc>
          <w:tcPr>
            <w:tcW w:w="17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2,000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2,048,962</w:t>
            </w:r>
          </w:p>
        </w:tc>
        <w:tc>
          <w:tcPr>
            <w:tcW w:w="6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3160" w:type="dxa"/>
            <w:vAlign w:val="bottom"/>
            <w:shd w:val="clear" w:color="auto" w:fill="CCEEFF"/>
          </w:tcPr>
          <w:p>
            <w:pPr>
              <w:ind w:left="200"/>
              <w:spacing w:after="0" w:line="188" w:lineRule="exact"/>
              <w:rPr>
                <w:sz w:val="20"/>
                <w:szCs w:val="20"/>
                <w:color w:val="auto"/>
              </w:rPr>
            </w:pPr>
            <w:r>
              <w:rPr>
                <w:rFonts w:ascii="Arial" w:cs="Arial" w:eastAsia="Arial" w:hAnsi="Arial"/>
                <w:sz w:val="18"/>
                <w:szCs w:val="18"/>
                <w:i w:val="1"/>
                <w:iCs w:val="1"/>
                <w:color w:val="auto"/>
              </w:rPr>
              <w:t>Chief Operating Officer and General</w:t>
            </w:r>
          </w:p>
        </w:tc>
        <w:tc>
          <w:tcPr>
            <w:tcW w:w="700" w:type="dxa"/>
            <w:vAlign w:val="bottom"/>
            <w:shd w:val="clear" w:color="auto" w:fill="CCEEFF"/>
          </w:tcPr>
          <w:p>
            <w:pPr>
              <w:ind w:left="200"/>
              <w:spacing w:after="0" w:line="188" w:lineRule="exact"/>
              <w:rPr>
                <w:sz w:val="20"/>
                <w:szCs w:val="20"/>
                <w:color w:val="auto"/>
              </w:rPr>
            </w:pPr>
            <w:r>
              <w:rPr>
                <w:rFonts w:ascii="Arial" w:cs="Arial" w:eastAsia="Arial" w:hAnsi="Arial"/>
                <w:sz w:val="18"/>
                <w:szCs w:val="18"/>
                <w:color w:val="auto"/>
              </w:rPr>
              <w:t>2018</w:t>
            </w:r>
          </w:p>
        </w:tc>
        <w:tc>
          <w:tcPr>
            <w:tcW w:w="940" w:type="dxa"/>
            <w:vAlign w:val="bottom"/>
            <w:shd w:val="clear" w:color="auto" w:fill="CCEEFF"/>
          </w:tcPr>
          <w:p>
            <w:pPr>
              <w:jc w:val="right"/>
              <w:ind w:right="12"/>
              <w:spacing w:after="0" w:line="188" w:lineRule="exact"/>
              <w:rPr>
                <w:sz w:val="20"/>
                <w:szCs w:val="20"/>
                <w:color w:val="auto"/>
              </w:rPr>
            </w:pPr>
            <w:r>
              <w:rPr>
                <w:rFonts w:ascii="Arial" w:cs="Arial" w:eastAsia="Arial" w:hAnsi="Arial"/>
                <w:sz w:val="18"/>
                <w:szCs w:val="18"/>
                <w:color w:val="auto"/>
              </w:rPr>
              <w:t>347,500</w:t>
            </w:r>
          </w:p>
        </w:tc>
        <w:tc>
          <w:tcPr>
            <w:tcW w:w="7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line="188" w:lineRule="exact"/>
              <w:rPr>
                <w:sz w:val="20"/>
                <w:szCs w:val="20"/>
                <w:color w:val="auto"/>
              </w:rPr>
            </w:pPr>
            <w:r>
              <w:rPr>
                <w:rFonts w:ascii="Arial" w:cs="Arial" w:eastAsia="Arial" w:hAnsi="Arial"/>
                <w:sz w:val="18"/>
                <w:szCs w:val="18"/>
                <w:color w:val="auto"/>
              </w:rPr>
              <w:t>31,323</w:t>
            </w:r>
          </w:p>
        </w:tc>
        <w:tc>
          <w:tcPr>
            <w:tcW w:w="1700" w:type="dxa"/>
            <w:vAlign w:val="bottom"/>
            <w:shd w:val="clear" w:color="auto" w:fill="CCEEFF"/>
          </w:tcPr>
          <w:p>
            <w:pPr>
              <w:jc w:val="right"/>
              <w:ind w:right="92"/>
              <w:spacing w:after="0" w:line="188" w:lineRule="exact"/>
              <w:rPr>
                <w:sz w:val="20"/>
                <w:szCs w:val="20"/>
                <w:color w:val="auto"/>
              </w:rPr>
            </w:pPr>
            <w:r>
              <w:rPr>
                <w:rFonts w:ascii="Arial" w:cs="Arial" w:eastAsia="Arial" w:hAnsi="Arial"/>
                <w:sz w:val="18"/>
                <w:szCs w:val="18"/>
                <w:color w:val="auto"/>
              </w:rPr>
              <w:t>140,000</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
              <w:spacing w:after="0" w:line="188"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518,823</w:t>
            </w:r>
          </w:p>
        </w:tc>
        <w:tc>
          <w:tcPr>
            <w:tcW w:w="6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Counsel</w:t>
            </w:r>
          </w:p>
        </w:tc>
        <w:tc>
          <w:tcPr>
            <w:tcW w:w="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200" w:hanging="316"/>
        <w:spacing w:after="0" w:line="228" w:lineRule="auto"/>
        <w:tabs>
          <w:tab w:leader="none" w:pos="5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Amounts reported represent the aggregate grant date fair value of stock options granted to our named executive officers computed in accordance with FASB ASC Topic 718. Assumptions used in the calculation of these amounts are included in Note 10 to our consolidated financial statements included in this prospectus. Our named executive officers will only realize compensation to the extent the trading price of our common stock is greater than the exercise price of such stock options.</w:t>
      </w:r>
    </w:p>
    <w:p>
      <w:pPr>
        <w:spacing w:after="0" w:line="54" w:lineRule="exact"/>
        <w:rPr>
          <w:rFonts w:ascii="Arial" w:cs="Arial" w:eastAsia="Arial" w:hAnsi="Arial"/>
          <w:sz w:val="14"/>
          <w:szCs w:val="14"/>
          <w:color w:val="auto"/>
        </w:rPr>
      </w:pPr>
    </w:p>
    <w:p>
      <w:pPr>
        <w:ind w:left="520" w:right="20" w:hanging="316"/>
        <w:spacing w:after="0" w:line="228" w:lineRule="auto"/>
        <w:tabs>
          <w:tab w:leader="none" w:pos="5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annual performance-based cash bonus earned by our named executive officers for 2019 performance have not yet been determined. It is anticipated that such bonuses will be determined later in the first quarter of 2020, at which time the Company will disclose the amounts of such bonuses. Please see the description of the annual bonus program under “2019 bonuses” below.</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Company matching contributions under our 401(k) plan.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Narrative to the summary compensation table</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salaries</w:t>
      </w:r>
    </w:p>
    <w:p>
      <w:pPr>
        <w:spacing w:after="0" w:line="124"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100"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For fiscal year 2019, Dr. Goldsmith’s annual base salary was $506,760, Dr. Kelsey’s annual base salary was $426,420, and Ms. Horn’s annual base salary was $386,250. The annual base salaries of our named executive officers were increased 3% from their respective levels in 2018, effective March 1, 2019.</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In connection with this offering, our board of directors approved increasing the annual base salaries of our named executive officers to the following amounts, in each case, effective as of the date of the effectiveness of the registration statement to which this prospectus relates: Dr. Goldsmith: $560,000; Dr. Kelsey: $469,000; and Ms. Horn: $469,000.</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bonuses</w:t>
      </w:r>
    </w:p>
    <w:p>
      <w:pPr>
        <w:spacing w:after="0" w:line="12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We maintain an annual performance-based cash bonus program in which each of our named executive officers participated in 2019. Each named executive officer’s target bonus is expressed as a percentage of base salary which can be achieved by meeting corporate goals at target level. The 2019 annual bonuses for Dr. Goldsmith, Dr. Kelsey and Ms. Horn are targeted at 45%, 35% and 35% of their respective base salaries, which levels remain unchanged from 2018.</w:t>
      </w:r>
    </w:p>
    <w:p>
      <w:pPr>
        <w:spacing w:after="0" w:line="10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For 2019, our named executive officers are eligible to earn annual cash bonuses based on the achievement of certain corporate performance objectives approved by the compensation committee and the board of directors as well as individual achievement, with corporate achievement weighted 90% and the individual achievement weighted 10%.</w:t>
      </w:r>
    </w:p>
    <w:p>
      <w:pPr>
        <w:spacing w:after="0" w:line="100"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board of directors has not yet determined the bonus payments with respect to 2019, but anticipates that such determinations will be made later in the first quarter of 2020.</w:t>
      </w:r>
    </w:p>
    <w:p>
      <w:pPr>
        <w:spacing w:after="0" w:line="101"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8"/>
          <w:szCs w:val="18"/>
          <w:color w:val="auto"/>
        </w:rPr>
        <w:t>In connection with this offering, our board of directors approved increasing the annual target bonuses of our named executive officers to the following amounts as a percentage of base salary, in each case, effective as of the date of the effectiveness of the registration statement to which this prospectus relates: Dr. Goldsmith: 50%; Dr. Kelsey: 40%; and Ms. Horn: 40%.</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4"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We previously maintained the 2014 Equity Incentive Plan, pursuant to which we granted equity awards to certain of our service providers. In connection with Ms. Horn’s promotion from Executive Vice President and General Counsel to Chief Operating Officer and General Counsel, our board approved, effective March 2019, the grant of an option to purchase 102,751 shares of our common stock, which vests as to 1/48</w:t>
      </w:r>
      <w:r>
        <w:rPr>
          <w:rFonts w:ascii="Arial" w:cs="Arial" w:eastAsia="Arial" w:hAnsi="Arial"/>
          <w:sz w:val="11"/>
          <w:szCs w:val="11"/>
          <w:color w:val="auto"/>
        </w:rPr>
        <w:t>th</w:t>
      </w:r>
      <w:r>
        <w:rPr>
          <w:rFonts w:ascii="Arial" w:cs="Arial" w:eastAsia="Arial" w:hAnsi="Arial"/>
          <w:sz w:val="18"/>
          <w:szCs w:val="18"/>
          <w:color w:val="auto"/>
        </w:rPr>
        <w:t xml:space="preserve"> of the shares subject to the option on each monthly anniversary of January 1, 2018, subject to Ms. Horn’s continued service on each applicable vesting date. Each option is exercisable immediately, in whole or in part, provided that shares acquired upon exercise of any unvested portion are subject to a right of repurchase by the Company.</w:t>
      </w:r>
    </w:p>
    <w:p>
      <w:pPr>
        <w:spacing w:after="0" w:line="102"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In March 2019, we granted to Dr. Goldsmith, Dr. Kelsey and Ms. Horn options to purchase 397,964, 123,301 and 123,302 shares of our common stock, respectively, each of which vests with respect to 1/48</w:t>
      </w:r>
      <w:r>
        <w:rPr>
          <w:rFonts w:ascii="Arial" w:cs="Arial" w:eastAsia="Arial" w:hAnsi="Arial"/>
          <w:sz w:val="11"/>
          <w:szCs w:val="11"/>
          <w:color w:val="auto"/>
        </w:rPr>
        <w:t>th</w:t>
      </w:r>
      <w:r>
        <w:rPr>
          <w:rFonts w:ascii="Arial" w:cs="Arial" w:eastAsia="Arial" w:hAnsi="Arial"/>
          <w:sz w:val="18"/>
          <w:szCs w:val="18"/>
          <w:color w:val="auto"/>
        </w:rPr>
        <w:t xml:space="preserve"> of the shares subject to the option on each monthly anniversary of March 13, 2019, subject to the executive’s continued service on each applicable vesting date. In addition, in August 2019, we granted to Dr. Goldsmith, Dr. Kelsey and Ms. Horn options to purchase 583,465, 206,740 and 224,800 shares of our common stock, respectively, each of which vests with respect to 1/48</w:t>
      </w:r>
      <w:r>
        <w:rPr>
          <w:rFonts w:ascii="Arial" w:cs="Arial" w:eastAsia="Arial" w:hAnsi="Arial"/>
          <w:sz w:val="11"/>
          <w:szCs w:val="11"/>
          <w:color w:val="auto"/>
        </w:rPr>
        <w:t>th</w:t>
      </w:r>
      <w:r>
        <w:rPr>
          <w:rFonts w:ascii="Arial" w:cs="Arial" w:eastAsia="Arial" w:hAnsi="Arial"/>
          <w:sz w:val="18"/>
          <w:szCs w:val="18"/>
          <w:color w:val="auto"/>
        </w:rPr>
        <w:t xml:space="preserve"> of the shares subject to the option on each monthly anniversary of August 9, 2019, subject to the executive’s continued service to the Company on each applicable vesting date.</w:t>
      </w:r>
    </w:p>
    <w:p>
      <w:pPr>
        <w:spacing w:after="0" w:line="102"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Each option is exercisable immediately, in whole or in part, provided that shares acquired upon exercise of any unvested portion are subject to a right of repurchase by the Company.</w:t>
      </w:r>
    </w:p>
    <w:p>
      <w:pPr>
        <w:spacing w:after="0" w:line="101"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We have adopted the 2020 Incentive Award Plan, or the 2020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The 2020 Plan became effective on the day prior to the date the registration</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statement relating to this offering becomes effective. For additional information about the 2020 Plan, please see the section titled “Equity compensation plans” below</w:t>
      </w:r>
      <w:r>
        <w:rPr>
          <w:rFonts w:ascii="Arial" w:cs="Arial" w:eastAsia="Arial" w:hAnsi="Arial"/>
          <w:sz w:val="18"/>
          <w:szCs w:val="18"/>
          <w:i w:val="1"/>
          <w:iCs w:val="1"/>
          <w:color w:val="auto"/>
        </w:rPr>
        <w:t>.</w:t>
      </w:r>
    </w:p>
    <w:p>
      <w:pPr>
        <w:spacing w:after="0" w:line="1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Effective as of the date of the effectiveness of the registration statement to which this prospectus relates, our board of directors approved the award of stock options under the 2020 Plan to our named executive officers to purchase shares of common stock in the following amounts: Dr. Goldsmith: 128,439 shares; Dr. Kelsey: 47,060 shares; and Ms. Horn: 47,060 shares. The stock options have a per share exercise price equal to the initial public offering price set forth on the cover of this prospectus and will vest in 48 equal monthly installments following the effective date of the grant, subject to the continued employment of the applicable named executive officer.</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Other elements of compensation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introduced a discretionary company contribution match for 2019 equal to 50% of participant contributions, subject to a maximum company match of $2,000. We did not match contributions made by participants prior to 2019.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2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 medical, dental and vision benefits, a cafeteria plan, short-term and long-term disability insurance, life insurance and pre-tax transit spending accounts. We do not currently provide any perquisites or other personal benefits to our named executive officers.</w:t>
      </w:r>
    </w:p>
    <w:p>
      <w:pPr>
        <w:spacing w:after="0" w:line="1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240" w:top="460" w:right="5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Outstanding equity awards as of December 31, 2019</w:t>
      </w:r>
    </w:p>
    <w:p>
      <w:pPr>
        <w:spacing w:after="0" w:line="134" w:lineRule="exact"/>
        <w:rPr>
          <w:sz w:val="20"/>
          <w:szCs w:val="20"/>
          <w:color w:val="auto"/>
        </w:rPr>
      </w:pPr>
    </w:p>
    <w:p>
      <w:pPr>
        <w:ind w:left="200" w:right="480"/>
        <w:spacing w:after="0" w:line="239" w:lineRule="auto"/>
        <w:rPr>
          <w:sz w:val="20"/>
          <w:szCs w:val="20"/>
          <w:color w:val="auto"/>
        </w:rPr>
      </w:pPr>
      <w:r>
        <w:rPr>
          <w:rFonts w:ascii="Arial" w:cs="Arial" w:eastAsia="Arial" w:hAnsi="Arial"/>
          <w:sz w:val="18"/>
          <w:szCs w:val="18"/>
          <w:color w:val="auto"/>
        </w:rPr>
        <w:t>The following table provides information about outstanding equity awards held by each of our named executive officers at December 31, 2019. All awards were granted under our 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ind w:left="2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Borders>
              <w:top w:val="single" w:sz="8" w:color="auto"/>
            </w:tcBorders>
          </w:tcPr>
          <w:p>
            <w:pPr>
              <w:jc w:val="center"/>
              <w:ind w:right="72"/>
              <w:spacing w:after="0" w:line="125" w:lineRule="exact"/>
              <w:rPr>
                <w:sz w:val="20"/>
                <w:szCs w:val="20"/>
                <w:color w:val="auto"/>
              </w:rPr>
            </w:pPr>
            <w:r>
              <w:rPr>
                <w:rFonts w:ascii="Arial" w:cs="Arial" w:eastAsia="Arial" w:hAnsi="Arial"/>
                <w:sz w:val="14"/>
                <w:szCs w:val="14"/>
                <w:b w:val="1"/>
                <w:bCs w:val="1"/>
                <w:color w:val="auto"/>
                <w:w w:val="94"/>
              </w:rPr>
              <w:t>Number</w:t>
            </w:r>
          </w:p>
        </w:tc>
        <w:tc>
          <w:tcPr>
            <w:tcW w:w="7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rPr>
              <w:t>of</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2"/>
              </w:rPr>
              <w:t>shares</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7"/>
              </w:rPr>
              <w:t>or units</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7"/>
              </w:rPr>
              <w:t>Number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93"/>
              </w:rPr>
              <w:t>of stock</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7"/>
              </w:rPr>
              <w:t>securities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of securities</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rPr>
              <w:t>that</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4"/>
              </w:rPr>
              <w:t>Vesting</w:t>
            </w:r>
          </w:p>
        </w:tc>
        <w:tc>
          <w:tcPr>
            <w:tcW w:w="140" w:type="dxa"/>
            <w:vAlign w:val="bottom"/>
          </w:tcPr>
          <w:p>
            <w:pPr>
              <w:spacing w:after="0"/>
              <w:rPr>
                <w:sz w:val="12"/>
                <w:szCs w:val="12"/>
                <w:color w:val="auto"/>
              </w:rPr>
            </w:pPr>
          </w:p>
        </w:tc>
        <w:tc>
          <w:tcPr>
            <w:tcW w:w="8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7"/>
              </w:rPr>
              <w:t>underlying</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Option</w:t>
            </w:r>
          </w:p>
        </w:tc>
        <w:tc>
          <w:tcPr>
            <w:tcW w:w="76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97"/>
              </w:rPr>
              <w:t>Option</w:t>
            </w:r>
          </w:p>
        </w:tc>
        <w:tc>
          <w:tcPr>
            <w:tcW w:w="26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have</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have not</w:t>
            </w: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900" w:type="dxa"/>
            <w:vAlign w:val="bottom"/>
          </w:tcPr>
          <w:p>
            <w:pPr>
              <w:spacing w:after="0"/>
              <w:rPr>
                <w:sz w:val="12"/>
                <w:szCs w:val="12"/>
                <w:color w:val="auto"/>
              </w:rPr>
            </w:pPr>
          </w:p>
        </w:tc>
        <w:tc>
          <w:tcPr>
            <w:tcW w:w="14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7"/>
              </w:rPr>
              <w:t>commencement</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exercisable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unexercisable</w:t>
            </w: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exercise</w:t>
            </w:r>
          </w:p>
        </w:tc>
        <w:tc>
          <w:tcPr>
            <w:tcW w:w="76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95"/>
              </w:rPr>
              <w:t>expiration</w:t>
            </w:r>
          </w:p>
        </w:tc>
        <w:tc>
          <w:tcPr>
            <w:tcW w:w="26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rPr>
              <w:t>not</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vested</w:t>
            </w:r>
          </w:p>
        </w:tc>
        <w:tc>
          <w:tcPr>
            <w:tcW w:w="0" w:type="dxa"/>
            <w:vAlign w:val="bottom"/>
          </w:tcPr>
          <w:p>
            <w:pPr>
              <w:spacing w:after="0"/>
              <w:rPr>
                <w:sz w:val="1"/>
                <w:szCs w:val="1"/>
                <w:color w:val="auto"/>
              </w:rPr>
            </w:pPr>
          </w:p>
        </w:tc>
      </w:tr>
      <w:tr>
        <w:trPr>
          <w:trHeight w:val="165"/>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c>
          <w:tcPr>
            <w:tcW w:w="1460" w:type="dxa"/>
            <w:vAlign w:val="bottom"/>
          </w:tcPr>
          <w:p>
            <w:pPr>
              <w:jc w:val="center"/>
              <w:ind w:right="72"/>
              <w:spacing w:after="0"/>
              <w:rPr>
                <w:sz w:val="20"/>
                <w:szCs w:val="20"/>
                <w:color w:val="auto"/>
              </w:rPr>
            </w:pPr>
            <w:r>
              <w:rPr>
                <w:rFonts w:ascii="Arial" w:cs="Arial" w:eastAsia="Arial" w:hAnsi="Arial"/>
                <w:sz w:val="14"/>
                <w:szCs w:val="14"/>
                <w:b w:val="1"/>
                <w:bCs w:val="1"/>
                <w:color w:val="auto"/>
                <w:w w:val="97"/>
              </w:rPr>
              <w:t>date</w:t>
            </w:r>
          </w:p>
        </w:tc>
        <w:tc>
          <w:tcPr>
            <w:tcW w:w="140" w:type="dxa"/>
            <w:vAlign w:val="bottom"/>
          </w:tcPr>
          <w:p>
            <w:pPr>
              <w:spacing w:after="0"/>
              <w:rPr>
                <w:sz w:val="14"/>
                <w:szCs w:val="14"/>
                <w:color w:val="auto"/>
              </w:rPr>
            </w:pPr>
          </w:p>
        </w:tc>
        <w:tc>
          <w:tcPr>
            <w:tcW w:w="840" w:type="dxa"/>
            <w:vAlign w:val="bottom"/>
          </w:tcPr>
          <w:p>
            <w:pPr>
              <w:jc w:val="center"/>
              <w:ind w:right="72"/>
              <w:spacing w:after="0"/>
              <w:rPr>
                <w:sz w:val="20"/>
                <w:szCs w:val="20"/>
                <w:color w:val="auto"/>
              </w:rPr>
            </w:pPr>
            <w:r>
              <w:rPr>
                <w:rFonts w:ascii="Arial" w:cs="Arial" w:eastAsia="Arial" w:hAnsi="Arial"/>
                <w:sz w:val="14"/>
                <w:szCs w:val="14"/>
                <w:b w:val="1"/>
                <w:bCs w:val="1"/>
                <w:color w:val="auto"/>
                <w:w w:val="97"/>
              </w:rPr>
              <w:t>options(1)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options(1)</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price ($)</w:t>
            </w:r>
          </w:p>
        </w:tc>
        <w:tc>
          <w:tcPr>
            <w:tcW w:w="760" w:type="dxa"/>
            <w:vAlign w:val="bottom"/>
          </w:tcPr>
          <w:p>
            <w:pPr>
              <w:jc w:val="center"/>
              <w:ind w:left="52"/>
              <w:spacing w:after="0"/>
              <w:rPr>
                <w:sz w:val="20"/>
                <w:szCs w:val="20"/>
                <w:color w:val="auto"/>
              </w:rPr>
            </w:pPr>
            <w:r>
              <w:rPr>
                <w:rFonts w:ascii="Arial" w:cs="Arial" w:eastAsia="Arial" w:hAnsi="Arial"/>
                <w:sz w:val="14"/>
                <w:szCs w:val="14"/>
                <w:b w:val="1"/>
                <w:bCs w:val="1"/>
                <w:color w:val="auto"/>
                <w:w w:val="97"/>
              </w:rPr>
              <w:t>date</w:t>
            </w:r>
          </w:p>
        </w:tc>
        <w:tc>
          <w:tcPr>
            <w:tcW w:w="260" w:type="dxa"/>
            <w:vAlign w:val="bottom"/>
          </w:tcPr>
          <w:p>
            <w:pPr>
              <w:spacing w:after="0"/>
              <w:rPr>
                <w:sz w:val="14"/>
                <w:szCs w:val="14"/>
                <w:color w:val="auto"/>
              </w:rPr>
            </w:pPr>
          </w:p>
        </w:tc>
        <w:tc>
          <w:tcPr>
            <w:tcW w:w="64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vested</w:t>
            </w:r>
          </w:p>
        </w:tc>
        <w:tc>
          <w:tcPr>
            <w:tcW w:w="780" w:type="dxa"/>
            <w:vAlign w:val="bottom"/>
          </w:tcPr>
          <w:p>
            <w:pPr>
              <w:jc w:val="center"/>
              <w:ind w:left="32"/>
              <w:spacing w:after="0"/>
              <w:rPr>
                <w:sz w:val="20"/>
                <w:szCs w:val="20"/>
                <w:color w:val="auto"/>
              </w:rPr>
            </w:pPr>
            <w:r>
              <w:rPr>
                <w:rFonts w:ascii="Arial" w:cs="Arial" w:eastAsia="Arial" w:hAnsi="Arial"/>
                <w:sz w:val="14"/>
                <w:szCs w:val="14"/>
                <w:b w:val="1"/>
                <w:bCs w:val="1"/>
                <w:color w:val="auto"/>
                <w:w w:val="93"/>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Mark A. Goldsmith, M.D., Ph.D</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3/21/2017</w:t>
            </w:r>
          </w:p>
        </w:tc>
        <w:tc>
          <w:tcPr>
            <w:tcW w:w="1460" w:type="dxa"/>
            <w:vAlign w:val="bottom"/>
            <w:tcBorders>
              <w:top w:val="single" w:sz="8" w:color="auto"/>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12/1/2016(3)</w:t>
            </w:r>
          </w:p>
        </w:tc>
        <w:tc>
          <w:tcPr>
            <w:tcW w:w="980" w:type="dxa"/>
            <w:vAlign w:val="bottom"/>
            <w:tcBorders>
              <w:top w:val="single" w:sz="8" w:color="auto"/>
            </w:tcBorders>
            <w:gridSpan w:val="2"/>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154,127</w:t>
            </w:r>
          </w:p>
        </w:tc>
        <w:tc>
          <w:tcPr>
            <w:tcW w:w="1160" w:type="dxa"/>
            <w:vAlign w:val="bottom"/>
            <w:tcBorders>
              <w:top w:val="single" w:sz="8" w:color="auto"/>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51,376</w:t>
            </w:r>
          </w:p>
        </w:tc>
        <w:tc>
          <w:tcPr>
            <w:tcW w:w="320" w:type="dxa"/>
            <w:vAlign w:val="bottom"/>
            <w:tcBorders>
              <w:top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0.49</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3/20/2027</w:t>
            </w:r>
          </w:p>
        </w:tc>
        <w:tc>
          <w:tcPr>
            <w:tcW w:w="2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2/12/2018</w:t>
            </w:r>
          </w:p>
        </w:tc>
        <w:tc>
          <w:tcPr>
            <w:tcW w:w="1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3/1/2018(3)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97,779</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125,717</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0.54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2/11/2028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Officer</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4/20/2018</w:t>
            </w:r>
          </w:p>
        </w:tc>
        <w:tc>
          <w:tcPr>
            <w:tcW w:w="1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3/29/2018(3)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67,430</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86,697</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4/19/2028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3/13/2019</w:t>
            </w:r>
          </w:p>
        </w:tc>
        <w:tc>
          <w:tcPr>
            <w:tcW w:w="1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3/13/2019(3)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74,617</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323,347</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3/12/2029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8/9/2019</w:t>
            </w:r>
          </w:p>
        </w:tc>
        <w:tc>
          <w:tcPr>
            <w:tcW w:w="1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8/9/2019(3)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48,622</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534,843</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4.73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8/8/2029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4"/>
                <w:szCs w:val="14"/>
                <w:color w:val="auto"/>
              </w:rPr>
              <w:t>Steve Kelsey, M.D.</w:t>
            </w:r>
          </w:p>
        </w:tc>
        <w:tc>
          <w:tcPr>
            <w:tcW w:w="900" w:type="dxa"/>
            <w:vAlign w:val="bottom"/>
          </w:tcPr>
          <w:p>
            <w:pPr>
              <w:jc w:val="right"/>
              <w:spacing w:after="0"/>
              <w:rPr>
                <w:sz w:val="20"/>
                <w:szCs w:val="20"/>
                <w:color w:val="auto"/>
              </w:rPr>
            </w:pPr>
            <w:r>
              <w:rPr>
                <w:rFonts w:ascii="Arial" w:cs="Arial" w:eastAsia="Arial" w:hAnsi="Arial"/>
                <w:sz w:val="14"/>
                <w:szCs w:val="14"/>
                <w:color w:val="auto"/>
              </w:rPr>
              <w:t>3/21/2017</w:t>
            </w:r>
          </w:p>
        </w:tc>
        <w:tc>
          <w:tcPr>
            <w:tcW w:w="1460" w:type="dxa"/>
            <w:vAlign w:val="bottom"/>
          </w:tcPr>
          <w:p>
            <w:pPr>
              <w:jc w:val="right"/>
              <w:ind w:right="52"/>
              <w:spacing w:after="0"/>
              <w:rPr>
                <w:sz w:val="20"/>
                <w:szCs w:val="20"/>
                <w:color w:val="auto"/>
              </w:rPr>
            </w:pPr>
            <w:r>
              <w:rPr>
                <w:rFonts w:ascii="Arial" w:cs="Arial" w:eastAsia="Arial" w:hAnsi="Arial"/>
                <w:sz w:val="14"/>
                <w:szCs w:val="14"/>
                <w:color w:val="auto"/>
              </w:rPr>
              <w:t>3/20/2017(4)</w:t>
            </w:r>
          </w:p>
        </w:tc>
        <w:tc>
          <w:tcPr>
            <w:tcW w:w="14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0.00</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52"/>
              <w:spacing w:after="0"/>
              <w:rPr>
                <w:sz w:val="20"/>
                <w:szCs w:val="20"/>
                <w:color w:val="auto"/>
              </w:rPr>
            </w:pPr>
            <w:r>
              <w:rPr>
                <w:rFonts w:ascii="Arial" w:cs="Arial" w:eastAsia="Arial" w:hAnsi="Arial"/>
                <w:sz w:val="14"/>
                <w:szCs w:val="14"/>
                <w:color w:val="auto"/>
              </w:rPr>
              <w:t>64,220</w:t>
            </w:r>
          </w:p>
        </w:tc>
        <w:tc>
          <w:tcPr>
            <w:tcW w:w="780" w:type="dxa"/>
            <w:vAlign w:val="bottom"/>
          </w:tcPr>
          <w:p>
            <w:pPr>
              <w:jc w:val="right"/>
              <w:spacing w:after="0"/>
              <w:rPr>
                <w:sz w:val="20"/>
                <w:szCs w:val="20"/>
                <w:color w:val="auto"/>
              </w:rPr>
            </w:pPr>
            <w:r>
              <w:rPr>
                <w:rFonts w:ascii="Arial" w:cs="Arial" w:eastAsia="Arial" w:hAnsi="Arial"/>
                <w:sz w:val="14"/>
                <w:szCs w:val="14"/>
                <w:color w:val="auto"/>
              </w:rPr>
              <w:t>1,091,740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ind w:left="200"/>
              <w:spacing w:after="0" w:line="149" w:lineRule="exact"/>
              <w:rPr>
                <w:sz w:val="20"/>
                <w:szCs w:val="20"/>
                <w:color w:val="auto"/>
              </w:rPr>
            </w:pPr>
            <w:r>
              <w:rPr>
                <w:rFonts w:ascii="Arial" w:cs="Arial" w:eastAsia="Arial" w:hAnsi="Arial"/>
                <w:sz w:val="14"/>
                <w:szCs w:val="14"/>
                <w:color w:val="auto"/>
              </w:rPr>
              <w:t>President, Research and Development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2/12/2018</w:t>
            </w:r>
          </w:p>
        </w:tc>
        <w:tc>
          <w:tcPr>
            <w:tcW w:w="1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3/1/2018(4)</w:t>
            </w:r>
          </w:p>
        </w:tc>
        <w:tc>
          <w:tcPr>
            <w:tcW w:w="14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35,160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597,720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3/13/2019</w:t>
            </w:r>
          </w:p>
        </w:tc>
        <w:tc>
          <w:tcPr>
            <w:tcW w:w="1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3/13/2019(3)</w:t>
            </w:r>
          </w:p>
        </w:tc>
        <w:tc>
          <w:tcPr>
            <w:tcW w:w="9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23,119</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100,182</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4.09</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3/12/2029</w:t>
            </w:r>
          </w:p>
        </w:tc>
        <w:tc>
          <w:tcPr>
            <w:tcW w:w="26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8/9/2019</w:t>
            </w:r>
          </w:p>
        </w:tc>
        <w:tc>
          <w:tcPr>
            <w:tcW w:w="1460" w:type="dxa"/>
            <w:vAlign w:val="bottom"/>
          </w:tcPr>
          <w:p>
            <w:pPr>
              <w:jc w:val="right"/>
              <w:ind w:right="52"/>
              <w:spacing w:after="0"/>
              <w:rPr>
                <w:sz w:val="20"/>
                <w:szCs w:val="20"/>
                <w:color w:val="auto"/>
              </w:rPr>
            </w:pPr>
            <w:r>
              <w:rPr>
                <w:rFonts w:ascii="Arial" w:cs="Arial" w:eastAsia="Arial" w:hAnsi="Arial"/>
                <w:sz w:val="14"/>
                <w:szCs w:val="14"/>
                <w:color w:val="auto"/>
              </w:rPr>
              <w:t>8/9/2019(3)</w:t>
            </w:r>
          </w:p>
        </w:tc>
        <w:tc>
          <w:tcPr>
            <w:tcW w:w="980" w:type="dxa"/>
            <w:vAlign w:val="bottom"/>
            <w:gridSpan w:val="2"/>
          </w:tcPr>
          <w:p>
            <w:pPr>
              <w:jc w:val="right"/>
              <w:ind w:right="52"/>
              <w:spacing w:after="0"/>
              <w:rPr>
                <w:sz w:val="20"/>
                <w:szCs w:val="20"/>
                <w:color w:val="auto"/>
              </w:rPr>
            </w:pPr>
            <w:r>
              <w:rPr>
                <w:rFonts w:ascii="Arial" w:cs="Arial" w:eastAsia="Arial" w:hAnsi="Arial"/>
                <w:sz w:val="14"/>
                <w:szCs w:val="14"/>
                <w:color w:val="auto"/>
              </w:rPr>
              <w:t>17,228</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189,512</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4.73</w:t>
            </w:r>
          </w:p>
        </w:tc>
        <w:tc>
          <w:tcPr>
            <w:tcW w:w="760" w:type="dxa"/>
            <w:vAlign w:val="bottom"/>
          </w:tcPr>
          <w:p>
            <w:pPr>
              <w:jc w:val="right"/>
              <w:spacing w:after="0"/>
              <w:rPr>
                <w:sz w:val="20"/>
                <w:szCs w:val="20"/>
                <w:color w:val="auto"/>
              </w:rPr>
            </w:pPr>
            <w:r>
              <w:rPr>
                <w:rFonts w:ascii="Arial" w:cs="Arial" w:eastAsia="Arial" w:hAnsi="Arial"/>
                <w:sz w:val="14"/>
                <w:szCs w:val="14"/>
                <w:color w:val="auto"/>
              </w:rPr>
              <w:t>8/8/2029</w:t>
            </w:r>
          </w:p>
        </w:tc>
        <w:tc>
          <w:tcPr>
            <w:tcW w:w="26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Margaret Horn, J.D.</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3/21/2017</w:t>
            </w:r>
          </w:p>
        </w:tc>
        <w:tc>
          <w:tcPr>
            <w:tcW w:w="14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3/20/2017(4)</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5,138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87,346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Operating Officer</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6/7/2017</w:t>
            </w:r>
          </w:p>
        </w:tc>
        <w:tc>
          <w:tcPr>
            <w:tcW w:w="1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6/7/2017(4)</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11,560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 General Counsel</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2/12/2018</w:t>
            </w:r>
          </w:p>
        </w:tc>
        <w:tc>
          <w:tcPr>
            <w:tcW w:w="1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3/1/2018(3)</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13,441</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0.54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2/11/2028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3/13/2019</w:t>
            </w:r>
          </w:p>
        </w:tc>
        <w:tc>
          <w:tcPr>
            <w:tcW w:w="1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1/1/2018(3)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49,234</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53,517</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3/12/2029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3/13/2019</w:t>
            </w:r>
          </w:p>
        </w:tc>
        <w:tc>
          <w:tcPr>
            <w:tcW w:w="1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3/13/2019(3)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23,119</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100,183</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3/12/2029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8/9/2019</w:t>
            </w:r>
          </w:p>
        </w:tc>
        <w:tc>
          <w:tcPr>
            <w:tcW w:w="1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8/9/2019(3)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18,733</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206,067</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4.73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8/8/2029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140" w:hanging="316"/>
        <w:spacing w:after="0" w:line="231" w:lineRule="auto"/>
        <w:tabs>
          <w:tab w:leader="none" w:pos="5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Each stock option permits early exercise of the unvested portion of the award in exchange for restricted stock and was, therefore, fully exercisable as of December 31, 2019. The number of shares shown as exercisable and unexercisable reflect the number of shares vested and unvested, respectively, as of December 31, 2019.</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market value of our common stock is based upon the initial public offering price of $17.00 per share.</w:t>
      </w:r>
    </w:p>
    <w:p>
      <w:pPr>
        <w:spacing w:after="0" w:line="29" w:lineRule="exact"/>
        <w:rPr>
          <w:rFonts w:ascii="Arial" w:cs="Arial" w:eastAsia="Arial" w:hAnsi="Arial"/>
          <w:sz w:val="14"/>
          <w:szCs w:val="14"/>
          <w:color w:val="auto"/>
        </w:rPr>
      </w:pPr>
    </w:p>
    <w:p>
      <w:pPr>
        <w:ind w:left="520" w:hanging="316"/>
        <w:spacing w:after="0"/>
        <w:tabs>
          <w:tab w:leader="none" w:pos="5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1/48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of the shares originally subject to the option vest monthly measured from the vesting commencement date, subject to continued service on the applicable vesting date.</w:t>
      </w:r>
    </w:p>
    <w:p>
      <w:pPr>
        <w:ind w:left="520" w:right="120" w:hanging="316"/>
        <w:spacing w:after="0" w:line="228" w:lineRule="auto"/>
        <w:tabs>
          <w:tab w:leader="none" w:pos="5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shares of restricted stock acquired upon exercise of an option prior to vesting. The shares of restricted stock are subject to repurchase by us at the original exercise price upon a termination of service prior to vesting. The unvested shares reported vest in equal monthly installments through the fourth anniversary of the vesting commencement date subject to continued service through each applicable vesting date.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compensation arrangements</w:t>
      </w:r>
    </w:p>
    <w:p>
      <w:pPr>
        <w:spacing w:after="0" w:line="116" w:lineRule="exact"/>
        <w:rPr>
          <w:sz w:val="20"/>
          <w:szCs w:val="20"/>
          <w:color w:val="auto"/>
        </w:rPr>
      </w:pPr>
    </w:p>
    <w:p>
      <w:pPr>
        <w:ind w:left="200" w:right="320"/>
        <w:spacing w:after="0" w:line="247" w:lineRule="auto"/>
        <w:rPr>
          <w:sz w:val="20"/>
          <w:szCs w:val="20"/>
          <w:color w:val="auto"/>
        </w:rPr>
      </w:pPr>
      <w:r>
        <w:rPr>
          <w:rFonts w:ascii="Arial" w:cs="Arial" w:eastAsia="Arial" w:hAnsi="Arial"/>
          <w:sz w:val="18"/>
          <w:szCs w:val="18"/>
          <w:i w:val="1"/>
          <w:iCs w:val="1"/>
          <w:color w:val="auto"/>
        </w:rPr>
        <w:t xml:space="preserve">Offer letters. </w:t>
      </w:r>
      <w:r>
        <w:rPr>
          <w:rFonts w:ascii="Arial" w:cs="Arial" w:eastAsia="Arial" w:hAnsi="Arial"/>
          <w:sz w:val="18"/>
          <w:szCs w:val="18"/>
          <w:color w:val="auto"/>
        </w:rPr>
        <w:t>We previously entered into offer letter agreements with each of our named executive officers in connection with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with us. These agreements set forth the terms and conditions of employment of each named executive officer, including initial base salary, target bonus opportunity and equity grants and employee benefits eligibility.</w:t>
      </w:r>
    </w:p>
    <w:p>
      <w:pPr>
        <w:spacing w:after="0" w:line="77" w:lineRule="exact"/>
        <w:rPr>
          <w:sz w:val="20"/>
          <w:szCs w:val="20"/>
          <w:color w:val="auto"/>
        </w:rPr>
      </w:pPr>
    </w:p>
    <w:p>
      <w:pPr>
        <w:ind w:left="200" w:right="60"/>
        <w:spacing w:after="0" w:line="274" w:lineRule="auto"/>
        <w:rPr>
          <w:sz w:val="20"/>
          <w:szCs w:val="20"/>
          <w:color w:val="auto"/>
        </w:rPr>
      </w:pPr>
      <w:r>
        <w:rPr>
          <w:rFonts w:ascii="Arial" w:cs="Arial" w:eastAsia="Arial" w:hAnsi="Arial"/>
          <w:sz w:val="16"/>
          <w:szCs w:val="16"/>
          <w:i w:val="1"/>
          <w:iCs w:val="1"/>
          <w:color w:val="auto"/>
        </w:rPr>
        <w:t>Change in control separation benefits plan</w:t>
      </w:r>
      <w:r>
        <w:rPr>
          <w:rFonts w:ascii="Arial" w:cs="Arial" w:eastAsia="Arial" w:hAnsi="Arial"/>
          <w:sz w:val="16"/>
          <w:szCs w:val="16"/>
          <w:color w:val="auto"/>
        </w:rPr>
        <w:t>. In September 2017, our board of directors adopted a Change in Control Separation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Plan that provides severance benefits to employees of the Company, including our named executive officers, in the event of a termination by the Company without “cause” or a resignation for “good reason” (each as defined in the plan), in each case, within the period commencing three months prior to and ending 12 months following a change in control of the Company (such termination, a “qualifying termination”). In the event of a qualifying termination, our named executive officers would be eligible to receive (i) a cash lump sum payment equal to (A) 0.75x (or 1x, in the case of our Chief Executive Officer) his or her annual base salary plus (B) his or her annual target bonus, in each case, at the greater of the rate immediately in effect as of the qualifying termination or the change in control; (ii) payment or reimbursement</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300"/>
        <w:spacing w:after="0" w:line="236" w:lineRule="auto"/>
        <w:rPr>
          <w:sz w:val="20"/>
          <w:szCs w:val="20"/>
          <w:color w:val="auto"/>
        </w:rPr>
      </w:pPr>
      <w:r>
        <w:rPr>
          <w:rFonts w:ascii="Arial" w:cs="Arial" w:eastAsia="Arial" w:hAnsi="Arial"/>
          <w:sz w:val="18"/>
          <w:szCs w:val="18"/>
          <w:color w:val="auto"/>
        </w:rPr>
        <w:t>of continued healthcare premiums pursuant to COBRA for up to the end of the ninth month (or the twelfth month, in the case of our Chief Executive Officer) following termination; and (iii) full accelerated vesting of any equity awards outstanding as of the date of the qualifying termination. All such severance benefits are subject to the participant signing a general release of all claims against the Company and its affiliates that becomes effective and irrevocable within 60 days after the termination of employment in a form reasonably acceptable to the Company.</w:t>
      </w:r>
    </w:p>
    <w:p>
      <w:pPr>
        <w:spacing w:after="0" w:line="103" w:lineRule="exact"/>
        <w:rPr>
          <w:sz w:val="20"/>
          <w:szCs w:val="20"/>
          <w:color w:val="auto"/>
        </w:rPr>
      </w:pPr>
    </w:p>
    <w:p>
      <w:pPr>
        <w:ind w:left="200" w:right="440"/>
        <w:spacing w:after="0" w:line="239" w:lineRule="auto"/>
        <w:rPr>
          <w:sz w:val="20"/>
          <w:szCs w:val="20"/>
          <w:color w:val="auto"/>
        </w:rPr>
      </w:pPr>
      <w:r>
        <w:rPr>
          <w:rFonts w:ascii="Arial" w:cs="Arial" w:eastAsia="Arial" w:hAnsi="Arial"/>
          <w:sz w:val="18"/>
          <w:szCs w:val="18"/>
          <w:color w:val="auto"/>
        </w:rPr>
        <w:t>In December 2019, our board of directors approved the amendment and restatement of the Change in Control Separation Benefits Plan, pursuant to which our named executive officers are no longer eligible to participate in the plan.</w:t>
      </w:r>
    </w:p>
    <w:p>
      <w:pPr>
        <w:spacing w:after="0" w:line="83" w:lineRule="exact"/>
        <w:rPr>
          <w:sz w:val="20"/>
          <w:szCs w:val="20"/>
          <w:color w:val="auto"/>
        </w:rPr>
      </w:pPr>
    </w:p>
    <w:p>
      <w:pPr>
        <w:ind w:left="200"/>
        <w:spacing w:after="0" w:line="322" w:lineRule="auto"/>
        <w:rPr>
          <w:sz w:val="20"/>
          <w:szCs w:val="20"/>
          <w:color w:val="auto"/>
        </w:rPr>
      </w:pPr>
      <w:r>
        <w:rPr>
          <w:rFonts w:ascii="Arial" w:cs="Arial" w:eastAsia="Arial" w:hAnsi="Arial"/>
          <w:sz w:val="16"/>
          <w:szCs w:val="16"/>
          <w:i w:val="1"/>
          <w:iCs w:val="1"/>
          <w:color w:val="auto"/>
        </w:rPr>
        <w:t>New employment agreements</w:t>
      </w:r>
      <w:r>
        <w:rPr>
          <w:rFonts w:ascii="Arial" w:cs="Arial" w:eastAsia="Arial" w:hAnsi="Arial"/>
          <w:sz w:val="16"/>
          <w:szCs w:val="16"/>
          <w:color w:val="auto"/>
        </w:rPr>
        <w:t>. In connection with this offering, we have entered into new employment agreements with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which supersede in their entirety their original offer letters and the terms of the Change in Control Separation Benefits Plan.</w:t>
      </w:r>
    </w:p>
    <w:p>
      <w:pPr>
        <w:spacing w:after="0" w:line="3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Pursuant to the terms of the new employment agreements, in the event the named executive officer is terminated without Cause or resigns for Good Reason (each, as defined in the employment agreements), in each case, other than during the period commencing three months prior to and ending 18 months following a change in control, the named executive officer will be eligible to receive: (i) a lump sum cash payment equal to 1x, in the case of our Chief Executive Officer or 0.75x, in the case of our other named executive officers, the sum of the executive’s annual base salary and target annual bonus; (ii) payment or reimbursement of COBRA premiums for 12 months, in the case of our Chief Executive Officer or nine months, in the case of our other named executive officers; and (iii) at the discretion of the board of directors or the compensation committee, 12 months’ accelerated vesting of equity awards, in the case of our Chief Executive Officer or 9 months’ accelerated vesting of equity awards, in the case of our other named executive officers.</w:t>
      </w:r>
    </w:p>
    <w:p>
      <w:pPr>
        <w:spacing w:after="0" w:line="10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6"/>
          <w:szCs w:val="16"/>
          <w:color w:val="auto"/>
        </w:rPr>
        <w:t>In addition, in the event the named executive officer is terminated without Cause or resigns for Good Reason, in each case, during the period commencing three months prior to and ending 18 months following a change in control, the named executive officer will be eligible to receive:</w:t>
      </w:r>
    </w:p>
    <w:p>
      <w:pPr>
        <w:jc w:val="both"/>
        <w:ind w:left="200" w:firstLine="4"/>
        <w:spacing w:after="0" w:line="236" w:lineRule="auto"/>
        <w:tabs>
          <w:tab w:leader="none" w:pos="4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lump sum cash payment equal to 1.5x, in the case of our Chief Executive Officer, or 1x, in the case of our other named executive officers, the sum of the executive’s annual base salary and target annual bonus; (ii) payment or reimbursement of COBRA premiums for 18 months, in the case of our Chief Executive Officer, or 12 months, in the case of our other named executive officers; and (iii) full accelerated vesting of all equity awards. All severance payments and benefits under the employment agreements are subject to the executive’s execution of a release of claims against us.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Equity compensation plans</w:t>
      </w:r>
    </w:p>
    <w:p>
      <w:pPr>
        <w:spacing w:after="0" w:line="13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following summarizes the material terms of the 2020 Plan, in which our named executive officers will be eligible to participate following the consummation of this offering, our 2014 Equity Incentive Plan, or the 2014 Plan, under which we have previously made periodic grants of equity and equity-based awards to our named executive officers and other key employees and the employee stock purchase plan that we have adopted in connection with the consummation of this offering.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24"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We have adopted the 2020 Plan, which became effective on the day prior to the effectiveness of the registration statement to which this prospectus relates. The principal purpose of the 2020 Plan is to attract, retain and motivate selected employees, consultants and directors through the granting of stock-based compensation awards and cash-based performance bonus awards. The material terms of the 2020 Plan are summarized below.</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right="80"/>
        <w:spacing w:after="0" w:line="267"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Under the 2020 Plan, 5,771,197 shares of our common stock are initially reserved for issuance pursuant to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awards, including stock options, stock appreciation rights, or SARs, restricted stock awards, restricted stock unit awards, performance bonus awards, performance stock unit awards, dividend equivalents, or other stock or cash based awards. The number of shares initially reserved for issuance or transfer pursuant to awards under the 2020 Plan will be increased by (i) the number of shares represented by awards outstanding under our 2014 Plan (“2014 Plan Awards”) that become available for issuance under the counting provisions described below following the effective date and (ii) an annual increase on the first day of each fiscal year beginning in 2021 and ending in 2030, equal to the lesser of (A) 5% of the shares of stock outstanding on the last day of the immediately preceding fiscal year and</w:t>
      </w:r>
    </w:p>
    <w:p>
      <w:pPr>
        <w:spacing w:after="0" w:line="3" w:lineRule="exact"/>
        <w:rPr>
          <w:sz w:val="20"/>
          <w:szCs w:val="20"/>
          <w:color w:val="auto"/>
        </w:rPr>
      </w:pPr>
    </w:p>
    <w:p>
      <w:pPr>
        <w:ind w:left="200" w:right="60" w:firstLine="4"/>
        <w:spacing w:after="0" w:line="239" w:lineRule="auto"/>
        <w:tabs>
          <w:tab w:leader="none" w:pos="48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smaller number of shares of stock as determined by our board of directors; provided, however, that no more than 46,173,732 shares of stock may be issued upon the exercise of incentive stock options.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counting provisions are in effect for the share reserve under the 2020 Plan:</w:t>
      </w:r>
    </w:p>
    <w:p>
      <w:pPr>
        <w:spacing w:after="0" w:line="117" w:lineRule="exact"/>
        <w:rPr>
          <w:sz w:val="20"/>
          <w:szCs w:val="20"/>
          <w:color w:val="auto"/>
        </w:rPr>
      </w:pPr>
    </w:p>
    <w:p>
      <w:pPr>
        <w:ind w:left="420" w:hanging="216"/>
        <w:spacing w:after="0" w:line="275" w:lineRule="auto"/>
        <w:tabs>
          <w:tab w:leader="none" w:pos="4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to the extent that an award (including a 2014 Plan Award) expires, lapses or is terminated, converted into an award in respect of shares of another entity in connection with a spin-off or other similar event, exchanged for cash, surrendered, repurchased, canceled, in any case, in a manner that results in the Company acquiring the underlying shares at a price not greater than the price paid by the participant or not issuing the underlying shares, such unused shares subject to the award at such time will be available for future grants under the 2020 Plan;</w:t>
      </w:r>
    </w:p>
    <w:p>
      <w:pPr>
        <w:spacing w:after="0" w:line="88" w:lineRule="exact"/>
        <w:rPr>
          <w:rFonts w:ascii="Arial" w:cs="Arial" w:eastAsia="Arial" w:hAnsi="Arial"/>
          <w:sz w:val="16"/>
          <w:szCs w:val="16"/>
          <w:color w:val="auto"/>
        </w:rPr>
      </w:pPr>
    </w:p>
    <w:p>
      <w:pPr>
        <w:ind w:left="420" w:right="400" w:hanging="216"/>
        <w:spacing w:after="0" w:line="299" w:lineRule="auto"/>
        <w:tabs>
          <w:tab w:leader="none" w:pos="4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to the extent shares are tendered or withheld to satisfy the grant, exercise price or tax withholding obligation with respect to any award under the 2020 Plan or 2014 Plan Award, such tendered or withheld shares will be available for future grants under the 2020 Plan;</w:t>
      </w:r>
    </w:p>
    <w:p>
      <w:pPr>
        <w:spacing w:after="0" w:line="68" w:lineRule="exact"/>
        <w:rPr>
          <w:rFonts w:ascii="Arial" w:cs="Arial" w:eastAsia="Arial" w:hAnsi="Arial"/>
          <w:sz w:val="16"/>
          <w:szCs w:val="16"/>
          <w:color w:val="auto"/>
        </w:rPr>
      </w:pPr>
    </w:p>
    <w:p>
      <w:pPr>
        <w:ind w:left="420" w:right="180" w:hanging="216"/>
        <w:spacing w:after="0" w:line="239" w:lineRule="auto"/>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are not issued in connection with the stock settlement of stock appreciation rights on exercise thereof, such shares will be available for future grants under the 2020 Plan;</w:t>
      </w:r>
    </w:p>
    <w:p>
      <w:pPr>
        <w:spacing w:after="0" w:line="114" w:lineRule="exact"/>
        <w:rPr>
          <w:rFonts w:ascii="Arial" w:cs="Arial" w:eastAsia="Arial" w:hAnsi="Arial"/>
          <w:sz w:val="18"/>
          <w:szCs w:val="18"/>
          <w:color w:val="auto"/>
        </w:rPr>
      </w:pPr>
    </w:p>
    <w:p>
      <w:pPr>
        <w:ind w:left="420" w:right="220" w:hanging="216"/>
        <w:spacing w:after="0" w:line="239" w:lineRule="auto"/>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or 2014 Plan Awards will not be counted against the shares available for issuance under the 2020 Plan; and</w:t>
      </w:r>
    </w:p>
    <w:p>
      <w:pPr>
        <w:spacing w:after="0" w:line="114" w:lineRule="exact"/>
        <w:rPr>
          <w:rFonts w:ascii="Arial" w:cs="Arial" w:eastAsia="Arial" w:hAnsi="Arial"/>
          <w:sz w:val="18"/>
          <w:szCs w:val="18"/>
          <w:color w:val="auto"/>
        </w:rPr>
      </w:pPr>
    </w:p>
    <w:p>
      <w:pPr>
        <w:ind w:left="420" w:right="320" w:hanging="216"/>
        <w:spacing w:after="0" w:line="239" w:lineRule="auto"/>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issued in assumption of, or in substitution for, any outstanding awards of any entity acquired in any form of combination by us or any of our subsidiaries will not be counted against the shares available for issuance under the 2020 Plan.</w:t>
      </w:r>
    </w:p>
    <w:p>
      <w:pPr>
        <w:spacing w:after="0" w:line="101"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In addition, the sum of the grant date fair value of all equity-based awards and the maximum that may become payable pursuant to all cash-based awards to any individual for services as a non-employee director during any calendar year may not exceed $1,000,000.</w:t>
      </w:r>
    </w:p>
    <w:p>
      <w:pPr>
        <w:spacing w:after="0" w:line="83"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our board of directors will administer the 2020 Plan unless our board of directors assumes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for administration. The board of directors may delegate its powers to a committee, which, to the extent required to comply with Rule 16b-3, is intended to comprise “non-employee directors” for purposes of Rule 16b-3 under the Exchange Act. The 2020 Plan provides that the board or compensation committee may delegate its authority to grant awards other than to individuals subject to Section 16 of the Exchange Act or officers or directors to whom authority to grant awards has been delegated.</w:t>
      </w:r>
    </w:p>
    <w:p>
      <w:pPr>
        <w:spacing w:after="0" w:line="100" w:lineRule="exact"/>
        <w:rPr>
          <w:sz w:val="20"/>
          <w:szCs w:val="20"/>
          <w:color w:val="auto"/>
        </w:rPr>
      </w:pPr>
    </w:p>
    <w:p>
      <w:pPr>
        <w:ind w:left="200" w:right="460"/>
        <w:spacing w:after="0" w:line="238" w:lineRule="auto"/>
        <w:rPr>
          <w:sz w:val="20"/>
          <w:szCs w:val="20"/>
          <w:color w:val="auto"/>
        </w:rPr>
      </w:pPr>
      <w:r>
        <w:rPr>
          <w:rFonts w:ascii="Arial" w:cs="Arial" w:eastAsia="Arial" w:hAnsi="Arial"/>
          <w:sz w:val="18"/>
          <w:szCs w:val="18"/>
          <w:color w:val="auto"/>
        </w:rPr>
        <w:t>Subject to the terms and conditions of the 2020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120"/>
        <w:spacing w:after="0" w:line="281" w:lineRule="auto"/>
        <w:rPr>
          <w:sz w:val="20"/>
          <w:szCs w:val="20"/>
          <w:color w:val="auto"/>
        </w:rPr>
      </w:pPr>
      <w:r>
        <w:rPr>
          <w:rFonts w:ascii="Arial" w:cs="Arial" w:eastAsia="Arial" w:hAnsi="Arial"/>
          <w:sz w:val="16"/>
          <w:szCs w:val="16"/>
          <w:color w:val="auto"/>
        </w:rPr>
        <w:t>for the administration of the 2020 Plan. The administrator is also authorized to adopt, amend or rescind rules relating to administration of the 2020 Plan. Our board of directors may at any time remove the compensation committee as the administrator and revest in itself the authority to administer the 2020 Plan. The full board of directors will administer the 2020 Plan with respect to awards to non-employee directors.</w:t>
      </w:r>
    </w:p>
    <w:p>
      <w:pPr>
        <w:spacing w:after="0" w:line="52" w:lineRule="exact"/>
        <w:rPr>
          <w:sz w:val="20"/>
          <w:szCs w:val="20"/>
          <w:color w:val="auto"/>
        </w:rPr>
      </w:pPr>
    </w:p>
    <w:p>
      <w:pPr>
        <w:ind w:left="200"/>
        <w:spacing w:after="0" w:line="24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Awards under the 2020 Plan may be granted to individuals who are then our officers, employees or consultants or are the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or consultants of certain of our subsidiaries. Such awards also may be granted to our directors. However, only employees of our company or certain of our subsidiaries may be granted incentive stock options, or ISOs.</w:t>
      </w:r>
    </w:p>
    <w:p>
      <w:pPr>
        <w:spacing w:after="0" w:line="77" w:lineRule="exact"/>
        <w:rPr>
          <w:sz w:val="20"/>
          <w:szCs w:val="20"/>
          <w:color w:val="auto"/>
        </w:rPr>
      </w:pPr>
    </w:p>
    <w:p>
      <w:pPr>
        <w:ind w:left="200" w:right="480"/>
        <w:spacing w:after="0" w:line="243"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2020 Plan provides that the administrator may grant or issue stock options, SARs, restricted stock,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bonus awards, performance stock units, other stock- or cash-based awards and dividend equivalents, or any combination thereof. Each award will be set forth in a separate agreement with the person receiving the award and will indicate the type, terms and conditions of the award.</w:t>
      </w:r>
    </w:p>
    <w:p>
      <w:pPr>
        <w:spacing w:after="0" w:line="94" w:lineRule="exact"/>
        <w:rPr>
          <w:sz w:val="20"/>
          <w:szCs w:val="20"/>
          <w:color w:val="auto"/>
        </w:rPr>
      </w:pPr>
    </w:p>
    <w:p>
      <w:pPr>
        <w:ind w:left="420" w:right="60" w:hanging="216"/>
        <w:spacing w:after="0" w:line="241" w:lineRule="auto"/>
        <w:tabs>
          <w:tab w:leader="none" w:pos="42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or NSOs, will provide for the right to purchase shares of our common stock at a specified price which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95" w:lineRule="exact"/>
        <w:rPr>
          <w:rFonts w:ascii="Arial" w:cs="Arial" w:eastAsia="Arial" w:hAnsi="Arial"/>
          <w:sz w:val="18"/>
          <w:szCs w:val="18"/>
          <w:color w:val="auto"/>
        </w:rPr>
      </w:pPr>
    </w:p>
    <w:p>
      <w:pPr>
        <w:ind w:left="420" w:right="80" w:hanging="216"/>
        <w:spacing w:after="0" w:line="239" w:lineRule="auto"/>
        <w:tabs>
          <w:tab w:leader="none" w:pos="42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or ISOs, will be designed in a manner intended to comply with the provisions of Section 422 of the Code and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2020 Plan provides that the exercise price must be at least 110% of the fair market value of a share of common stock on the date of grant and the ISO must not be exercisable after a period of five years measured from the date of grant.</w:t>
      </w:r>
    </w:p>
    <w:p>
      <w:pPr>
        <w:spacing w:after="0" w:line="96" w:lineRule="exact"/>
        <w:rPr>
          <w:rFonts w:ascii="Arial" w:cs="Arial" w:eastAsia="Arial" w:hAnsi="Arial"/>
          <w:sz w:val="18"/>
          <w:szCs w:val="18"/>
          <w:color w:val="auto"/>
        </w:rPr>
      </w:pPr>
    </w:p>
    <w:p>
      <w:pPr>
        <w:ind w:left="420" w:right="180" w:hanging="216"/>
        <w:spacing w:after="0" w:line="241" w:lineRule="auto"/>
        <w:tabs>
          <w:tab w:leader="none" w:pos="42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may be granted to any eligible individual and made subject to such restrictions as may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w:t>
      </w:r>
    </w:p>
    <w:p>
      <w:pPr>
        <w:spacing w:after="0" w:line="95" w:lineRule="exact"/>
        <w:rPr>
          <w:rFonts w:ascii="Arial" w:cs="Arial" w:eastAsia="Arial" w:hAnsi="Arial"/>
          <w:sz w:val="18"/>
          <w:szCs w:val="18"/>
          <w:color w:val="auto"/>
        </w:rPr>
      </w:pPr>
    </w:p>
    <w:p>
      <w:pPr>
        <w:ind w:left="420" w:right="320" w:hanging="216"/>
        <w:spacing w:after="0" w:line="278" w:lineRule="auto"/>
        <w:tabs>
          <w:tab w:leader="none" w:pos="42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68" w:lineRule="exact"/>
        <w:rPr>
          <w:rFonts w:ascii="Arial" w:cs="Arial" w:eastAsia="Arial" w:hAnsi="Arial"/>
          <w:sz w:val="16"/>
          <w:szCs w:val="16"/>
          <w:color w:val="auto"/>
        </w:rPr>
      </w:pPr>
    </w:p>
    <w:p>
      <w:pPr>
        <w:jc w:val="both"/>
        <w:ind w:left="420" w:right="380" w:hanging="216"/>
        <w:spacing w:after="0" w:line="243" w:lineRule="auto"/>
        <w:tabs>
          <w:tab w:leader="none" w:pos="42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or SARs, may be granted in connection with stock options or other awards, or separately. SARs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stock options or other awards typically will provide for payments to the holder based upon increases in the price of our common stock over a set exercise price. The exercise price of any SAR granted under the 2020 Plan must be at least 100% of the fair market value of a share of</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24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860"/>
        <w:spacing w:after="0" w:line="239" w:lineRule="auto"/>
        <w:rPr>
          <w:sz w:val="20"/>
          <w:szCs w:val="20"/>
          <w:color w:val="auto"/>
        </w:rPr>
      </w:pPr>
      <w:r>
        <w:rPr>
          <w:rFonts w:ascii="Arial" w:cs="Arial" w:eastAsia="Arial" w:hAnsi="Arial"/>
          <w:sz w:val="18"/>
          <w:szCs w:val="18"/>
          <w:color w:val="auto"/>
        </w:rPr>
        <w:t>our common stock on the date of grant. SARs under the 2020 Plan will be settled in cash or shares of our common stock, or in a combination of both, at the election of the administrator.</w:t>
      </w:r>
    </w:p>
    <w:p>
      <w:pPr>
        <w:spacing w:after="0" w:line="96" w:lineRule="exact"/>
        <w:rPr>
          <w:sz w:val="20"/>
          <w:szCs w:val="20"/>
          <w:color w:val="auto"/>
        </w:rPr>
      </w:pPr>
    </w:p>
    <w:p>
      <w:pPr>
        <w:ind w:left="420" w:right="240" w:hanging="216"/>
        <w:spacing w:after="0" w:line="260" w:lineRule="auto"/>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Performance Bonus Awards and Performance Stock Units </w:t>
      </w:r>
      <w:r>
        <w:rPr>
          <w:rFonts w:ascii="Arial" w:cs="Arial" w:eastAsia="Arial" w:hAnsi="Arial"/>
          <w:sz w:val="18"/>
          <w:szCs w:val="18"/>
          <w:color w:val="auto"/>
        </w:rPr>
        <w:t>are denominated in cash or shares/unit equivalents, respectively,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linked to one or more performance or other criteria as determined by the administrator.</w:t>
      </w:r>
    </w:p>
    <w:p>
      <w:pPr>
        <w:spacing w:after="0" w:line="78" w:lineRule="exact"/>
        <w:rPr>
          <w:rFonts w:ascii="Arial" w:cs="Arial" w:eastAsia="Arial" w:hAnsi="Arial"/>
          <w:sz w:val="18"/>
          <w:szCs w:val="18"/>
          <w:color w:val="auto"/>
        </w:rPr>
      </w:pPr>
    </w:p>
    <w:p>
      <w:pPr>
        <w:ind w:left="420" w:right="80" w:hanging="216"/>
        <w:spacing w:after="0" w:line="239" w:lineRule="auto"/>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Other Stock or Cash Based Awards </w:t>
      </w:r>
      <w:r>
        <w:rPr>
          <w:rFonts w:ascii="Arial" w:cs="Arial" w:eastAsia="Arial" w:hAnsi="Arial"/>
          <w:sz w:val="18"/>
          <w:szCs w:val="18"/>
          <w:color w:val="auto"/>
        </w:rPr>
        <w:t>are awards of cash, fully vested shares of our common stock and other awards valued wholly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administrator will determine the terms and conditions of other stock or cash based awards, which may include vesting conditions based on continued service, performance and/or other conditions.</w:t>
      </w:r>
    </w:p>
    <w:p>
      <w:pPr>
        <w:spacing w:after="0" w:line="100" w:lineRule="exact"/>
        <w:rPr>
          <w:rFonts w:ascii="Arial" w:cs="Arial" w:eastAsia="Arial" w:hAnsi="Arial"/>
          <w:sz w:val="18"/>
          <w:szCs w:val="18"/>
          <w:color w:val="auto"/>
        </w:rPr>
      </w:pPr>
    </w:p>
    <w:p>
      <w:pPr>
        <w:ind w:left="420" w:hanging="216"/>
        <w:spacing w:after="0" w:line="241" w:lineRule="auto"/>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common stock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alone or in tandem with awards other than stock options or SARs. Dividend equivalents are converted to cash or shares by such formula and such time as determined by the administrator. In addition, dividend equivalents with respect to an awards subject to vesting will either (i) to the extent permitted by applicable law, not be paid or credited or (ii) be accumulated and subject to vesting to the same extent as the related award.</w:t>
      </w:r>
    </w:p>
    <w:p>
      <w:pPr>
        <w:spacing w:after="0" w:line="100" w:lineRule="exact"/>
        <w:rPr>
          <w:sz w:val="20"/>
          <w:szCs w:val="20"/>
          <w:color w:val="auto"/>
        </w:rPr>
      </w:pPr>
    </w:p>
    <w:p>
      <w:pPr>
        <w:ind w:left="200" w:right="760"/>
        <w:spacing w:after="0" w:line="239"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83" w:lineRule="exact"/>
        <w:rPr>
          <w:sz w:val="20"/>
          <w:szCs w:val="20"/>
          <w:color w:val="auto"/>
        </w:rPr>
      </w:pPr>
    </w:p>
    <w:p>
      <w:pPr>
        <w:ind w:left="200" w:right="140"/>
        <w:spacing w:after="0" w:line="272"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 In the event of a change in control, unless the administrator elects to terminate an award in exchange for cash, rights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2020 Plan (other than any portion subject to performance-based vesting) will be subject to accelerated vesting such that 100% of such awards will become vested and exercisable or payable, as applicable. The administrator may also make appropriate adjustments to awards under the 2020 Plan and is authorized to provide for the acceleration, cash-out, termination, assumption, substitution or conversion of such awards in the event of a change in control or certain other unusual or nonrecurring events or transactions.</w:t>
      </w:r>
    </w:p>
    <w:p>
      <w:pPr>
        <w:spacing w:after="0" w:line="61" w:lineRule="exact"/>
        <w:rPr>
          <w:sz w:val="20"/>
          <w:szCs w:val="20"/>
          <w:color w:val="auto"/>
        </w:rPr>
      </w:pPr>
    </w:p>
    <w:p>
      <w:pPr>
        <w:ind w:left="200" w:right="80"/>
        <w:spacing w:after="0" w:line="278" w:lineRule="auto"/>
        <w:rPr>
          <w:sz w:val="20"/>
          <w:szCs w:val="20"/>
          <w:color w:val="auto"/>
        </w:rPr>
      </w:pPr>
      <w:r>
        <w:rPr>
          <w:rFonts w:ascii="Arial" w:cs="Arial" w:eastAsia="Arial" w:hAnsi="Arial"/>
          <w:sz w:val="16"/>
          <w:szCs w:val="16"/>
          <w:i w:val="1"/>
          <w:iCs w:val="1"/>
          <w:color w:val="auto"/>
        </w:rPr>
        <w:t>Adjustments of awards</w:t>
      </w:r>
      <w:r>
        <w:rPr>
          <w:rFonts w:ascii="Arial" w:cs="Arial" w:eastAsia="Arial" w:hAnsi="Arial"/>
          <w:sz w:val="16"/>
          <w:szCs w:val="16"/>
          <w:color w:val="auto"/>
        </w:rPr>
        <w:t>. The administrator has broad discretion to take action under the 2020 Plan, as well as make adjustments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administrator will make equitable adjustments to the 2020 Plan and outstanding awards.</w:t>
      </w:r>
    </w:p>
    <w:p>
      <w:pPr>
        <w:spacing w:after="0" w:line="55"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administrator may terminate, amend or modify the 2020 Plan at any time and from time to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generally obtain stockholder approval to the extent required by applicable law, rule or regulation (including any applicable stock exchange rule), and generally no amendment may materially and adversely affect any outstanding award without the affected participant’s consent.</w:t>
      </w:r>
    </w:p>
    <w:p>
      <w:pPr>
        <w:spacing w:after="0" w:line="98"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Notwithstanding the foregoing, an option may be amended to reduce the per share exercise price below the per share exercise price of such option on the grant date and options may be granted in exchange for, or in</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connection with, the cancellation or surrender of options having a higher per share exercise price without receiving additional stockholder approval.</w:t>
      </w:r>
    </w:p>
    <w:p>
      <w:pPr>
        <w:spacing w:after="0" w:line="101"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No incentive stock options may be granted pursuant to the 2020 Plan after the tenth anniversary of the effective date of the 2020 Plan, and no additional annual share increases to the 2020 Plan’s aggregate share limit will occur from and after such anniversary. Any award that is outstanding on the termination date of the 2020 Plan will remain in force according to the terms of the 2020 Plan and the applicable award agreement.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Our board of directors adopted, and our stockholders approved, the 2014 Plan effective as of December 4, 2014. The 2014 Plan has subsequently been amended on multiple occasions to increase the number of shares issuable thereunder. The 2014 Plan provides for the grant of ISOs, NSOs, SARs, restricted stock, and restricted stock units. As of September 30, 2019, options to purchase 4,670,745 shares of our common stock at a weighted-average exercise price per share of $3.36 remained outstanding under the 2014 Plan. Following this offering and in connection with the effectiveness of our 2020 Plan, the 2014 Plan terminated and no further awards will be granted under the 2014 Plan. However, all outstanding awards will continue to be governed by their existing terms.</w:t>
      </w:r>
    </w:p>
    <w:p>
      <w:pPr>
        <w:spacing w:after="0" w:line="84" w:lineRule="exact"/>
        <w:rPr>
          <w:sz w:val="20"/>
          <w:szCs w:val="20"/>
          <w:color w:val="auto"/>
        </w:rPr>
      </w:pPr>
    </w:p>
    <w:p>
      <w:pPr>
        <w:ind w:left="200" w:right="120"/>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thereof appointed by our board of directors, has the authority to administer the 2014</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the awards granted under it. The administrator’s authority includes the authority to select the service providers to whom awards will be granted under the 2014 Plan, the number of shares to be subject to those awards under the 2014 Plan, and the terms and conditions of the awards granted. In addition, the administrator has the authority to construe and interpret the 2014 Plan and to adopt rules for the administration, interpretation and application of the 2014 Plan that are consistent with the terms of the 2014 Plan.</w:t>
      </w:r>
    </w:p>
    <w:p>
      <w:pPr>
        <w:spacing w:after="0" w:line="82" w:lineRule="exact"/>
        <w:rPr>
          <w:sz w:val="20"/>
          <w:szCs w:val="20"/>
          <w:color w:val="auto"/>
        </w:rPr>
      </w:pPr>
    </w:p>
    <w:p>
      <w:pPr>
        <w:ind w:left="200" w:right="20"/>
        <w:spacing w:after="0" w:line="322"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2014 Plan provides that the administrator may, subject to certain conditions, grant or issue options, including ISOs and NSOs,</w:t>
      </w:r>
      <w:r>
        <w:rPr>
          <w:rFonts w:ascii="Arial" w:cs="Arial" w:eastAsia="Arial" w:hAnsi="Arial"/>
          <w:sz w:val="16"/>
          <w:szCs w:val="16"/>
          <w:i w:val="1"/>
          <w:iCs w:val="1"/>
          <w:color w:val="auto"/>
        </w:rPr>
        <w:t xml:space="preserve"> </w:t>
      </w:r>
      <w:r>
        <w:rPr>
          <w:rFonts w:ascii="Arial" w:cs="Arial" w:eastAsia="Arial" w:hAnsi="Arial"/>
          <w:sz w:val="16"/>
          <w:szCs w:val="16"/>
          <w:color w:val="auto"/>
        </w:rPr>
        <w:t>SARs, restricted stock and restricted stock units to employees, consultants and directors; provided that only employees may be granted ISOs.</w:t>
      </w:r>
    </w:p>
    <w:p>
      <w:pPr>
        <w:spacing w:after="0" w:line="33" w:lineRule="exact"/>
        <w:rPr>
          <w:sz w:val="20"/>
          <w:szCs w:val="20"/>
          <w:color w:val="auto"/>
        </w:rPr>
      </w:pPr>
    </w:p>
    <w:p>
      <w:pPr>
        <w:ind w:left="420" w:right="40" w:hanging="216"/>
        <w:spacing w:after="0" w:line="239" w:lineRule="auto"/>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2014 Plan provides for the grant of ISOs or NSOs. ISOs may be granted only to employees. NSOs may be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directors or consultants. The exercise price of ISOs granted to employees who at the time of grant own stock representing more than 10% of the voting power of all classes of our common stock may not be less than 110% of the fair market value per share of our common stock on the date of grant, and the exercise price of ISOs granted to any other employees may not be less than 100% of the fair market value per share of our common stock on the date of grant. The exercise price of NSOs to employees, directors or consultants may not be less than 100% of the fair market value per share of our common stock on the date of grant.</w:t>
      </w:r>
    </w:p>
    <w:p>
      <w:pPr>
        <w:spacing w:after="0" w:line="100" w:lineRule="exact"/>
        <w:rPr>
          <w:rFonts w:ascii="Arial" w:cs="Arial" w:eastAsia="Arial" w:hAnsi="Arial"/>
          <w:sz w:val="18"/>
          <w:szCs w:val="18"/>
          <w:color w:val="auto"/>
        </w:rPr>
      </w:pPr>
    </w:p>
    <w:p>
      <w:pPr>
        <w:ind w:left="420" w:right="140" w:hanging="216"/>
        <w:spacing w:after="0" w:line="247" w:lineRule="auto"/>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The 2014 Plan provides for the grant of SARs. Each SAR will be governed by a 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exercise price of SARs may not be less than 100% of the fair market value per share of our common stock on the date of grant.</w:t>
      </w:r>
    </w:p>
    <w:p>
      <w:pPr>
        <w:spacing w:after="0" w:line="90"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The 2014 Plan provides for the grant of restricted stock awards. Each restricted stock award will be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a restricted stock award agreement, which will detail the restrictions on transferability, risk of forfeiture and other restrictions the administrator approves. In general, restricted stock may not be sold, transferred, pledged, hypothecated, margined or otherwise encumbered, whether voluntarily or by operation of law, until restrictions are removed or expire. Holders of restricted stock, unlike recipients of other equity awards, will have voting rights and will have the right to receive dividends, if any, prior to the time when the restrictions lapse.</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 w:right="60" w:hanging="216"/>
        <w:spacing w:after="0" w:line="278" w:lineRule="auto"/>
        <w:tabs>
          <w:tab w:leader="none" w:pos="42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The 2014 Plan provides that we may issue restricted stock unit awards which may be settled in either cash,</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a combination of both. Each restricted stock unit award will be governed by a restricted stock unit award agreement that will set forth any vesting conditions based on continued employment or service or on performance criteria established by the administrator. Unlike restricted stock, stock underlying restricted stock units will not be issued until the restricted stock units have vested, and recipients of restricted stock units generally will have no rights as a stockholder prior to the time when vesting conditions are satisfied.</w:t>
      </w:r>
    </w:p>
    <w:p>
      <w:pPr>
        <w:spacing w:after="0" w:line="55" w:lineRule="exact"/>
        <w:rPr>
          <w:sz w:val="20"/>
          <w:szCs w:val="20"/>
          <w:color w:val="auto"/>
        </w:rPr>
      </w:pPr>
    </w:p>
    <w:p>
      <w:pPr>
        <w:ind w:left="200" w:right="260"/>
        <w:spacing w:after="0" w:line="243" w:lineRule="auto"/>
        <w:rPr>
          <w:sz w:val="20"/>
          <w:szCs w:val="20"/>
          <w:color w:val="auto"/>
        </w:rPr>
      </w:pPr>
      <w:r>
        <w:rPr>
          <w:rFonts w:ascii="Arial" w:cs="Arial" w:eastAsia="Arial" w:hAnsi="Arial"/>
          <w:sz w:val="18"/>
          <w:szCs w:val="18"/>
          <w:i w:val="1"/>
          <w:iCs w:val="1"/>
          <w:color w:val="auto"/>
        </w:rPr>
        <w:t>Adjustments of awards</w:t>
      </w:r>
      <w:r>
        <w:rPr>
          <w:rFonts w:ascii="Arial" w:cs="Arial" w:eastAsia="Arial" w:hAnsi="Arial"/>
          <w:sz w:val="18"/>
          <w:szCs w:val="18"/>
          <w:color w:val="auto"/>
        </w:rPr>
        <w:t>. In the event of any change in or other event that occurs with respect to the common stock without receipt of</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by the Company (through merger, consolidation, reorganization, recapitalization, stock dividends, stock splits or other similar transactions), the administrator will make adjustments to the number and class of shares available for issuance under the 2014 Plan, the number and class of shares issuable pursuant to ISOs, and the number, class and price per share of outstanding awards.</w:t>
      </w:r>
    </w:p>
    <w:p>
      <w:pPr>
        <w:spacing w:after="0" w:line="80"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certain corporate transactions, including the sale of substantially all of the Company’s assets, a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of 90% of the outstanding securities of the Company, and certain mergers, consolidations and similar transactions, unless otherwise stated in an award agreement, the administrator will provide for one or more of the following actions: assumption or substitution of outstanding awards; assignment of reacquisition or repurchase rights held by the Company; or acceleration, cancellation or cash-out of outstanding awards. Awards may also be subject to additional acceleration in connection with a change in control pursuant to an award agreement or other written agreement with the Company.</w:t>
      </w:r>
    </w:p>
    <w:p>
      <w:pPr>
        <w:spacing w:after="0" w:line="87" w:lineRule="exact"/>
        <w:rPr>
          <w:sz w:val="20"/>
          <w:szCs w:val="20"/>
          <w:color w:val="auto"/>
        </w:rPr>
      </w:pPr>
    </w:p>
    <w:p>
      <w:pPr>
        <w:jc w:val="both"/>
        <w:ind w:left="200" w:right="220"/>
        <w:spacing w:after="0" w:line="241"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2014 Plan at any time, but no amendment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 the rights of a holder of an outstanding award without the holder’s consent. Except with respect to certain capitalization adjustments, an amendment of the 2014 Plan shall be subject to the approval of our stockholders to the extent required by applicable law. Following this offering and in connection with the effectiveness of our 2020 Plan, the 2014 Plan will terminate and no further awards will be granted under the 2014 Plan.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have adopted the 2020 Employee Stock Purchase Plan, which we refer to as our ESPP, which became effective on the day prior to the effectiveness of the registration statement to which this prospectus relates. The ESPP is designed to allow our eligible employees to purchase shares of our common stock, at periodic intervals, with their accumulated payroll deductions. The ESPP consists of two components: a Section 423 component, which is intended to qualify under Section 423 of the Code and a non-Section 423 component, which need not qualify under Section 423 of the Code. The material terms of the ESPP are summarized below.</w:t>
      </w:r>
    </w:p>
    <w:p>
      <w:pPr>
        <w:spacing w:after="0" w:line="85"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Subject to the terms and conditions of the ESPP, our compensation committee will administer the ESPP.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82" w:lineRule="exact"/>
        <w:rPr>
          <w:sz w:val="20"/>
          <w:szCs w:val="20"/>
          <w:color w:val="auto"/>
        </w:rPr>
      </w:pPr>
    </w:p>
    <w:p>
      <w:pPr>
        <w:jc w:val="both"/>
        <w:ind w:left="200" w:right="140"/>
        <w:spacing w:after="0" w:line="243"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number of our shares of our common stock which will be authorized for sale under the ESPP is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sum of (a) 528,959 shares of common stock and (b) an annual increase on the first day of each year beginning in 2021 and ending in 2030, equal to the lesser of (i) 1% of the shares of common stock outstanding on the last day of the immediately preceding fiscal year and (ii) such number of shares of common stock as determined by our board of directors; provided, however, no more than 7,564,123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shares of our common stock may be issued under the ESPP. The shares reserved for issuance under the ESPP may be authorized but unissued shares or reacquired shares.</w:t>
      </w:r>
    </w:p>
    <w:p>
      <w:pPr>
        <w:spacing w:after="0" w:line="83" w:lineRule="exact"/>
        <w:rPr>
          <w:sz w:val="20"/>
          <w:szCs w:val="20"/>
          <w:color w:val="auto"/>
        </w:rPr>
      </w:pPr>
    </w:p>
    <w:p>
      <w:pPr>
        <w:ind w:left="200"/>
        <w:spacing w:after="0" w:line="278"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Employees eligible to participate in the ESPP for a given offering period generally include employees who are employed by us or</w:t>
      </w:r>
      <w:r>
        <w:rPr>
          <w:rFonts w:ascii="Arial" w:cs="Arial" w:eastAsia="Arial" w:hAnsi="Arial"/>
          <w:sz w:val="16"/>
          <w:szCs w:val="16"/>
          <w:i w:val="1"/>
          <w:iCs w:val="1"/>
          <w:color w:val="auto"/>
        </w:rPr>
        <w:t xml:space="preserve"> </w:t>
      </w:r>
      <w:r>
        <w:rPr>
          <w:rFonts w:ascii="Arial" w:cs="Arial" w:eastAsia="Arial" w:hAnsi="Arial"/>
          <w:sz w:val="16"/>
          <w:szCs w:val="16"/>
          <w:color w:val="auto"/>
        </w:rPr>
        <w:t>one of our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55"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Employees will enroll under the ESPP by completing a payroll deduction form permitting the deduction from their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at least 1% of their compensation but not more than 15% of their compensation. Such payroll deductions may be expressed as either a whole number percentage or a fixed dollar amount, and the accumulated deductions will be applied to the purchase of shares on each purchase date. However, a participant may not purchase more than 100,000 shares in each offering period and, under the Section 423 component, may not accrue the right to purchase shares of common stock at a rate that exceeds $25,000 in fair market value of shares of our common stock (determined at the time the option is granted) for each calendar year the option is outstanding (as determined in accordance with Section 423 of the Code). The ESPP administrator has the authority to change the per offering period share limitations for any subsequent offering period.</w:t>
      </w:r>
    </w:p>
    <w:p>
      <w:pPr>
        <w:spacing w:after="0" w:line="87" w:lineRule="exact"/>
        <w:rPr>
          <w:sz w:val="20"/>
          <w:szCs w:val="20"/>
          <w:color w:val="auto"/>
        </w:rPr>
      </w:pPr>
    </w:p>
    <w:p>
      <w:pPr>
        <w:ind w:left="200" w:right="140"/>
        <w:spacing w:after="0" w:line="243" w:lineRule="auto"/>
        <w:rPr>
          <w:sz w:val="20"/>
          <w:szCs w:val="20"/>
          <w:color w:val="auto"/>
        </w:rPr>
      </w:pPr>
      <w:r>
        <w:rPr>
          <w:rFonts w:ascii="Arial" w:cs="Arial" w:eastAsia="Arial" w:hAnsi="Arial"/>
          <w:sz w:val="18"/>
          <w:szCs w:val="18"/>
          <w:i w:val="1"/>
          <w:iCs w:val="1"/>
          <w:color w:val="auto"/>
        </w:rPr>
        <w:t>Offering</w:t>
      </w:r>
      <w:r>
        <w:rPr>
          <w:rFonts w:ascii="Arial" w:cs="Arial" w:eastAsia="Arial" w:hAnsi="Arial"/>
          <w:sz w:val="18"/>
          <w:szCs w:val="18"/>
          <w:color w:val="auto"/>
        </w:rPr>
        <w:t>. Under the ESPP, participants are offered the option to purchase shares of our common stock at a discount during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successive, overlapping offering periods of 24 months, each comprised of six-month offering periods. The ESPP administrator will determine when offering periods under the ESPP will commence and may change the duration and timing of offering periods in its discretion. However, in no event may an offering period be longer than 27 months in length.</w:t>
      </w:r>
    </w:p>
    <w:p>
      <w:pPr>
        <w:spacing w:after="0" w:line="98"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The option purchase price will be the lower of 85% of the closing trading price per share of our common stock on the first day of an offering period in which a participant is enrolled or 85% of the closing trading price per share on the purchase date, which will occur on the last trading day of each offering period.</w:t>
      </w:r>
    </w:p>
    <w:p>
      <w:pPr>
        <w:spacing w:after="0" w:line="100"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7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01"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right="20"/>
        <w:spacing w:after="0" w:line="269" w:lineRule="auto"/>
        <w:rPr>
          <w:sz w:val="20"/>
          <w:szCs w:val="20"/>
          <w:color w:val="auto"/>
        </w:rPr>
      </w:pPr>
      <w:r>
        <w:rPr>
          <w:rFonts w:ascii="Arial" w:cs="Arial" w:eastAsia="Arial" w:hAnsi="Arial"/>
          <w:sz w:val="16"/>
          <w:szCs w:val="16"/>
          <w:i w:val="1"/>
          <w:iCs w:val="1"/>
          <w:color w:val="auto"/>
        </w:rPr>
        <w:t>Adjustments upon changes in recapitalization, dissolution, liquidation, merger or asset sale</w:t>
      </w:r>
      <w:r>
        <w:rPr>
          <w:rFonts w:ascii="Arial" w:cs="Arial" w:eastAsia="Arial" w:hAnsi="Arial"/>
          <w:sz w:val="16"/>
          <w:szCs w:val="16"/>
          <w:color w:val="auto"/>
        </w:rPr>
        <w:t>. In the event of any increase or decrease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and the number and price of shares with respect to each option under the ESPP.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10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10 business days prior to the new exercise date.</w:t>
      </w:r>
    </w:p>
    <w:p>
      <w:pPr>
        <w:spacing w:after="0" w:line="271" w:lineRule="exact"/>
        <w:rPr>
          <w:sz w:val="20"/>
          <w:szCs w:val="20"/>
          <w:color w:val="auto"/>
        </w:rPr>
      </w:pPr>
    </w:p>
    <w:p>
      <w:pPr>
        <w:ind w:left="200" w:right="300"/>
        <w:spacing w:after="0" w:line="247"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ESPP at any time. However,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not amend the ESPP without obtaining stockholder approval within 12 months before or after such amendment to the extent required by applicable laws.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compensation</w:t>
      </w:r>
    </w:p>
    <w:p>
      <w:pPr>
        <w:spacing w:after="0" w:line="134" w:lineRule="exact"/>
        <w:rPr>
          <w:sz w:val="20"/>
          <w:szCs w:val="20"/>
          <w:color w:val="auto"/>
        </w:rPr>
      </w:pPr>
    </w:p>
    <w:p>
      <w:pPr>
        <w:ind w:left="200" w:right="440"/>
        <w:spacing w:after="0" w:line="238" w:lineRule="auto"/>
        <w:rPr>
          <w:sz w:val="20"/>
          <w:szCs w:val="20"/>
          <w:color w:val="auto"/>
        </w:rPr>
      </w:pPr>
      <w:r>
        <w:rPr>
          <w:rFonts w:ascii="Arial" w:cs="Arial" w:eastAsia="Arial" w:hAnsi="Arial"/>
          <w:sz w:val="18"/>
          <w:szCs w:val="18"/>
          <w:color w:val="auto"/>
        </w:rPr>
        <w:t>We have entered into board member letters with each of Ms. Anderson, Dr. Miller and Dr. Weber, who were during 2019 non-employee directors not affiliated of one of our principal investors, whom we refer to as our non-employee, non-investor directors. Pursuant to these letters, each of Ms. Anderson, Dr. Miller and Dr. Weber were eligible to receive:</w:t>
      </w:r>
    </w:p>
    <w:p>
      <w:pPr>
        <w:spacing w:after="0" w:line="114" w:lineRule="exact"/>
        <w:rPr>
          <w:sz w:val="20"/>
          <w:szCs w:val="20"/>
          <w:color w:val="auto"/>
        </w:rPr>
      </w:pPr>
    </w:p>
    <w:p>
      <w:pPr>
        <w:ind w:left="420" w:hanging="216"/>
        <w:spacing w:after="0"/>
        <w:tabs>
          <w:tab w:leader="none" w:pos="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annual board retainer of $30,000;</w:t>
      </w:r>
    </w:p>
    <w:p>
      <w:pPr>
        <w:spacing w:after="0" w:line="117" w:lineRule="exact"/>
        <w:rPr>
          <w:rFonts w:ascii="Arial" w:cs="Arial" w:eastAsia="Arial" w:hAnsi="Arial"/>
          <w:sz w:val="18"/>
          <w:szCs w:val="18"/>
          <w:color w:val="auto"/>
        </w:rPr>
      </w:pPr>
    </w:p>
    <w:p>
      <w:pPr>
        <w:ind w:left="420" w:right="60" w:hanging="216"/>
        <w:spacing w:after="0" w:line="238" w:lineRule="auto"/>
        <w:tabs>
          <w:tab w:leader="none" w:pos="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connection with his or her initial appointment to our board of directors, an option to purchase 30,825 shares of our common stock, which vests as to 25% of the shares subject to the option on the first anniversary of the grant date and as to 6.25% of the shares subject to the option on each quarterly anniversary thereafter, subject to continued service; and</w:t>
      </w:r>
    </w:p>
    <w:p>
      <w:pPr>
        <w:spacing w:after="0" w:line="113" w:lineRule="exact"/>
        <w:rPr>
          <w:rFonts w:ascii="Arial" w:cs="Arial" w:eastAsia="Arial" w:hAnsi="Arial"/>
          <w:sz w:val="18"/>
          <w:szCs w:val="18"/>
          <w:color w:val="auto"/>
        </w:rPr>
      </w:pPr>
    </w:p>
    <w:p>
      <w:pPr>
        <w:ind w:left="420" w:right="300" w:hanging="216"/>
        <w:spacing w:after="0" w:line="238" w:lineRule="auto"/>
        <w:tabs>
          <w:tab w:leader="none" w:pos="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following the second anniversary of service, in the discretion of the board of directors, additional annual grants of an option to purchase 6,165 shares of our common stock, which vests as to 1/12</w:t>
      </w:r>
      <w:r>
        <w:rPr>
          <w:rFonts w:ascii="Arial" w:cs="Arial" w:eastAsia="Arial" w:hAnsi="Arial"/>
          <w:sz w:val="11"/>
          <w:szCs w:val="11"/>
          <w:color w:val="auto"/>
        </w:rPr>
        <w:t>th</w:t>
      </w:r>
      <w:r>
        <w:rPr>
          <w:rFonts w:ascii="Arial" w:cs="Arial" w:eastAsia="Arial" w:hAnsi="Arial"/>
          <w:sz w:val="18"/>
          <w:szCs w:val="18"/>
          <w:color w:val="auto"/>
        </w:rPr>
        <w:t xml:space="preserve"> of the shares on each monthly anniversary of the grant date, subject to continued service.</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Borisy also became a non-employee, non-investor director in July 2019. Our directors who are either our employees, including</w:t>
      </w:r>
    </w:p>
    <w:p>
      <w:pPr>
        <w:ind w:left="200"/>
        <w:spacing w:after="0" w:line="237" w:lineRule="auto"/>
        <w:rPr>
          <w:sz w:val="20"/>
          <w:szCs w:val="20"/>
          <w:color w:val="auto"/>
        </w:rPr>
      </w:pPr>
      <w:r>
        <w:rPr>
          <w:rFonts w:ascii="Arial" w:cs="Arial" w:eastAsia="Arial" w:hAnsi="Arial"/>
          <w:sz w:val="18"/>
          <w:szCs w:val="18"/>
          <w:color w:val="auto"/>
        </w:rPr>
        <w:t>Dr. Goldsmith, or are affiliated with one of our principal investors do not currently receive any compensation for their service as directors. However, we reimburse our non-employee directors for reasonable out of pocket travel or other expenses for Company business as approved by the Company. Dr. Goldsmith’s compensation as our President and Chief Executive Officer is set forth in the summary compensation table above.</w:t>
      </w:r>
    </w:p>
    <w:p>
      <w:pPr>
        <w:spacing w:after="0" w:line="101"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In March 2019, our board granted to Ms. Anderson an option to purchase 6,165 shares, which vests as to 1/12th of the shares subject to the option on each monthly anniversary thereafter, subject to continued service to the Company.</w:t>
      </w:r>
    </w:p>
    <w:p>
      <w:pPr>
        <w:spacing w:after="0" w:line="101"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In June 2019, following a market assessment of the compensation paid to our non-employee, non-investor directors, our board approved increasing the initial option grant to 54,663 shares and the annual option grant</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to 14,385 shares, with the initial option grant vesting as to 25% of the shares subject to the option on the first anniversary of the grant date and as to 1/48th of the shares subject to the option on each monthly anniversary thereafter, subject to continued service to the Company, and the annual option grant continuing to vest as to 1/12th of the shares on each monthly anniversary of the grant date, subject to continued service to the Company.</w:t>
      </w:r>
    </w:p>
    <w:p>
      <w:pPr>
        <w:spacing w:after="0" w:line="101"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In July 2019, in connection with his change in status to a non-employee, non-investor director, our board granted to Mr. Borisy an initial option grant to purchase 54,663 shares and an annual option grant to purchase 14,385 shares, which vest as described above.</w:t>
      </w:r>
    </w:p>
    <w:p>
      <w:pPr>
        <w:spacing w:after="0" w:line="101"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In August 2019, our board granted additional options to each of our non-employee, non-investor directors. Drs. Miller and Weber each received an option to purchase 14,385 shares of common stock, which vest as to 1/12th of the shares on each monthly anniversary of September 27, 2019 and April 12, 2020, respectively, subject to continued service to the Company. In addition, Ms. Anderson was granted an option to purchase 18,750 shares of our common stock, Mr. Borisy was granted an option to purchase 3,884 shares of our common stock, and each of Drs. Miller and Weber were granted an additional option to purchase 17,997 shares of common stock, each of which were intended to position the director’s compensation closer to market. Ms. Anderson’s option vests as to 1/12th of the shares subject to the option on each monthly anniversary of the grant date, Mr. Borisy’s option vests as to 1/48th of the shares subject to the option on each monthly anniversary of the grant date, Dr. Miller’s option for 17,997 shares vests as to 1/24th of the shares on each monthly anniversary of the grant date, and Dr. Weber’s option for 17,997 shares vests as to 1/30th of the shares on each monthly anniversary of the grant date, in each case, subject to continued service.</w:t>
      </w:r>
    </w:p>
    <w:p>
      <w:pPr>
        <w:spacing w:after="0" w:line="107"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Each of the options we have granted to our non-employee, non-investor directors are exercisable immediately, in whole or in part, provided that shares acquired upon exercise of any unvested portion are subject to a right of repurchase by the Company.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director compensation table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all of the compensation awarded to or earned by or paid to non-employee directors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4900" w:type="dxa"/>
            <w:vAlign w:val="bottom"/>
            <w:gridSpan w:val="2"/>
          </w:tcPr>
          <w:p>
            <w:pPr>
              <w:jc w:val="center"/>
              <w:ind w:left="3392"/>
              <w:spacing w:after="0"/>
              <w:rPr>
                <w:sz w:val="20"/>
                <w:szCs w:val="20"/>
                <w:color w:val="auto"/>
              </w:rPr>
            </w:pPr>
            <w:r>
              <w:rPr>
                <w:rFonts w:ascii="Arial" w:cs="Arial" w:eastAsia="Arial" w:hAnsi="Arial"/>
                <w:sz w:val="18"/>
                <w:szCs w:val="18"/>
                <w:b w:val="1"/>
                <w:bCs w:val="1"/>
                <w:color w:val="auto"/>
                <w:w w:val="97"/>
              </w:rPr>
              <w:t>Fees earned</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6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or paid</w:t>
            </w:r>
          </w:p>
        </w:tc>
        <w:tc>
          <w:tcPr>
            <w:tcW w:w="130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Option</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840" w:type="dxa"/>
            <w:vAlign w:val="bottom"/>
          </w:tcPr>
          <w:p>
            <w:pPr>
              <w:spacing w:after="0"/>
              <w:rPr>
                <w:sz w:val="19"/>
                <w:szCs w:val="19"/>
                <w:color w:val="auto"/>
              </w:rPr>
            </w:pPr>
          </w:p>
        </w:tc>
        <w:tc>
          <w:tcPr>
            <w:tcW w:w="1060" w:type="dxa"/>
            <w:vAlign w:val="bottom"/>
          </w:tcPr>
          <w:p>
            <w:pPr>
              <w:jc w:val="center"/>
              <w:ind w:right="272"/>
              <w:spacing w:after="0"/>
              <w:rPr>
                <w:sz w:val="20"/>
                <w:szCs w:val="20"/>
                <w:color w:val="auto"/>
              </w:rPr>
            </w:pPr>
            <w:r>
              <w:rPr>
                <w:rFonts w:ascii="Arial" w:cs="Arial" w:eastAsia="Arial" w:hAnsi="Arial"/>
                <w:sz w:val="18"/>
                <w:szCs w:val="18"/>
                <w:b w:val="1"/>
                <w:bCs w:val="1"/>
                <w:color w:val="auto"/>
                <w:w w:val="99"/>
              </w:rPr>
              <w:t>in cash</w:t>
            </w:r>
          </w:p>
        </w:tc>
        <w:tc>
          <w:tcPr>
            <w:tcW w:w="1300" w:type="dxa"/>
            <w:vAlign w:val="bottom"/>
          </w:tcPr>
          <w:p>
            <w:pPr>
              <w:jc w:val="right"/>
              <w:ind w:right="212"/>
              <w:spacing w:after="0"/>
              <w:rPr>
                <w:sz w:val="20"/>
                <w:szCs w:val="20"/>
                <w:color w:val="auto"/>
              </w:rPr>
            </w:pPr>
            <w:r>
              <w:rPr>
                <w:rFonts w:ascii="Arial" w:cs="Arial" w:eastAsia="Arial" w:hAnsi="Arial"/>
                <w:sz w:val="18"/>
                <w:szCs w:val="18"/>
                <w:b w:val="1"/>
                <w:bCs w:val="1"/>
                <w:color w:val="auto"/>
              </w:rPr>
              <w:t>awards(1)</w:t>
            </w:r>
          </w:p>
        </w:tc>
        <w:tc>
          <w:tcPr>
            <w:tcW w:w="11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r>
      <w:tr>
        <w:trPr>
          <w:trHeight w:val="196"/>
        </w:trPr>
        <w:tc>
          <w:tcPr>
            <w:tcW w:w="20" w:type="dxa"/>
            <w:vAlign w:val="bottom"/>
          </w:tcPr>
          <w:p>
            <w:pPr>
              <w:spacing w:after="0"/>
              <w:rPr>
                <w:sz w:val="17"/>
                <w:szCs w:val="17"/>
                <w:color w:val="auto"/>
              </w:rPr>
            </w:pPr>
          </w:p>
        </w:tc>
        <w:tc>
          <w:tcPr>
            <w:tcW w:w="37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Elizabeth McKee Anderson</w:t>
            </w:r>
          </w:p>
        </w:tc>
        <w:tc>
          <w:tcPr>
            <w:tcW w:w="3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30,000</w:t>
            </w:r>
          </w:p>
        </w:tc>
        <w:tc>
          <w:tcPr>
            <w:tcW w:w="1300" w:type="dxa"/>
            <w:vAlign w:val="bottom"/>
            <w:tcBorders>
              <w:top w:val="single" w:sz="8" w:color="auto"/>
            </w:tcBorders>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$ 101,869</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$131,869</w:t>
            </w:r>
          </w:p>
        </w:tc>
        <w:tc>
          <w:tcPr>
            <w:tcW w:w="60" w:type="dxa"/>
            <w:vAlign w:val="bottom"/>
            <w:tcBorders>
              <w:top w:val="single" w:sz="8" w:color="auto"/>
            </w:tcBorders>
            <w:shd w:val="clear" w:color="auto" w:fill="CCEEFF"/>
          </w:tcPr>
          <w:p>
            <w:pPr>
              <w:spacing w:after="0"/>
              <w:rPr>
                <w:sz w:val="17"/>
                <w:szCs w:val="17"/>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Alexis Borisy</w:t>
            </w:r>
          </w:p>
        </w:tc>
        <w:tc>
          <w:tcPr>
            <w:tcW w:w="3840" w:type="dxa"/>
            <w:vAlign w:val="bottom"/>
          </w:tcPr>
          <w:p>
            <w:pPr>
              <w:spacing w:after="0"/>
              <w:rPr>
                <w:sz w:val="17"/>
                <w:szCs w:val="17"/>
                <w:color w:val="auto"/>
              </w:rPr>
            </w:pPr>
          </w:p>
        </w:tc>
        <w:tc>
          <w:tcPr>
            <w:tcW w:w="10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15,000</w:t>
            </w:r>
          </w:p>
        </w:tc>
        <w:tc>
          <w:tcPr>
            <w:tcW w:w="13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328,396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343,396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Neil Exter</w:t>
            </w:r>
          </w:p>
        </w:tc>
        <w:tc>
          <w:tcPr>
            <w:tcW w:w="3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Laurence Lasky, Ph.D.</w:t>
            </w:r>
          </w:p>
        </w:tc>
        <w:tc>
          <w:tcPr>
            <w:tcW w:w="3840" w:type="dxa"/>
            <w:vAlign w:val="bottom"/>
          </w:tcPr>
          <w:p>
            <w:pPr>
              <w:spacing w:after="0"/>
              <w:rPr>
                <w:sz w:val="17"/>
                <w:szCs w:val="17"/>
                <w:color w:val="auto"/>
              </w:rPr>
            </w:pPr>
          </w:p>
        </w:tc>
        <w:tc>
          <w:tcPr>
            <w:tcW w:w="10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Vincent Miller, M.D.</w:t>
            </w:r>
          </w:p>
        </w:tc>
        <w:tc>
          <w:tcPr>
            <w:tcW w:w="3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30,000</w:t>
            </w:r>
          </w:p>
        </w:tc>
        <w:tc>
          <w:tcPr>
            <w:tcW w:w="13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142,514</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172,514</w:t>
            </w:r>
          </w:p>
        </w:tc>
        <w:tc>
          <w:tcPr>
            <w:tcW w:w="60" w:type="dxa"/>
            <w:vAlign w:val="bottom"/>
            <w:shd w:val="clear" w:color="auto" w:fill="CCEEFF"/>
          </w:tcPr>
          <w:p>
            <w:pPr>
              <w:spacing w:after="0"/>
              <w:rPr>
                <w:sz w:val="17"/>
                <w:szCs w:val="17"/>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Thilo Schroeder, Ph.D.</w:t>
            </w:r>
          </w:p>
        </w:tc>
        <w:tc>
          <w:tcPr>
            <w:tcW w:w="3840" w:type="dxa"/>
            <w:vAlign w:val="bottom"/>
          </w:tcPr>
          <w:p>
            <w:pPr>
              <w:spacing w:after="0"/>
              <w:rPr>
                <w:sz w:val="17"/>
                <w:szCs w:val="17"/>
                <w:color w:val="auto"/>
              </w:rPr>
            </w:pPr>
          </w:p>
        </w:tc>
        <w:tc>
          <w:tcPr>
            <w:tcW w:w="10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Barbara Weber, M.D.</w:t>
            </w:r>
          </w:p>
        </w:tc>
        <w:tc>
          <w:tcPr>
            <w:tcW w:w="3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30,000</w:t>
            </w:r>
          </w:p>
        </w:tc>
        <w:tc>
          <w:tcPr>
            <w:tcW w:w="13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144,706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174,706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840" w:type="dxa"/>
            <w:vAlign w:val="bottom"/>
          </w:tcPr>
          <w:p>
            <w:pPr>
              <w:jc w:val="right"/>
              <w:ind w:right="1832"/>
              <w:spacing w:after="0"/>
              <w:rPr>
                <w:sz w:val="20"/>
                <w:szCs w:val="20"/>
                <w:color w:val="auto"/>
              </w:rPr>
            </w:pPr>
            <w:r>
              <w:rPr>
                <w:rFonts w:ascii="Arial" w:cs="Arial" w:eastAsia="Arial" w:hAnsi="Arial"/>
                <w:sz w:val="18"/>
                <w:szCs w:val="18"/>
                <w:color w:val="auto"/>
              </w:rPr>
              <w:t>190</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220" w:hanging="316"/>
        <w:spacing w:after="0" w:line="228" w:lineRule="auto"/>
        <w:tabs>
          <w:tab w:leader="none" w:pos="5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Amounts reported represent the aggregate grant date fair value of stock options granted to our non-employee directors during 2019 under our 2014 Equity Incentive Plan, computed in accordance with ASC Topic 718. Assumptions used in the calculation of these amounts are included in Note 10 to our consolidated financial statements included in this prospectus. As of December 31, 2019, our non-employee directors held the following outstanding options and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120650</wp:posOffset>
            </wp:positionV>
            <wp:extent cx="699770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78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8"/>
              </w:rPr>
              <w:t>Unvested</w:t>
            </w: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780" w:type="dxa"/>
            <w:vAlign w:val="bottom"/>
            <w:gridSpan w:val="2"/>
          </w:tcPr>
          <w:p>
            <w:pPr>
              <w:jc w:val="center"/>
              <w:ind w:left="272"/>
              <w:spacing w:after="0" w:line="202" w:lineRule="exact"/>
              <w:rPr>
                <w:sz w:val="20"/>
                <w:szCs w:val="20"/>
                <w:color w:val="auto"/>
              </w:rPr>
            </w:pPr>
            <w:r>
              <w:rPr>
                <w:rFonts w:ascii="Arial" w:cs="Arial" w:eastAsia="Arial" w:hAnsi="Arial"/>
                <w:sz w:val="18"/>
                <w:szCs w:val="18"/>
                <w:b w:val="1"/>
                <w:bCs w:val="1"/>
                <w:color w:val="auto"/>
                <w:w w:val="97"/>
              </w:rPr>
              <w:t>Restricted</w:t>
            </w: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4420" w:type="dxa"/>
            <w:vAlign w:val="bottom"/>
          </w:tcPr>
          <w:p>
            <w:pPr>
              <w:jc w:val="center"/>
              <w:ind w:left="2232"/>
              <w:spacing w:after="0" w:line="202" w:lineRule="exact"/>
              <w:rPr>
                <w:sz w:val="20"/>
                <w:szCs w:val="20"/>
                <w:color w:val="auto"/>
              </w:rPr>
            </w:pPr>
            <w:r>
              <w:rPr>
                <w:rFonts w:ascii="Arial" w:cs="Arial" w:eastAsia="Arial" w:hAnsi="Arial"/>
                <w:sz w:val="18"/>
                <w:szCs w:val="18"/>
                <w:b w:val="1"/>
                <w:bCs w:val="1"/>
                <w:color w:val="auto"/>
                <w:w w:val="96"/>
              </w:rPr>
              <w:t>Options</w:t>
            </w:r>
          </w:p>
        </w:tc>
        <w:tc>
          <w:tcPr>
            <w:tcW w:w="1780" w:type="dxa"/>
            <w:vAlign w:val="bottom"/>
            <w:gridSpan w:val="2"/>
          </w:tcPr>
          <w:p>
            <w:pPr>
              <w:jc w:val="center"/>
              <w:ind w:left="252"/>
              <w:spacing w:after="0" w:line="202" w:lineRule="exact"/>
              <w:rPr>
                <w:sz w:val="20"/>
                <w:szCs w:val="20"/>
                <w:color w:val="auto"/>
              </w:rPr>
            </w:pPr>
            <w:r>
              <w:rPr>
                <w:rFonts w:ascii="Arial" w:cs="Arial" w:eastAsia="Arial" w:hAnsi="Arial"/>
                <w:sz w:val="18"/>
                <w:szCs w:val="18"/>
                <w:b w:val="1"/>
                <w:bCs w:val="1"/>
                <w:color w:val="auto"/>
                <w:w w:val="99"/>
              </w:rPr>
              <w:t>Shares</w:t>
            </w: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4420" w:type="dxa"/>
            <w:vAlign w:val="bottom"/>
          </w:tcPr>
          <w:p>
            <w:pPr>
              <w:jc w:val="center"/>
              <w:ind w:left="2212"/>
              <w:spacing w:after="0" w:line="202" w:lineRule="exact"/>
              <w:rPr>
                <w:sz w:val="20"/>
                <w:szCs w:val="20"/>
                <w:color w:val="auto"/>
              </w:rPr>
            </w:pPr>
            <w:r>
              <w:rPr>
                <w:rFonts w:ascii="Arial" w:cs="Arial" w:eastAsia="Arial" w:hAnsi="Arial"/>
                <w:sz w:val="18"/>
                <w:szCs w:val="18"/>
                <w:b w:val="1"/>
                <w:bCs w:val="1"/>
                <w:color w:val="auto"/>
                <w:w w:val="97"/>
              </w:rPr>
              <w:t>Outstanding at</w:t>
            </w:r>
          </w:p>
        </w:tc>
        <w:tc>
          <w:tcPr>
            <w:tcW w:w="1780" w:type="dxa"/>
            <w:vAlign w:val="bottom"/>
            <w:gridSpan w:val="2"/>
          </w:tcPr>
          <w:p>
            <w:pPr>
              <w:jc w:val="center"/>
              <w:ind w:left="252"/>
              <w:spacing w:after="0" w:line="202" w:lineRule="exact"/>
              <w:rPr>
                <w:sz w:val="20"/>
                <w:szCs w:val="20"/>
                <w:color w:val="auto"/>
              </w:rPr>
            </w:pPr>
            <w:r>
              <w:rPr>
                <w:rFonts w:ascii="Arial" w:cs="Arial" w:eastAsia="Arial" w:hAnsi="Arial"/>
                <w:sz w:val="18"/>
                <w:szCs w:val="18"/>
                <w:b w:val="1"/>
                <w:bCs w:val="1"/>
                <w:color w:val="auto"/>
                <w:w w:val="97"/>
              </w:rPr>
              <w:t>Outstanding at</w:t>
            </w:r>
          </w:p>
        </w:tc>
      </w:tr>
      <w:tr>
        <w:trPr>
          <w:trHeight w:val="221"/>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420" w:type="dxa"/>
            <w:vAlign w:val="bottom"/>
          </w:tcPr>
          <w:p>
            <w:pPr>
              <w:jc w:val="center"/>
              <w:ind w:left="2212"/>
              <w:spacing w:after="0"/>
              <w:rPr>
                <w:sz w:val="20"/>
                <w:szCs w:val="20"/>
                <w:color w:val="auto"/>
              </w:rPr>
            </w:pPr>
            <w:r>
              <w:rPr>
                <w:rFonts w:ascii="Arial" w:cs="Arial" w:eastAsia="Arial" w:hAnsi="Arial"/>
                <w:sz w:val="18"/>
                <w:szCs w:val="18"/>
                <w:b w:val="1"/>
                <w:bCs w:val="1"/>
                <w:color w:val="auto"/>
                <w:w w:val="95"/>
              </w:rPr>
              <w:t>Fiscal Year End</w:t>
            </w:r>
          </w:p>
        </w:tc>
        <w:tc>
          <w:tcPr>
            <w:tcW w:w="178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5"/>
              </w:rPr>
              <w:t>Fiscal Year End</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Elizabeth McKee Anderson</w:t>
            </w:r>
          </w:p>
        </w:tc>
        <w:tc>
          <w:tcPr>
            <w:tcW w:w="4420" w:type="dxa"/>
            <w:vAlign w:val="bottom"/>
            <w:tcBorders>
              <w:top w:val="single" w:sz="8" w:color="auto"/>
            </w:tcBorders>
            <w:shd w:val="clear" w:color="auto" w:fill="CCEEFF"/>
          </w:tcPr>
          <w:p>
            <w:pPr>
              <w:jc w:val="right"/>
              <w:ind w:right="332"/>
              <w:spacing w:after="0" w:line="196" w:lineRule="exact"/>
              <w:rPr>
                <w:sz w:val="20"/>
                <w:szCs w:val="20"/>
                <w:color w:val="auto"/>
              </w:rPr>
            </w:pPr>
            <w:r>
              <w:rPr>
                <w:rFonts w:ascii="Arial" w:cs="Arial" w:eastAsia="Arial" w:hAnsi="Arial"/>
                <w:sz w:val="18"/>
                <w:szCs w:val="18"/>
                <w:color w:val="auto"/>
              </w:rPr>
              <w:t>31,080</w:t>
            </w:r>
          </w:p>
        </w:tc>
        <w:tc>
          <w:tcPr>
            <w:tcW w:w="178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Alexis Borisy</w:t>
            </w:r>
          </w:p>
        </w:tc>
        <w:tc>
          <w:tcPr>
            <w:tcW w:w="442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72,932</w:t>
            </w:r>
          </w:p>
        </w:tc>
        <w:tc>
          <w:tcPr>
            <w:tcW w:w="1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Neil Exter</w:t>
            </w:r>
          </w:p>
        </w:tc>
        <w:tc>
          <w:tcPr>
            <w:tcW w:w="442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Laurence Lasky, Ph.D.</w:t>
            </w:r>
          </w:p>
        </w:tc>
        <w:tc>
          <w:tcPr>
            <w:tcW w:w="442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Vincent Miller, M.D.</w:t>
            </w:r>
          </w:p>
        </w:tc>
        <w:tc>
          <w:tcPr>
            <w:tcW w:w="442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32,382</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13,486</w:t>
            </w:r>
          </w:p>
        </w:tc>
        <w:tc>
          <w:tcPr>
            <w:tcW w:w="60" w:type="dxa"/>
            <w:vAlign w:val="bottom"/>
            <w:shd w:val="clear" w:color="auto" w:fill="CCEEFF"/>
          </w:tcPr>
          <w:p>
            <w:pPr>
              <w:spacing w:after="0"/>
              <w:rPr>
                <w:sz w:val="17"/>
                <w:szCs w:val="17"/>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Thilo Schroeder, Ph.D.</w:t>
            </w:r>
          </w:p>
        </w:tc>
        <w:tc>
          <w:tcPr>
            <w:tcW w:w="442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Barbara Weber, M.D.</w:t>
            </w:r>
          </w:p>
        </w:tc>
        <w:tc>
          <w:tcPr>
            <w:tcW w:w="442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63,207</w:t>
            </w:r>
          </w:p>
        </w:tc>
        <w:tc>
          <w:tcPr>
            <w:tcW w:w="1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We have adopted and are implementing a compensation program for our non-employee directors, or the Director Compensation Program, to be effective in connection with the consummation of this offering, which will supersede the current arrangements with our non-employee, non-investor directors and apply broadly to all of our non-employee directors. Pursuant to the Director Compensation Program, our non-employee directors will receive cash compensation as follows:</w:t>
      </w:r>
    </w:p>
    <w:p>
      <w:pPr>
        <w:spacing w:after="0" w:line="114" w:lineRule="exact"/>
        <w:rPr>
          <w:sz w:val="20"/>
          <w:szCs w:val="20"/>
          <w:color w:val="auto"/>
        </w:rPr>
      </w:pPr>
    </w:p>
    <w:p>
      <w:pPr>
        <w:ind w:left="420" w:hanging="216"/>
        <w:spacing w:after="0"/>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non-employee director will receive an annual cash retainer in the amount of $36,000 per year.</w:t>
      </w:r>
    </w:p>
    <w:p>
      <w:pPr>
        <w:spacing w:after="0" w:line="117" w:lineRule="exact"/>
        <w:rPr>
          <w:rFonts w:ascii="Arial" w:cs="Arial" w:eastAsia="Arial" w:hAnsi="Arial"/>
          <w:sz w:val="18"/>
          <w:szCs w:val="18"/>
          <w:color w:val="auto"/>
        </w:rPr>
      </w:pPr>
    </w:p>
    <w:p>
      <w:pPr>
        <w:ind w:left="420" w:right="300" w:hanging="216"/>
        <w:spacing w:after="0" w:line="239"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lead independent director will receive an additional annual cash retainer in the amount of $25,000 per year, and a non-executive chair will receive an additional annual cash retainer in the amount of $30,000 per year.</w:t>
      </w:r>
    </w:p>
    <w:p>
      <w:pPr>
        <w:spacing w:after="0" w:line="114" w:lineRule="exact"/>
        <w:rPr>
          <w:rFonts w:ascii="Arial" w:cs="Arial" w:eastAsia="Arial" w:hAnsi="Arial"/>
          <w:sz w:val="18"/>
          <w:szCs w:val="18"/>
          <w:color w:val="auto"/>
        </w:rPr>
      </w:pPr>
    </w:p>
    <w:p>
      <w:pPr>
        <w:ind w:left="420" w:right="360" w:hanging="216"/>
        <w:spacing w:after="0" w:line="238"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additional annual cash compensation in the amount of $15,000 per year for such chairperson’s service on the audit committee. Each non-chairperson member of the audit committee will receive additional annual cash compensation in the amount of $7,500 per year for such member’s service on the audit committee.</w:t>
      </w:r>
    </w:p>
    <w:p>
      <w:pPr>
        <w:spacing w:after="0" w:line="113" w:lineRule="exact"/>
        <w:rPr>
          <w:rFonts w:ascii="Arial" w:cs="Arial" w:eastAsia="Arial" w:hAnsi="Arial"/>
          <w:sz w:val="18"/>
          <w:szCs w:val="18"/>
          <w:color w:val="auto"/>
        </w:rPr>
      </w:pPr>
    </w:p>
    <w:p>
      <w:pPr>
        <w:jc w:val="both"/>
        <w:ind w:left="420" w:right="280" w:hanging="216"/>
        <w:spacing w:after="0" w:line="281" w:lineRule="auto"/>
        <w:tabs>
          <w:tab w:leader="none" w:pos="4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chairperson of the compensation committee will receive additional annual cash compensation in the amount of $10,000 per year for such chairperson’s service on the compensation committee. Each non-chairperson member of the compensation committee will receive additional annual cash compensation in the amount of $5,000 per year for such member’s service on the compensation committee.</w:t>
      </w:r>
    </w:p>
    <w:p>
      <w:pPr>
        <w:spacing w:after="0" w:line="83" w:lineRule="exact"/>
        <w:rPr>
          <w:rFonts w:ascii="Arial" w:cs="Arial" w:eastAsia="Arial" w:hAnsi="Arial"/>
          <w:sz w:val="16"/>
          <w:szCs w:val="16"/>
          <w:color w:val="auto"/>
        </w:rPr>
      </w:pPr>
    </w:p>
    <w:p>
      <w:pPr>
        <w:ind w:left="420" w:right="20" w:hanging="216"/>
        <w:spacing w:after="0" w:line="237" w:lineRule="auto"/>
        <w:tabs>
          <w:tab w:leader="none" w:pos="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chairperson of the nominating and corporate governance committee will receive additional annual cash compensation in the amount of $8,000 per year for such chairperson’s service on the nominating and corporate governance committee. Each non-chairperson member of the nominating and corporate governance committee will receive additional annual cash compensation in the amount of $4,000 per year for such member’s service on the nominating and corporate governance committee.</w:t>
      </w:r>
    </w:p>
    <w:p>
      <w:pPr>
        <w:spacing w:after="0" w:line="101"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Under the Director Compensation Program, each non-employee director will automatically be granted an option to purchase 36,168 shares of our common stock upon the director’s initial appointment or election to our board of directors, referred to as the Initial Grant, and each non-employee director who has been serving on the board for at least four months will automatically be granted an option to purchase 18,084 shares of our common stock automatically on the date of each annual stockholder’s meeting following the completion of this offering, referred to as the Annual Grant. The Initial Grant will vest in substantially equal monthly installments for three</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years from the date of grant, subject to continued service through each applicable vesting date. The Annual Grant will vest on the earlier of the first anniversary of the date of grant or the date of the next annual stockholder’s meeting to the extent unvested as of such date, subject to continued service through each applicable vesting date.</w:t>
      </w:r>
    </w:p>
    <w:p>
      <w:pPr>
        <w:spacing w:after="0" w:line="100" w:lineRule="exact"/>
        <w:rPr>
          <w:sz w:val="20"/>
          <w:szCs w:val="20"/>
          <w:color w:val="auto"/>
        </w:rPr>
      </w:pPr>
    </w:p>
    <w:p>
      <w:pPr>
        <w:ind w:left="200" w:right="60"/>
        <w:spacing w:after="0" w:line="275" w:lineRule="auto"/>
        <w:rPr>
          <w:sz w:val="20"/>
          <w:szCs w:val="20"/>
          <w:color w:val="auto"/>
        </w:rPr>
      </w:pPr>
      <w:r>
        <w:rPr>
          <w:rFonts w:ascii="Arial" w:cs="Arial" w:eastAsia="Arial" w:hAnsi="Arial"/>
          <w:sz w:val="16"/>
          <w:szCs w:val="16"/>
          <w:color w:val="auto"/>
        </w:rPr>
        <w:t>Effective as of the date of the effectiveness of the registration statement to which this prospectus relates, our board of directors has approved the award of an option to purchase 36,168 shares of our common stock under the 2020 Plan to each of Mr. Exter and Dr. Lasky. The options have a per share exercise price equal to the initial public offering price set forth on the cover of this prospectus and will vest in 36 equal monthly installments following the effective date of grant, subject to the grantee’s continued service as a non-employee director.</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240" w:top="460"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158"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with our directors and executive officers, including those discussed in the sections titled “Management” and “Executive and director compensation,” the following is a description of each transaction since January 1, 2016 in which:</w:t>
      </w:r>
    </w:p>
    <w:p>
      <w:pPr>
        <w:spacing w:after="0" w:line="114" w:lineRule="exact"/>
        <w:rPr>
          <w:sz w:val="20"/>
          <w:szCs w:val="20"/>
          <w:color w:val="auto"/>
        </w:rPr>
      </w:pPr>
    </w:p>
    <w:p>
      <w:pPr>
        <w:ind w:left="420" w:hanging="216"/>
        <w:spacing w:after="0"/>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420" w:right="180" w:hanging="216"/>
        <w:spacing w:after="0" w:line="239"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 affiliate or immediate family member thereof, had or will have a direct or indirect material interest.</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Sales and purchases of securities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A preferred stock financing extension</w:t>
      </w:r>
    </w:p>
    <w:p>
      <w:pPr>
        <w:spacing w:after="0" w:line="124"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In February, July, October and December 2016 and April and May 2017, we issued an aggregate of 10,315,088 shares of our Series A Preferred Stock at a price per share of $4.87 for aggregate proceeds to us of $50,194,267.00. The table below sets forth the number of shares of Series A Preferred Stock sold in 2016 and 2017 to our directors, executive officers or beneficial owners of more than 5% of a class of our capital stock, or an affiliate or immediate family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760" w:type="dxa"/>
            <w:vAlign w:val="bottom"/>
          </w:tcPr>
          <w:p>
            <w:pPr>
              <w:jc w:val="right"/>
              <w:ind w:right="232"/>
              <w:spacing w:after="0"/>
              <w:rPr>
                <w:sz w:val="20"/>
                <w:szCs w:val="20"/>
                <w:color w:val="auto"/>
              </w:rPr>
            </w:pPr>
            <w:r>
              <w:rPr>
                <w:rFonts w:ascii="Arial" w:cs="Arial" w:eastAsia="Arial" w:hAnsi="Arial"/>
                <w:sz w:val="18"/>
                <w:szCs w:val="18"/>
                <w:b w:val="1"/>
                <w:bCs w:val="1"/>
                <w:color w:val="auto"/>
              </w:rPr>
              <w:t>Number of shares of</w:t>
            </w: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760" w:type="dxa"/>
            <w:vAlign w:val="bottom"/>
          </w:tcPr>
          <w:p>
            <w:pPr>
              <w:jc w:val="right"/>
              <w:ind w:right="232"/>
              <w:spacing w:after="0"/>
              <w:rPr>
                <w:sz w:val="20"/>
                <w:szCs w:val="20"/>
                <w:color w:val="auto"/>
              </w:rPr>
            </w:pPr>
            <w:r>
              <w:rPr>
                <w:rFonts w:ascii="Arial" w:cs="Arial" w:eastAsia="Arial" w:hAnsi="Arial"/>
                <w:sz w:val="18"/>
                <w:szCs w:val="18"/>
                <w:b w:val="1"/>
                <w:bCs w:val="1"/>
                <w:color w:val="auto"/>
              </w:rPr>
              <w:t>Series A preferred stock</w:t>
            </w:r>
          </w:p>
        </w:tc>
        <w:tc>
          <w:tcPr>
            <w:tcW w:w="1920" w:type="dxa"/>
            <w:vAlign w:val="bottom"/>
            <w:gridSpan w:val="3"/>
          </w:tcPr>
          <w:p>
            <w:pPr>
              <w:ind w:left="320"/>
              <w:spacing w:after="0"/>
              <w:rPr>
                <w:sz w:val="20"/>
                <w:szCs w:val="20"/>
                <w:color w:val="auto"/>
              </w:rPr>
            </w:pPr>
            <w:r>
              <w:rPr>
                <w:rFonts w:ascii="Arial" w:cs="Arial" w:eastAsia="Arial" w:hAnsi="Arial"/>
                <w:sz w:val="18"/>
                <w:szCs w:val="18"/>
                <w:b w:val="1"/>
                <w:bCs w:val="1"/>
                <w:color w:val="auto"/>
              </w:rPr>
              <w:t>Purchase price ($)</w:t>
            </w:r>
          </w:p>
        </w:tc>
      </w:tr>
      <w:tr>
        <w:trPr>
          <w:trHeight w:val="196"/>
        </w:trPr>
        <w:tc>
          <w:tcPr>
            <w:tcW w:w="20" w:type="dxa"/>
            <w:vAlign w:val="bottom"/>
          </w:tcPr>
          <w:p>
            <w:pPr>
              <w:spacing w:after="0"/>
              <w:rPr>
                <w:sz w:val="17"/>
                <w:szCs w:val="17"/>
                <w:color w:val="auto"/>
              </w:rPr>
            </w:pPr>
          </w:p>
        </w:tc>
        <w:tc>
          <w:tcPr>
            <w:tcW w:w="5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Third Rock Ventures(1)(2)(3)</w:t>
            </w:r>
          </w:p>
        </w:tc>
        <w:tc>
          <w:tcPr>
            <w:tcW w:w="3760" w:type="dxa"/>
            <w:vAlign w:val="bottom"/>
            <w:tcBorders>
              <w:top w:val="single" w:sz="8" w:color="auto"/>
            </w:tcBorders>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5,137,583</w:t>
            </w:r>
          </w:p>
        </w:tc>
        <w:tc>
          <w:tcPr>
            <w:tcW w:w="580" w:type="dxa"/>
            <w:vAlign w:val="bottom"/>
            <w:tcBorders>
              <w:top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25,000,000.00</w:t>
            </w:r>
          </w:p>
        </w:tc>
        <w:tc>
          <w:tcPr>
            <w:tcW w:w="60" w:type="dxa"/>
            <w:vAlign w:val="bottom"/>
            <w:tcBorders>
              <w:top w:val="single" w:sz="8" w:color="auto"/>
            </w:tcBorders>
            <w:shd w:val="clear" w:color="auto" w:fill="CCEEFF"/>
          </w:tcPr>
          <w:p>
            <w:pPr>
              <w:spacing w:after="0"/>
              <w:rPr>
                <w:sz w:val="17"/>
                <w:szCs w:val="17"/>
                <w:color w:val="auto"/>
              </w:rPr>
            </w:pPr>
          </w:p>
        </w:tc>
      </w:tr>
      <w:tr>
        <w:trPr>
          <w:trHeight w:val="215"/>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Entities Affiliated with The Column Group(4)(5)</w:t>
            </w:r>
          </w:p>
        </w:tc>
        <w:tc>
          <w:tcPr>
            <w:tcW w:w="3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5,137,583</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25,000,000.00</w:t>
            </w:r>
          </w:p>
        </w:tc>
        <w:tc>
          <w:tcPr>
            <w:tcW w:w="60" w:type="dxa"/>
            <w:vAlign w:val="bottom"/>
          </w:tcPr>
          <w:p>
            <w:pPr>
              <w:spacing w:after="0"/>
              <w:rPr>
                <w:sz w:val="18"/>
                <w:szCs w:val="18"/>
                <w:color w:val="auto"/>
              </w:rPr>
            </w:pPr>
          </w:p>
        </w:tc>
      </w:tr>
    </w:tbl>
    <w:p>
      <w:pPr>
        <w:spacing w:after="0" w:line="67" w:lineRule="exact"/>
        <w:rPr>
          <w:sz w:val="20"/>
          <w:szCs w:val="20"/>
          <w:color w:val="auto"/>
        </w:rPr>
      </w:pPr>
    </w:p>
    <w:p>
      <w:pPr>
        <w:ind w:left="520" w:right="220" w:hanging="316"/>
        <w:spacing w:after="0" w:line="228" w:lineRule="auto"/>
        <w:tabs>
          <w:tab w:leader="none" w:pos="5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 Third Rock Ventures III, L.P. purchased 4,110,067 shares of Series A Preferred Stock for a total purchase price of $20,000,000.00 and (ii) Third Rock Ventures IV, L.P. purchased 1,027,516 shares of Series A Preferred Stock for a total purchase price of $5,000,000.00. Entities affiliated with Third Rock Ventures became beneficial owners of (in the aggregate) more than 5% of our capital stock upon the initial closing of the Series A Preferred Stock financing.</w:t>
      </w:r>
    </w:p>
    <w:p>
      <w:pPr>
        <w:spacing w:after="0" w:line="54" w:lineRule="exact"/>
        <w:rPr>
          <w:rFonts w:ascii="Arial" w:cs="Arial" w:eastAsia="Arial" w:hAnsi="Arial"/>
          <w:sz w:val="14"/>
          <w:szCs w:val="14"/>
          <w:color w:val="auto"/>
        </w:rPr>
      </w:pPr>
    </w:p>
    <w:p>
      <w:pPr>
        <w:ind w:left="520" w:right="220" w:hanging="316"/>
        <w:spacing w:after="0" w:line="231" w:lineRule="auto"/>
        <w:tabs>
          <w:tab w:leader="none" w:pos="5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Alexis Borisy, who is currently a member of our board of directors and was a member of our board of directors at the time of the Series A Preferred Stock financing, was then an affiliate of Third Rock Ventures.</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Michael Bonney, who was a member of our board of directors at the time of the Series A Preferred Stock financing, was then a partner of Third Rock Ventures.</w:t>
      </w:r>
    </w:p>
    <w:p>
      <w:pPr>
        <w:spacing w:after="0" w:line="55" w:lineRule="exact"/>
        <w:rPr>
          <w:rFonts w:ascii="Arial" w:cs="Arial" w:eastAsia="Arial" w:hAnsi="Arial"/>
          <w:sz w:val="14"/>
          <w:szCs w:val="14"/>
          <w:color w:val="auto"/>
        </w:rPr>
      </w:pPr>
    </w:p>
    <w:p>
      <w:pPr>
        <w:ind w:left="520" w:right="120" w:hanging="316"/>
        <w:spacing w:after="0" w:line="228" w:lineRule="auto"/>
        <w:tabs>
          <w:tab w:leader="none" w:pos="5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 The Column Group III, LP purchased 2,412,789 shares of Series A Preferred Stock for a total purchase price of $11,740,876.00 and (ii) The Column Group III-A, LP purchased 2,724,794 shares of Series A Preferred Stock for a total purchase price of $13,259,124.00. Entities affiliated with The Column Group became beneficial owners of (in the aggregate) more than 5% of our capital stock during the course of the Series A Preferred Stock financing.</w:t>
      </w:r>
    </w:p>
    <w:p>
      <w:pPr>
        <w:spacing w:after="0" w:line="54" w:lineRule="exact"/>
        <w:rPr>
          <w:rFonts w:ascii="Arial" w:cs="Arial" w:eastAsia="Arial" w:hAnsi="Arial"/>
          <w:sz w:val="14"/>
          <w:szCs w:val="14"/>
          <w:color w:val="auto"/>
        </w:rPr>
      </w:pPr>
    </w:p>
    <w:p>
      <w:pPr>
        <w:ind w:left="520" w:right="260" w:hanging="316"/>
        <w:spacing w:after="0" w:line="231" w:lineRule="auto"/>
        <w:tabs>
          <w:tab w:leader="none" w:pos="5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Laurence Lasky, Ph.D., who is currently a member of our board of directors and was a member of our board of directors at the time of the Series A Preferred Stock financing, is and was then an affiliate of The Column Group.</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March, June and November 2018, we issued an aggregate of 8,166,702 shares of our Series B Preferred Stock at a price per share of</w:t>
      </w:r>
    </w:p>
    <w:p>
      <w:pPr>
        <w:ind w:left="200" w:right="180"/>
        <w:spacing w:after="0" w:line="238" w:lineRule="auto"/>
        <w:rPr>
          <w:sz w:val="20"/>
          <w:szCs w:val="20"/>
          <w:color w:val="auto"/>
        </w:rPr>
      </w:pPr>
      <w:r>
        <w:rPr>
          <w:rFonts w:ascii="Arial" w:cs="Arial" w:eastAsia="Arial" w:hAnsi="Arial"/>
          <w:sz w:val="18"/>
          <w:szCs w:val="18"/>
          <w:color w:val="auto"/>
        </w:rPr>
        <w:t>$7.30 for those shares issued in March and June 2018 and $10.03 for those shares issued in November 2018, for aggregate proceeds to us of $60,796,920.58. The table below sets forth the number of shares of Series B Preferred Stock sold to our directors, executive officers or beneficial owners of more than 5% of a class of our capital stock, or an affiliate or immediate family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880" w:type="dxa"/>
            <w:vAlign w:val="bottom"/>
          </w:tcPr>
          <w:p>
            <w:pPr>
              <w:jc w:val="right"/>
              <w:ind w:right="232"/>
              <w:spacing w:after="0"/>
              <w:rPr>
                <w:sz w:val="20"/>
                <w:szCs w:val="20"/>
                <w:color w:val="auto"/>
              </w:rPr>
            </w:pPr>
            <w:r>
              <w:rPr>
                <w:rFonts w:ascii="Arial" w:cs="Arial" w:eastAsia="Arial" w:hAnsi="Arial"/>
                <w:sz w:val="18"/>
                <w:szCs w:val="18"/>
                <w:b w:val="1"/>
                <w:bCs w:val="1"/>
                <w:color w:val="auto"/>
              </w:rPr>
              <w:t>Number of shares of</w:t>
            </w: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880" w:type="dxa"/>
            <w:vAlign w:val="bottom"/>
          </w:tcPr>
          <w:p>
            <w:pPr>
              <w:jc w:val="right"/>
              <w:ind w:right="232"/>
              <w:spacing w:after="0"/>
              <w:rPr>
                <w:sz w:val="20"/>
                <w:szCs w:val="20"/>
                <w:color w:val="auto"/>
              </w:rPr>
            </w:pPr>
            <w:r>
              <w:rPr>
                <w:rFonts w:ascii="Arial" w:cs="Arial" w:eastAsia="Arial" w:hAnsi="Arial"/>
                <w:sz w:val="18"/>
                <w:szCs w:val="18"/>
                <w:b w:val="1"/>
                <w:bCs w:val="1"/>
                <w:color w:val="auto"/>
              </w:rPr>
              <w:t>Series B preferred stock</w:t>
            </w:r>
          </w:p>
        </w:tc>
        <w:tc>
          <w:tcPr>
            <w:tcW w:w="1900" w:type="dxa"/>
            <w:vAlign w:val="bottom"/>
            <w:gridSpan w:val="3"/>
          </w:tcPr>
          <w:p>
            <w:pPr>
              <w:ind w:left="300"/>
              <w:spacing w:after="0"/>
              <w:rPr>
                <w:sz w:val="20"/>
                <w:szCs w:val="20"/>
                <w:color w:val="auto"/>
              </w:rPr>
            </w:pPr>
            <w:r>
              <w:rPr>
                <w:rFonts w:ascii="Arial" w:cs="Arial" w:eastAsia="Arial" w:hAnsi="Arial"/>
                <w:sz w:val="18"/>
                <w:szCs w:val="18"/>
                <w:b w:val="1"/>
                <w:bCs w:val="1"/>
                <w:color w:val="auto"/>
              </w:rPr>
              <w:t>Purchase price ($)</w:t>
            </w:r>
          </w:p>
        </w:tc>
      </w:tr>
      <w:tr>
        <w:trPr>
          <w:trHeight w:val="196"/>
        </w:trPr>
        <w:tc>
          <w:tcPr>
            <w:tcW w:w="20" w:type="dxa"/>
            <w:vAlign w:val="bottom"/>
          </w:tcPr>
          <w:p>
            <w:pPr>
              <w:spacing w:after="0"/>
              <w:rPr>
                <w:sz w:val="17"/>
                <w:szCs w:val="17"/>
                <w:color w:val="auto"/>
              </w:rPr>
            </w:pPr>
          </w:p>
        </w:tc>
        <w:tc>
          <w:tcPr>
            <w:tcW w:w="5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Third Rock Ventures(1)(2)</w:t>
            </w:r>
          </w:p>
        </w:tc>
        <w:tc>
          <w:tcPr>
            <w:tcW w:w="3880" w:type="dxa"/>
            <w:vAlign w:val="bottom"/>
            <w:tcBorders>
              <w:top w:val="single" w:sz="8" w:color="auto"/>
            </w:tcBorders>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685,010</w:t>
            </w:r>
          </w:p>
        </w:tc>
        <w:tc>
          <w:tcPr>
            <w:tcW w:w="560" w:type="dxa"/>
            <w:vAlign w:val="bottom"/>
            <w:tcBorders>
              <w:top w:val="single" w:sz="8" w:color="auto"/>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4,999,999.50</w:t>
            </w:r>
          </w:p>
        </w:tc>
        <w:tc>
          <w:tcPr>
            <w:tcW w:w="60" w:type="dxa"/>
            <w:vAlign w:val="bottom"/>
            <w:tcBorders>
              <w:top w:val="single" w:sz="8" w:color="auto"/>
            </w:tcBorders>
            <w:shd w:val="clear" w:color="auto" w:fill="CCEEFF"/>
          </w:tcPr>
          <w:p>
            <w:pPr>
              <w:spacing w:after="0"/>
              <w:rPr>
                <w:sz w:val="17"/>
                <w:szCs w:val="17"/>
                <w:color w:val="auto"/>
              </w:rPr>
            </w:pP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The Column Group(3)(4)</w:t>
            </w:r>
          </w:p>
        </w:tc>
        <w:tc>
          <w:tcPr>
            <w:tcW w:w="38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2,740,043</w:t>
            </w:r>
          </w:p>
        </w:tc>
        <w:tc>
          <w:tcPr>
            <w:tcW w:w="56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19,999,998.00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Nextech V Oncology S.C.S., SICAV-SIF(5)(6)</w:t>
            </w:r>
          </w:p>
        </w:tc>
        <w:tc>
          <w:tcPr>
            <w:tcW w:w="38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1,569,540</w:t>
            </w:r>
          </w:p>
        </w:tc>
        <w:tc>
          <w:tcPr>
            <w:tcW w:w="5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11,999,999.44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160" w:hanging="316"/>
        <w:spacing w:after="0" w:line="228" w:lineRule="auto"/>
        <w:tabs>
          <w:tab w:leader="none" w:pos="5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 Third Rock Ventures III, L.P. purchased 342,505 shares of Series B Preferred Stock for a total purchase price of $2,499,999.00 and (ii) Third Rock Ventures IV, L.P. purchased 342,505 shares of Series B Preferred Stock for a total purchase price of $2,500,000.50. Entities affiliated with Third Rock Ventures were beneficial owners of (in the aggregate) more than 5% of our capital stock at the time of the Series B Preferred Stock financing.</w:t>
      </w:r>
    </w:p>
    <w:p>
      <w:pPr>
        <w:spacing w:after="0" w:line="54" w:lineRule="exact"/>
        <w:rPr>
          <w:rFonts w:ascii="Arial" w:cs="Arial" w:eastAsia="Arial" w:hAnsi="Arial"/>
          <w:sz w:val="14"/>
          <w:szCs w:val="14"/>
          <w:color w:val="auto"/>
        </w:rPr>
      </w:pPr>
    </w:p>
    <w:p>
      <w:pPr>
        <w:ind w:left="520" w:right="220" w:hanging="316"/>
        <w:spacing w:after="0" w:line="231" w:lineRule="auto"/>
        <w:tabs>
          <w:tab w:leader="none" w:pos="5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Alexis Borisy, who is currently a member of our board of directors and was a member of our board of directors at the time of the Series B Preferred Stock financing, was then an affiliate of Third Rock Ventures.</w:t>
      </w:r>
    </w:p>
    <w:p>
      <w:pPr>
        <w:spacing w:after="0" w:line="54" w:lineRule="exact"/>
        <w:rPr>
          <w:rFonts w:ascii="Arial" w:cs="Arial" w:eastAsia="Arial" w:hAnsi="Arial"/>
          <w:sz w:val="14"/>
          <w:szCs w:val="14"/>
          <w:color w:val="auto"/>
        </w:rPr>
      </w:pPr>
    </w:p>
    <w:p>
      <w:pPr>
        <w:ind w:left="520" w:right="160" w:hanging="316"/>
        <w:spacing w:after="0" w:line="272" w:lineRule="auto"/>
        <w:tabs>
          <w:tab w:leader="none" w:pos="5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(i) The Column Group III, LP purchased 643,410 shares of Series B Preferred Stock for a total purchase price of $4,696,350.00, (ii) The Column Group III-A, LP purchased 726,611 shares of Series B Preferred Stock for a total purchase price of $5,303,649.00, (iii) Ponoi Capital, LP purchased 685,011 shares of Series B Preferred Stock for a total purchase price of $4,999,999.50 and (iv) Ponoi Capital II, LP purchased 685,011 shares of Series B Preferred Stock for a total purchase price of $4,999,999.50. Entities affiliated with The Column Group were beneficial owners of (in the aggregate) more than 5% of our capital stock at the time of the Series B Preferred Stock financing.</w:t>
      </w:r>
    </w:p>
    <w:p>
      <w:pPr>
        <w:spacing w:after="0" w:line="36" w:lineRule="exact"/>
        <w:rPr>
          <w:rFonts w:ascii="Arial" w:cs="Arial" w:eastAsia="Arial" w:hAnsi="Arial"/>
          <w:sz w:val="12"/>
          <w:szCs w:val="12"/>
          <w:color w:val="auto"/>
        </w:rPr>
      </w:pPr>
    </w:p>
    <w:p>
      <w:pPr>
        <w:ind w:left="520" w:right="220" w:hanging="316"/>
        <w:spacing w:after="0" w:line="231" w:lineRule="auto"/>
        <w:tabs>
          <w:tab w:leader="none" w:pos="5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Laurence Lasky, Ph.D., who is currently a member of our board of directors and was a member of our board of directors at the time of the Series B Preferred Stock financing, is, and was then, an affiliate of The Column Group.</w:t>
      </w:r>
    </w:p>
    <w:p>
      <w:pPr>
        <w:spacing w:after="0" w:line="54" w:lineRule="exact"/>
        <w:rPr>
          <w:rFonts w:ascii="Arial" w:cs="Arial" w:eastAsia="Arial" w:hAnsi="Arial"/>
          <w:sz w:val="14"/>
          <w:szCs w:val="14"/>
          <w:color w:val="auto"/>
        </w:rPr>
      </w:pPr>
    </w:p>
    <w:p>
      <w:pPr>
        <w:ind w:left="520" w:right="220" w:hanging="316"/>
        <w:spacing w:after="0" w:line="231" w:lineRule="auto"/>
        <w:tabs>
          <w:tab w:leader="none" w:pos="5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Thilo Schroeder, Ph.D., who is currently a member of our board of directors and was a member of our board of directors at the time of the Series B Preferred Stock financing, is, and was then, an affiliate of Nextech V Oncology S.C.S., SICAV-SIF.</w:t>
      </w:r>
    </w:p>
    <w:p>
      <w:pPr>
        <w:spacing w:after="0" w:line="54" w:lineRule="exact"/>
        <w:rPr>
          <w:rFonts w:ascii="Arial" w:cs="Arial" w:eastAsia="Arial" w:hAnsi="Arial"/>
          <w:sz w:val="14"/>
          <w:szCs w:val="14"/>
          <w:color w:val="auto"/>
        </w:rPr>
      </w:pPr>
    </w:p>
    <w:p>
      <w:pPr>
        <w:ind w:left="520" w:right="420" w:hanging="316"/>
        <w:spacing w:after="0" w:line="231" w:lineRule="auto"/>
        <w:tabs>
          <w:tab w:leader="none" w:pos="5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Nextech V Oncology S.C.S., SICAV-SIF became a beneficial owner of (in the aggregate) more than 5% of our capital stock during the course of the Series B Preferred Stock financing.</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24" w:lineRule="exact"/>
        <w:rPr>
          <w:sz w:val="20"/>
          <w:szCs w:val="20"/>
          <w:color w:val="auto"/>
        </w:rPr>
      </w:pPr>
    </w:p>
    <w:p>
      <w:pPr>
        <w:ind w:left="200" w:right="280"/>
        <w:spacing w:after="0" w:line="281" w:lineRule="auto"/>
        <w:rPr>
          <w:sz w:val="20"/>
          <w:szCs w:val="20"/>
          <w:color w:val="auto"/>
        </w:rPr>
      </w:pPr>
      <w:r>
        <w:rPr>
          <w:rFonts w:ascii="Arial" w:cs="Arial" w:eastAsia="Arial" w:hAnsi="Arial"/>
          <w:sz w:val="16"/>
          <w:szCs w:val="16"/>
          <w:color w:val="auto"/>
        </w:rPr>
        <w:t>In June and July 2019, we issued an aggregate of 10,004,514 shares of our Series C Preferred Stock at a price per share of $10.03 for aggregate proceeds of $100,287,058.28. The table below sets forth the number of shares of Series C Preferred Stock sold to our directors, executive officers or beneficial owners of more than 5% of a class of our capital stock, or an affiliate or immediate family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wp:posOffset>
            </wp:positionV>
            <wp:extent cx="699770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0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880" w:type="dxa"/>
            <w:vAlign w:val="bottom"/>
          </w:tcPr>
          <w:p>
            <w:pPr>
              <w:jc w:val="right"/>
              <w:ind w:right="292"/>
              <w:spacing w:after="0"/>
              <w:rPr>
                <w:sz w:val="20"/>
                <w:szCs w:val="20"/>
                <w:color w:val="auto"/>
              </w:rPr>
            </w:pPr>
            <w:r>
              <w:rPr>
                <w:rFonts w:ascii="Arial" w:cs="Arial" w:eastAsia="Arial" w:hAnsi="Arial"/>
                <w:sz w:val="18"/>
                <w:szCs w:val="18"/>
                <w:b w:val="1"/>
                <w:bCs w:val="1"/>
                <w:color w:val="auto"/>
              </w:rPr>
              <w:t>Number of shares of</w:t>
            </w: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880" w:type="dxa"/>
            <w:vAlign w:val="bottom"/>
          </w:tcPr>
          <w:p>
            <w:pPr>
              <w:jc w:val="right"/>
              <w:ind w:right="292"/>
              <w:spacing w:after="0"/>
              <w:rPr>
                <w:sz w:val="20"/>
                <w:szCs w:val="20"/>
                <w:color w:val="auto"/>
              </w:rPr>
            </w:pPr>
            <w:r>
              <w:rPr>
                <w:rFonts w:ascii="Arial" w:cs="Arial" w:eastAsia="Arial" w:hAnsi="Arial"/>
                <w:sz w:val="18"/>
                <w:szCs w:val="18"/>
                <w:b w:val="1"/>
                <w:bCs w:val="1"/>
                <w:color w:val="auto"/>
              </w:rPr>
              <w:t>Series C preferred stock</w:t>
            </w:r>
          </w:p>
        </w:tc>
        <w:tc>
          <w:tcPr>
            <w:tcW w:w="1980" w:type="dxa"/>
            <w:vAlign w:val="bottom"/>
            <w:gridSpan w:val="3"/>
          </w:tcPr>
          <w:p>
            <w:pPr>
              <w:ind w:left="380"/>
              <w:spacing w:after="0"/>
              <w:rPr>
                <w:sz w:val="20"/>
                <w:szCs w:val="20"/>
                <w:color w:val="auto"/>
              </w:rPr>
            </w:pPr>
            <w:r>
              <w:rPr>
                <w:rFonts w:ascii="Arial" w:cs="Arial" w:eastAsia="Arial" w:hAnsi="Arial"/>
                <w:sz w:val="18"/>
                <w:szCs w:val="18"/>
                <w:b w:val="1"/>
                <w:bCs w:val="1"/>
                <w:color w:val="auto"/>
              </w:rPr>
              <w:t>Purchase price ($)</w:t>
            </w:r>
          </w:p>
        </w:tc>
      </w:tr>
      <w:tr>
        <w:trPr>
          <w:trHeight w:val="196"/>
        </w:trPr>
        <w:tc>
          <w:tcPr>
            <w:tcW w:w="20" w:type="dxa"/>
            <w:vAlign w:val="bottom"/>
          </w:tcPr>
          <w:p>
            <w:pPr>
              <w:spacing w:after="0"/>
              <w:rPr>
                <w:sz w:val="17"/>
                <w:szCs w:val="17"/>
                <w:color w:val="auto"/>
              </w:rPr>
            </w:pPr>
          </w:p>
        </w:tc>
        <w:tc>
          <w:tcPr>
            <w:tcW w:w="5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Third Rock Ventures(1)(2)</w:t>
            </w:r>
          </w:p>
        </w:tc>
        <w:tc>
          <w:tcPr>
            <w:tcW w:w="3880" w:type="dxa"/>
            <w:vAlign w:val="bottom"/>
            <w:tcBorders>
              <w:top w:val="single" w:sz="8" w:color="auto"/>
            </w:tcBorders>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99,758</w:t>
            </w:r>
          </w:p>
        </w:tc>
        <w:tc>
          <w:tcPr>
            <w:tcW w:w="680" w:type="dxa"/>
            <w:vAlign w:val="bottom"/>
            <w:tcBorders>
              <w:top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1,000,000.22</w:t>
            </w:r>
          </w:p>
        </w:tc>
        <w:tc>
          <w:tcPr>
            <w:tcW w:w="60" w:type="dxa"/>
            <w:vAlign w:val="bottom"/>
            <w:tcBorders>
              <w:top w:val="single" w:sz="8" w:color="auto"/>
            </w:tcBorders>
            <w:shd w:val="clear" w:color="auto" w:fill="CCEEFF"/>
          </w:tcPr>
          <w:p>
            <w:pPr>
              <w:spacing w:after="0"/>
              <w:rPr>
                <w:sz w:val="17"/>
                <w:szCs w:val="17"/>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The Column Group(3)(4)</w:t>
            </w:r>
          </w:p>
        </w:tc>
        <w:tc>
          <w:tcPr>
            <w:tcW w:w="38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99,758</w:t>
            </w:r>
          </w:p>
        </w:tc>
        <w:tc>
          <w:tcPr>
            <w:tcW w:w="68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1,000,000.22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Nextech V Oncology S.C.S., SICAV-SIF(5)(6)</w:t>
            </w:r>
          </w:p>
        </w:tc>
        <w:tc>
          <w:tcPr>
            <w:tcW w:w="38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548,674</w:t>
            </w:r>
          </w:p>
        </w:tc>
        <w:tc>
          <w:tcPr>
            <w:tcW w:w="6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5,500,000.18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100" w:hanging="316"/>
        <w:spacing w:after="0" w:line="228" w:lineRule="auto"/>
        <w:tabs>
          <w:tab w:leader="none" w:pos="5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 Third Rock Ventures III, L.P. purchased 49,879 shares of Series C Preferred Stock for a total purchase price of $500,001.14 and (ii) Third Rock Ventures IV, L.P. purchased 49,879 shares of Series C Preferred Stock for a total purchase price of $499,999.08. Entities affiliated with Third Rock Ventures were beneficial owners of (in the aggregate) more than 5% of our capital stock at the time of the Series C Preferred Stock financing.</w:t>
      </w:r>
    </w:p>
    <w:p>
      <w:pPr>
        <w:spacing w:after="0" w:line="54" w:lineRule="exact"/>
        <w:rPr>
          <w:rFonts w:ascii="Arial" w:cs="Arial" w:eastAsia="Arial" w:hAnsi="Arial"/>
          <w:sz w:val="14"/>
          <w:szCs w:val="14"/>
          <w:color w:val="auto"/>
        </w:rPr>
      </w:pPr>
    </w:p>
    <w:p>
      <w:pPr>
        <w:ind w:left="520" w:right="200" w:hanging="316"/>
        <w:spacing w:after="0" w:line="231" w:lineRule="auto"/>
        <w:tabs>
          <w:tab w:leader="none" w:pos="5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Alexis Borisy, who is currently a member of our board of directors and was a member of our board of directors at the time of the Series C Preferred Stock financing, was then an affiliate of Third Rock Ventures.</w:t>
      </w:r>
    </w:p>
    <w:p>
      <w:pPr>
        <w:spacing w:after="0" w:line="54" w:lineRule="exact"/>
        <w:rPr>
          <w:rFonts w:ascii="Arial" w:cs="Arial" w:eastAsia="Arial" w:hAnsi="Arial"/>
          <w:sz w:val="14"/>
          <w:szCs w:val="14"/>
          <w:color w:val="auto"/>
        </w:rPr>
      </w:pPr>
    </w:p>
    <w:p>
      <w:pPr>
        <w:ind w:left="520" w:right="40" w:hanging="316"/>
        <w:spacing w:after="0" w:line="228" w:lineRule="auto"/>
        <w:tabs>
          <w:tab w:leader="none" w:pos="5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 The Column Group III, LP purchased 46,850 shares of Series C Preferred Stock for a total purchase price of $469,634.68 and (ii) The Column Group III-A, LP purchased 52,908 shares of Series C Preferred Stock for a total purchase price of $530,365.54. Entities affiliated with The Column Group were beneficial owners of (in the aggregate) more than 5% of our capital stock at the time of the Series C Preferred Stock financing.</w:t>
      </w:r>
    </w:p>
    <w:p>
      <w:pPr>
        <w:spacing w:after="0" w:line="54" w:lineRule="exact"/>
        <w:rPr>
          <w:rFonts w:ascii="Arial" w:cs="Arial" w:eastAsia="Arial" w:hAnsi="Arial"/>
          <w:sz w:val="14"/>
          <w:szCs w:val="14"/>
          <w:color w:val="auto"/>
        </w:rPr>
      </w:pPr>
    </w:p>
    <w:p>
      <w:pPr>
        <w:ind w:left="520" w:right="200" w:hanging="316"/>
        <w:spacing w:after="0" w:line="231" w:lineRule="auto"/>
        <w:tabs>
          <w:tab w:leader="none" w:pos="5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Laurence Lasky, Ph.D., who is currently a member of our board of directors and was a member of our board of directors at the time of the Series C Preferred Stock financing, is, and was then, an affiliate of The Column Group.</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120" w:hanging="316"/>
        <w:spacing w:after="0" w:line="231" w:lineRule="auto"/>
        <w:tabs>
          <w:tab w:leader="none" w:pos="5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Thilo Schroeder, Ph.D., who is currently a member of our board of directors and was a member of our board of directors at the time of the Series C Preferred Stock financing, is, and was then, an affiliate of Nextech V Oncology S.C.S., SICAV-SIF.</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Prior to the Series C Preferred Stock financing, Nextech V Oncology S.C.S., SICAV-SIF was a beneficial owner of more than 5% of our capital stock.</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and executive officer compensation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Please see “Executive and director compensation” for information regarding the compensation of our directors and executive officers.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Employment agreements</w:t>
      </w:r>
    </w:p>
    <w:p>
      <w:pPr>
        <w:spacing w:after="0" w:line="13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these agreements, see “Executive and director compensation—Narrative to the summary compensation table” and “Executive and director compensation—Outstanding equity awards as of December 31, 2019.”</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Indemnification agreements and directors’ and officers’ liability insurance</w:t>
      </w:r>
    </w:p>
    <w:p>
      <w:pPr>
        <w:spacing w:after="0" w:line="134"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will require us to, among other things,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 For additional information see “Management—Limitation of liability and indemnification matters.”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Investors’ rights agreement</w:t>
      </w:r>
    </w:p>
    <w:p>
      <w:pPr>
        <w:spacing w:after="0" w:line="13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entered into an amended and restated investors’ rights agreement with the purchasers of our outstanding preferred stock, including entities with which certain of our directors are affiliated. Following the consummation of this offering, the holders of approximately 39.6 million shares of our common stock, including the shares of common stock issuable upon the conversion of our preferred stock, will be entitled to rights with respect to the registration of their shares under the Securities Act. For a more detailed description of these registration rights, see “Description of capital stock—Registration rights.” The amended and restated investors’ rights agreement also provides for a right of first refusal in favor of certain holders of preferred stock with regard to certain issuances of our capital stock. The rights of first refusal will not apply to, and will terminate upon the consummation of, this offering.</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Voting agreement</w:t>
      </w:r>
    </w:p>
    <w:p>
      <w:pPr>
        <w:spacing w:after="0" w:line="134" w:lineRule="exact"/>
        <w:rPr>
          <w:sz w:val="20"/>
          <w:szCs w:val="20"/>
          <w:color w:val="auto"/>
        </w:rPr>
      </w:pPr>
    </w:p>
    <w:p>
      <w:pPr>
        <w:ind w:left="200" w:right="340"/>
        <w:spacing w:after="0" w:line="238" w:lineRule="auto"/>
        <w:rPr>
          <w:sz w:val="20"/>
          <w:szCs w:val="20"/>
          <w:color w:val="auto"/>
        </w:rPr>
      </w:pPr>
      <w:r>
        <w:rPr>
          <w:rFonts w:ascii="Arial" w:cs="Arial" w:eastAsia="Arial" w:hAnsi="Arial"/>
          <w:sz w:val="18"/>
          <w:szCs w:val="18"/>
          <w:color w:val="auto"/>
        </w:rPr>
        <w:t>We entered into an amended and restated voting agreement with certain holders of our common stock and preferred stock. Upon the consummation of this offering, the amended and restated voting agreement will terminate. For a description of the amended and restated voting agreement, see “Management—Board composition—Voting arrangements.”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Right of first refusal and co-sale agreement</w:t>
      </w:r>
    </w:p>
    <w:p>
      <w:pPr>
        <w:spacing w:after="0" w:line="134"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We entered into an amended and restated right of first refusal and co-sale agreement with certain holders of our common stock and preferred stock. This agreement provides for rights of first refusal and co-sale relating to the shares of our common stock held by the parties to the agreement. Upon the consummation of this offering, the amended and restated right of first refusal and co-sale agreement will terminate.</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60"/>
          </w:cols>
          <w:pgMar w:left="240" w:top="460"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Acquisition of Warp Drive</w:t>
      </w:r>
    </w:p>
    <w:p>
      <w:pPr>
        <w:spacing w:after="0" w:line="134" w:lineRule="exact"/>
        <w:rPr>
          <w:sz w:val="20"/>
          <w:szCs w:val="20"/>
          <w:color w:val="auto"/>
        </w:rPr>
      </w:pPr>
    </w:p>
    <w:p>
      <w:pPr>
        <w:ind w:left="200" w:right="60"/>
        <w:spacing w:after="0" w:line="270" w:lineRule="auto"/>
        <w:rPr>
          <w:sz w:val="20"/>
          <w:szCs w:val="20"/>
          <w:color w:val="auto"/>
        </w:rPr>
      </w:pPr>
      <w:r>
        <w:rPr>
          <w:rFonts w:ascii="Arial" w:cs="Arial" w:eastAsia="Arial" w:hAnsi="Arial"/>
          <w:sz w:val="16"/>
          <w:szCs w:val="16"/>
          <w:color w:val="auto"/>
        </w:rPr>
        <w:t>In October 2018, we acquired all outstanding shares of Warp Drive. In connection with the acquisition, we issued 6,797,915 shares of our Series B preferred stock (the “Acquisition Shares”) and paid $0.9 million in other consideration, for total consideration valued at $69.0 million. Of the Acquisition Shares, 1,708,824 shares of Series B Preferred Stock were issued to entities affiliated with Third Rock Ventures, which beneficially owned more than 5% of our capital stock immediately prior to and following the acquisition. In addition, Alexis Borisy, who is currently a member of our board of directors and was a member of our board of directors at the time of the acquisition of Warp Drive, was then an affiliate of Third Rock Ventures. Of the Acquisition Shares, 3,363,050 shares of Series B Preferred Stock were issued to Sanofi Research Invest, LLC, which became a beneficial owner of more than 5% of our capital stock following the acquisition.</w:t>
      </w:r>
    </w:p>
    <w:p>
      <w:pPr>
        <w:spacing w:after="0" w:line="7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connection with our acquisition of Warp Drive, we assumed a convertible promissory note, or the “Convertible Note” issued by Warp Drive to an entity affiliated with Third Rock Ventures, dated October 8, 2018. The Convertible Note was issued in a principal amount of $2,000,000, with simple interest at an annual rate of 8% computed on the basis of a 360-day year. On October 30, 2018, at our election, we converted the Convertible Note into 200,493 shares of our Series B Preferred Stock which were issued to an entity affiliated with Third Rock Ventures pursuant to the terms of the Convertible Note. At the time of such conversion of the Convertible Note, entities affiliated with Third Rock Ventures were beneficial owners of (in the aggregate) more than 5% of our capital stock. Alexis Borisy, who is currently a member of our board of directors and was a member of our board of directors at the time of the conversion of the Convertible Note, was then an affiliate of Third Rock Ventures.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Casma sublease and sublease guarantee</w:t>
      </w:r>
    </w:p>
    <w:p>
      <w:pPr>
        <w:spacing w:after="0" w:line="13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Following our acquisition of Warp Drive, in February 2019, we entered into a sublease agreement with Casma Therapeutics, Inc., or Casma, for Casma to sublease from us approximately 22,000 square feet of office and laboratory space in Cambridge, Massachusetts. The term of this sublease expires in February 2023. The sublease provides for initial annual base rent for the complete subleased premises of approximately $1.7 million, with annual increases of approximately 3.0% in annual base rent. Third Rock Ventures, LLC is affiliated with Third Rock Ventures and provided a Guarantee of Sublease to guarantee to us the payment of the sublease obligations under the sublease. At the time such Guarantee of Sublease was provided and at the time we entered into the sublease agreement, entities affiliated with Third Rock Ventures were beneficial owners of (in the aggregate) more than 5% of our capital stock and were major stockholders of Casma. Alexis Borisy, who is currently a member of our board of directors and was a member of our board of directors at the time such Guarantee of Sublease was provided, was then an affiliate of Third Rock Ventures.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Pliant sublease</w:t>
      </w:r>
    </w:p>
    <w:p>
      <w:pPr>
        <w:spacing w:after="0" w:line="134"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In July 2015, we entered into a sublease with Pliant Therapeutics, Inc., or Pliant, for Pliant to sublease from us approximately 10,200 square feet of office and laboratory space in Redwood City, California. The sublease provided for a base rent of $30,606 per month and a term expiring on December 31, 2016. In March 2016, we amended the sublease to, among other things, extend the term to end on March 31, 2017 and increase the monthly base rent starting in January 2017 to $31,626. In September 2016, we amended and restated the sublease to, among other things, extend the sublease term to end on March 31, 2018, increase the total sublease premises to approximately 18,000 square feet and increase the monthly base rent to $45,909 with a further increase to $80,851 upon the substantial completion of certain improvements to the subleased premises. In addition, Pliant exercised an option to extend the sublease term through June 2018. In connection with the amendment and restatement, we entered into an agreement with Pliant relating to the use of shared</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80"/>
          </w:cols>
          <w:pgMar w:left="240" w:top="460"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spaces and services. At the time of the sublease agreement with Pliant and each amendment, entities affiliated with Third Rock Ventures were beneficial owners of (in the aggregate) more than 5% of our capital stock and Third Rock Ventures was a major stockholder of Pliant. In addition, Alexis Borisy, who is currently a member of our board of directors and was a member of our board of directors at the time of such sublease agreement and each amendment, was then an affiliate of Third Rock Ventures.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Transactions with Sanofi</w:t>
      </w:r>
    </w:p>
    <w:p>
      <w:pPr>
        <w:spacing w:after="0" w:line="13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information regarding the Sanofi Agreement, see “Business —Collaboration agreement with Sanofi.”</w:t>
      </w:r>
    </w:p>
    <w:p>
      <w:pPr>
        <w:spacing w:after="0" w:line="101" w:lineRule="exact"/>
        <w:rPr>
          <w:sz w:val="20"/>
          <w:szCs w:val="20"/>
          <w:color w:val="auto"/>
        </w:rPr>
      </w:pPr>
    </w:p>
    <w:p>
      <w:pPr>
        <w:ind w:left="200" w:right="20"/>
        <w:spacing w:after="0" w:line="268" w:lineRule="auto"/>
        <w:rPr>
          <w:sz w:val="20"/>
          <w:szCs w:val="20"/>
          <w:color w:val="auto"/>
        </w:rPr>
      </w:pPr>
      <w:r>
        <w:rPr>
          <w:rFonts w:ascii="Arial" w:cs="Arial" w:eastAsia="Arial" w:hAnsi="Arial"/>
          <w:sz w:val="16"/>
          <w:szCs w:val="16"/>
          <w:color w:val="auto"/>
        </w:rPr>
        <w:t>In connection with our obligations and responsibilities under the Sanofi Agreement, in April 2019, we entered into a Clinical Supply Agreement with Genzyme Corporation, an affiliate of Sanofi, and a Quality Agreement with Sanofi-Aventis Recherche &amp; Developpement, an affiliate of Sanofi. The Quality Agreement was amended in December 2019. For the purposes of this discussion, we refer to Genzyme Corporation and Sanofi-Aventis Recherche &amp; Developpement, respectively, as Sanofi. At the time both such agreements were entered into, entities affiliated with Sanofi were beneficial owners of (in the aggregate) more than 5% of our capital stock. The Clinical Supply Agreement governs how we will oversee the manufacture and supply of any SHP2 inhibitors requested by Sanofi for use in its clinical development activities under the Sanofi Agreement and provides that Sanofi will compensate us for the costs to manufacture any such product plus a 10% fee. The Quality Agreement requires that the production of RMC-4630 meets certain quality standards and puts certain conditions on our arrangements with subcontractors. The Quality Agreement does not contemplate that any consideration be paid separate from the Sanofi Agreement.</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board of directors adopted a written related person transaction policy,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Principal stockholders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relating to the beneficial ownership of our common stock as of September 30, 2019, by:</w:t>
      </w:r>
    </w:p>
    <w:p>
      <w:pPr>
        <w:spacing w:after="0" w:line="117" w:lineRule="exact"/>
        <w:rPr>
          <w:sz w:val="20"/>
          <w:szCs w:val="20"/>
          <w:color w:val="auto"/>
        </w:rPr>
      </w:pPr>
    </w:p>
    <w:p>
      <w:pPr>
        <w:ind w:left="420" w:hanging="216"/>
        <w:spacing w:after="0"/>
        <w:tabs>
          <w:tab w:leader="none" w:pos="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shares of common stock;</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0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September 30, 2019 through the exercise of any stock option, warrants or other rights. Except as otherwise indicated, and subject to applicable community property laws, the persons named in the table have sole voting and investment power with respect to all shares of common stock held by that person.</w:t>
      </w:r>
    </w:p>
    <w:p>
      <w:pPr>
        <w:spacing w:after="0" w:line="102" w:lineRule="exact"/>
        <w:rPr>
          <w:sz w:val="20"/>
          <w:szCs w:val="20"/>
          <w:color w:val="auto"/>
        </w:rPr>
      </w:pPr>
    </w:p>
    <w:p>
      <w:pPr>
        <w:ind w:left="200" w:right="140"/>
        <w:spacing w:after="0" w:line="235" w:lineRule="auto"/>
        <w:rPr>
          <w:sz w:val="20"/>
          <w:szCs w:val="20"/>
          <w:color w:val="auto"/>
        </w:rPr>
      </w:pPr>
      <w:r>
        <w:rPr>
          <w:rFonts w:ascii="Arial" w:cs="Arial" w:eastAsia="Arial" w:hAnsi="Arial"/>
          <w:sz w:val="18"/>
          <w:szCs w:val="18"/>
          <w:color w:val="auto"/>
        </w:rPr>
        <w:t>The percentage of shares beneficially owned is computed on the basis of 42,902,309 shares of our common stock outstanding as of September 30, 2019, which reflects the assumed conversion of all of our outstanding shares of preferred stock into an aggregate of 39,600,423 shares of common stock. Shares of our common stock that a person has the right to acquire within 60 days of September 30, 2019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The percentage ownership information under the column titled “Beneficial ownership after this offering” is based on the sale of shares of common stock in this offering, assuming no exercise of the underwriters’ option to purchase additional shares. Unless otherwise indicated below, the address for each beneficial owner listed is c/o Revolution Medicines, Inc., 700 Saginaw Drive, Redwood City, California 94063.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699770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7"/>
              </w:rPr>
              <w:t>Beneficial ownership after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60" w:type="dxa"/>
            <w:vAlign w:val="bottom"/>
            <w:gridSpan w:val="5"/>
          </w:tcPr>
          <w:p>
            <w:pPr>
              <w:ind w:left="560"/>
              <w:spacing w:after="0"/>
              <w:rPr>
                <w:sz w:val="20"/>
                <w:szCs w:val="20"/>
                <w:color w:val="auto"/>
              </w:rPr>
            </w:pPr>
            <w:r>
              <w:rPr>
                <w:rFonts w:ascii="Arial" w:cs="Arial" w:eastAsia="Arial" w:hAnsi="Arial"/>
                <w:sz w:val="18"/>
                <w:szCs w:val="18"/>
                <w:b w:val="1"/>
                <w:bCs w:val="1"/>
                <w:color w:val="auto"/>
              </w:rPr>
              <w:t>Beneficial ownership prior to this offering</w:t>
            </w:r>
          </w:p>
        </w:tc>
        <w:tc>
          <w:tcPr>
            <w:tcW w:w="23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8"/>
              </w:rPr>
              <w:t>this offering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Borders>
              <w:top w:val="single" w:sz="8" w:color="auto"/>
            </w:tcBorders>
          </w:tcPr>
          <w:p>
            <w:pPr>
              <w:jc w:val="center"/>
              <w:ind w:right="52"/>
              <w:spacing w:after="0" w:line="177" w:lineRule="exact"/>
              <w:rPr>
                <w:sz w:val="20"/>
                <w:szCs w:val="20"/>
                <w:color w:val="auto"/>
              </w:rPr>
            </w:pPr>
            <w:r>
              <w:rPr>
                <w:rFonts w:ascii="Arial" w:cs="Arial" w:eastAsia="Arial" w:hAnsi="Arial"/>
                <w:sz w:val="18"/>
                <w:szCs w:val="18"/>
                <w:b w:val="1"/>
                <w:bCs w:val="1"/>
                <w:color w:val="auto"/>
                <w:w w:val="97"/>
              </w:rPr>
              <w:t>Number of</w:t>
            </w:r>
          </w:p>
        </w:tc>
        <w:tc>
          <w:tcPr>
            <w:tcW w:w="120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Number of</w:t>
            </w:r>
          </w:p>
        </w:tc>
        <w:tc>
          <w:tcPr>
            <w:tcW w:w="1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3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outstanding</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shares</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Number of</w:t>
            </w:r>
          </w:p>
        </w:tc>
        <w:tc>
          <w:tcPr>
            <w:tcW w:w="13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Percentage</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7"/>
              </w:rPr>
              <w:t>Number of</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6"/>
              </w:rPr>
              <w:t>shares</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exercisable</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shares</w:t>
            </w:r>
          </w:p>
        </w:tc>
        <w:tc>
          <w:tcPr>
            <w:tcW w:w="13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3"/>
              </w:rPr>
              <w:t>of</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6"/>
              </w:rPr>
              <w:t>shares</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Percentage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within 60</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3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6"/>
              </w:rPr>
              <w:t>beneficial</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of beneficial</w:t>
            </w:r>
          </w:p>
        </w:tc>
        <w:tc>
          <w:tcPr>
            <w:tcW w:w="0" w:type="dxa"/>
            <w:vAlign w:val="bottom"/>
          </w:tcPr>
          <w:p>
            <w:pPr>
              <w:spacing w:after="0"/>
              <w:rPr>
                <w:sz w:val="1"/>
                <w:szCs w:val="1"/>
                <w:color w:val="auto"/>
              </w:rPr>
            </w:pP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60" w:type="dxa"/>
            <w:vAlign w:val="bottom"/>
          </w:tcPr>
          <w:p>
            <w:pPr>
              <w:spacing w:after="0"/>
              <w:rPr>
                <w:sz w:val="19"/>
                <w:szCs w:val="19"/>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b w:val="1"/>
                <w:bCs w:val="1"/>
                <w:color w:val="auto"/>
                <w:w w:val="98"/>
              </w:rPr>
              <w:t>owned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7"/>
              </w:rPr>
              <w:t>days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8"/>
              </w:rPr>
              <w:t>owned</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ownership</w:t>
            </w:r>
          </w:p>
        </w:tc>
        <w:tc>
          <w:tcPr>
            <w:tcW w:w="1120" w:type="dxa"/>
            <w:vAlign w:val="bottom"/>
          </w:tcPr>
          <w:p>
            <w:pPr>
              <w:jc w:val="center"/>
              <w:ind w:right="32"/>
              <w:spacing w:after="0"/>
              <w:rPr>
                <w:sz w:val="20"/>
                <w:szCs w:val="20"/>
                <w:color w:val="auto"/>
              </w:rPr>
            </w:pPr>
            <w:r>
              <w:rPr>
                <w:rFonts w:ascii="Arial" w:cs="Arial" w:eastAsia="Arial" w:hAnsi="Arial"/>
                <w:sz w:val="18"/>
                <w:szCs w:val="18"/>
                <w:b w:val="1"/>
                <w:bCs w:val="1"/>
                <w:color w:val="auto"/>
                <w:w w:val="98"/>
              </w:rPr>
              <w:t>owned</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ownership</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6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and Greater Stockholders: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Third Rock Ventures(1)</w:t>
            </w:r>
          </w:p>
        </w:tc>
        <w:tc>
          <w:tcPr>
            <w:tcW w:w="130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12,353,248</w:t>
            </w:r>
          </w:p>
        </w:tc>
        <w:tc>
          <w:tcPr>
            <w:tcW w:w="120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12,353,248</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240" w:type="dxa"/>
            <w:vAlign w:val="bottom"/>
          </w:tcPr>
          <w:p>
            <w:pPr>
              <w:spacing w:after="0"/>
              <w:rPr>
                <w:sz w:val="17"/>
                <w:szCs w:val="17"/>
                <w:color w:val="auto"/>
              </w:rPr>
            </w:pP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12,353,248</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The Column Group(2)</w:t>
            </w:r>
          </w:p>
        </w:tc>
        <w:tc>
          <w:tcPr>
            <w:tcW w:w="130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7,977,384</w:t>
            </w:r>
          </w:p>
        </w:tc>
        <w:tc>
          <w:tcPr>
            <w:tcW w:w="12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7,977,384</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7,977,384</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640" w:type="dxa"/>
            <w:vAlign w:val="bottom"/>
            <w:gridSpan w:val="2"/>
          </w:tcPr>
          <w:p>
            <w:pPr>
              <w:spacing w:after="0"/>
              <w:rPr>
                <w:sz w:val="20"/>
                <w:szCs w:val="20"/>
                <w:color w:val="auto"/>
              </w:rPr>
            </w:pPr>
            <w:r>
              <w:rPr>
                <w:rFonts w:ascii="Arial" w:cs="Arial" w:eastAsia="Arial" w:hAnsi="Arial"/>
                <w:sz w:val="18"/>
                <w:szCs w:val="18"/>
                <w:color w:val="auto"/>
              </w:rPr>
              <w:t>Sanofi Research Invest, LLC(3)</w:t>
            </w:r>
          </w:p>
        </w:tc>
        <w:tc>
          <w:tcPr>
            <w:tcW w:w="1300" w:type="dxa"/>
            <w:vAlign w:val="bottom"/>
            <w:gridSpan w:val="2"/>
          </w:tcPr>
          <w:p>
            <w:pPr>
              <w:jc w:val="right"/>
              <w:ind w:right="32"/>
              <w:spacing w:after="0"/>
              <w:rPr>
                <w:sz w:val="20"/>
                <w:szCs w:val="20"/>
                <w:color w:val="auto"/>
              </w:rPr>
            </w:pPr>
            <w:r>
              <w:rPr>
                <w:rFonts w:ascii="Arial" w:cs="Arial" w:eastAsia="Arial" w:hAnsi="Arial"/>
                <w:sz w:val="18"/>
                <w:szCs w:val="18"/>
                <w:color w:val="auto"/>
              </w:rPr>
              <w:t>3,363,050</w:t>
            </w: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3,363,050</w:t>
            </w: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3,363,050</w:t>
            </w: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198</w:t>
            </w:r>
          </w:p>
        </w:tc>
        <w:tc>
          <w:tcPr>
            <w:tcW w:w="1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8"/>
              </w:rPr>
              <w:t>Beneficial ownership after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40" w:type="dxa"/>
            <w:vAlign w:val="bottom"/>
            <w:gridSpan w:val="5"/>
          </w:tcPr>
          <w:p>
            <w:pPr>
              <w:ind w:left="580"/>
              <w:spacing w:after="0"/>
              <w:rPr>
                <w:sz w:val="20"/>
                <w:szCs w:val="20"/>
                <w:color w:val="auto"/>
              </w:rPr>
            </w:pPr>
            <w:r>
              <w:rPr>
                <w:rFonts w:ascii="Arial" w:cs="Arial" w:eastAsia="Arial" w:hAnsi="Arial"/>
                <w:sz w:val="18"/>
                <w:szCs w:val="18"/>
                <w:b w:val="1"/>
                <w:bCs w:val="1"/>
                <w:color w:val="auto"/>
              </w:rPr>
              <w:t>Beneficial ownership prior to this offering</w:t>
            </w:r>
          </w:p>
        </w:tc>
        <w:tc>
          <w:tcPr>
            <w:tcW w:w="24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6"/>
              </w:rPr>
              <w:t>this offering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top w:val="single" w:sz="8" w:color="auto"/>
            </w:tcBorders>
          </w:tcPr>
          <w:p>
            <w:pPr>
              <w:jc w:val="center"/>
              <w:ind w:right="52"/>
              <w:spacing w:after="0" w:line="177" w:lineRule="exact"/>
              <w:rPr>
                <w:sz w:val="20"/>
                <w:szCs w:val="20"/>
                <w:color w:val="auto"/>
              </w:rPr>
            </w:pPr>
            <w:r>
              <w:rPr>
                <w:rFonts w:ascii="Arial" w:cs="Arial" w:eastAsia="Arial" w:hAnsi="Arial"/>
                <w:sz w:val="18"/>
                <w:szCs w:val="18"/>
                <w:b w:val="1"/>
                <w:bCs w:val="1"/>
                <w:color w:val="auto"/>
                <w:w w:val="97"/>
              </w:rPr>
              <w:t>Number of</w:t>
            </w:r>
          </w:p>
        </w:tc>
        <w:tc>
          <w:tcPr>
            <w:tcW w:w="120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Number of</w:t>
            </w:r>
          </w:p>
        </w:tc>
        <w:tc>
          <w:tcPr>
            <w:tcW w:w="1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outstanding</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shares</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Number of</w:t>
            </w:r>
          </w:p>
        </w:tc>
        <w:tc>
          <w:tcPr>
            <w:tcW w:w="136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6"/>
              </w:rPr>
              <w:t>Percentage</w:t>
            </w:r>
          </w:p>
        </w:tc>
        <w:tc>
          <w:tcPr>
            <w:tcW w:w="1120" w:type="dxa"/>
            <w:vAlign w:val="bottom"/>
          </w:tcPr>
          <w:p>
            <w:pPr>
              <w:jc w:val="center"/>
              <w:ind w:right="72"/>
              <w:spacing w:after="0" w:line="202" w:lineRule="exact"/>
              <w:rPr>
                <w:sz w:val="20"/>
                <w:szCs w:val="20"/>
                <w:color w:val="auto"/>
              </w:rPr>
            </w:pPr>
            <w:r>
              <w:rPr>
                <w:rFonts w:ascii="Arial" w:cs="Arial" w:eastAsia="Arial" w:hAnsi="Arial"/>
                <w:sz w:val="18"/>
                <w:szCs w:val="18"/>
                <w:b w:val="1"/>
                <w:bCs w:val="1"/>
                <w:color w:val="auto"/>
                <w:w w:val="97"/>
              </w:rPr>
              <w:t>Number of</w:t>
            </w: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6"/>
              </w:rPr>
              <w:t>shares</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exercisable</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shares</w:t>
            </w:r>
          </w:p>
        </w:tc>
        <w:tc>
          <w:tcPr>
            <w:tcW w:w="136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3"/>
              </w:rPr>
              <w:t>of</w:t>
            </w:r>
          </w:p>
        </w:tc>
        <w:tc>
          <w:tcPr>
            <w:tcW w:w="1120" w:type="dxa"/>
            <w:vAlign w:val="bottom"/>
          </w:tcPr>
          <w:p>
            <w:pPr>
              <w:jc w:val="center"/>
              <w:ind w:right="72"/>
              <w:spacing w:after="0" w:line="202" w:lineRule="exact"/>
              <w:rPr>
                <w:sz w:val="20"/>
                <w:szCs w:val="20"/>
                <w:color w:val="auto"/>
              </w:rPr>
            </w:pPr>
            <w:r>
              <w:rPr>
                <w:rFonts w:ascii="Arial" w:cs="Arial" w:eastAsia="Arial" w:hAnsi="Arial"/>
                <w:sz w:val="18"/>
                <w:szCs w:val="18"/>
                <w:b w:val="1"/>
                <w:bCs w:val="1"/>
                <w:color w:val="auto"/>
                <w:w w:val="96"/>
              </w:rPr>
              <w:t>shares</w:t>
            </w:r>
          </w:p>
        </w:tc>
        <w:tc>
          <w:tcPr>
            <w:tcW w:w="12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Percentage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within 60</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36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6"/>
              </w:rPr>
              <w:t>beneficial</w:t>
            </w:r>
          </w:p>
        </w:tc>
        <w:tc>
          <w:tcPr>
            <w:tcW w:w="1120" w:type="dxa"/>
            <w:vAlign w:val="bottom"/>
          </w:tcPr>
          <w:p>
            <w:pPr>
              <w:jc w:val="center"/>
              <w:ind w:right="72"/>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2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of beneficial</w:t>
            </w:r>
          </w:p>
        </w:tc>
        <w:tc>
          <w:tcPr>
            <w:tcW w:w="0" w:type="dxa"/>
            <w:vAlign w:val="bottom"/>
          </w:tcPr>
          <w:p>
            <w:pPr>
              <w:spacing w:after="0"/>
              <w:rPr>
                <w:sz w:val="1"/>
                <w:szCs w:val="1"/>
                <w:color w:val="auto"/>
              </w:rPr>
            </w:pPr>
          </w:p>
        </w:tc>
      </w:t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40" w:type="dxa"/>
            <w:vAlign w:val="bottom"/>
          </w:tcPr>
          <w:p>
            <w:pPr>
              <w:spacing w:after="0"/>
              <w:rPr>
                <w:sz w:val="19"/>
                <w:szCs w:val="19"/>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b w:val="1"/>
                <w:bCs w:val="1"/>
                <w:color w:val="auto"/>
                <w:w w:val="98"/>
              </w:rPr>
              <w:t>owned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7"/>
              </w:rPr>
              <w:t>days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8"/>
              </w:rPr>
              <w:t>owned</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ownership</w:t>
            </w:r>
          </w:p>
        </w:tc>
        <w:tc>
          <w:tcPr>
            <w:tcW w:w="1120" w:type="dxa"/>
            <w:vAlign w:val="bottom"/>
          </w:tcPr>
          <w:p>
            <w:pPr>
              <w:jc w:val="center"/>
              <w:ind w:right="72"/>
              <w:spacing w:after="0"/>
              <w:rPr>
                <w:sz w:val="20"/>
                <w:szCs w:val="20"/>
                <w:color w:val="auto"/>
              </w:rPr>
            </w:pPr>
            <w:r>
              <w:rPr>
                <w:rFonts w:ascii="Arial" w:cs="Arial" w:eastAsia="Arial" w:hAnsi="Arial"/>
                <w:sz w:val="18"/>
                <w:szCs w:val="18"/>
                <w:b w:val="1"/>
                <w:bCs w:val="1"/>
                <w:color w:val="auto"/>
                <w:w w:val="98"/>
              </w:rPr>
              <w:t>owned</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ownership</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5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Named Executive Officers and Directors: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Mark A. Goldsmith, M.D., Ph.D.(4)</w:t>
            </w:r>
          </w:p>
        </w:tc>
        <w:tc>
          <w:tcPr>
            <w:tcW w:w="128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637,060</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1,564,555</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2,201,615</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60" w:type="dxa"/>
            <w:vAlign w:val="bottom"/>
          </w:tcPr>
          <w:p>
            <w:pPr>
              <w:spacing w:after="0"/>
              <w:rPr>
                <w:sz w:val="17"/>
                <w:szCs w:val="17"/>
                <w:color w:val="auto"/>
              </w:rPr>
            </w:pP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2,201,615</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 Kelsey, M.D., FRCP, FRCPath(5)</w:t>
            </w:r>
          </w:p>
        </w:tc>
        <w:tc>
          <w:tcPr>
            <w:tcW w:w="12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268,009</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330,041</w:t>
            </w:r>
          </w:p>
        </w:tc>
        <w:tc>
          <w:tcPr>
            <w:tcW w:w="1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598,050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598,050</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Margaret Horn, J.D.(6)</w:t>
            </w:r>
          </w:p>
        </w:tc>
        <w:tc>
          <w:tcPr>
            <w:tcW w:w="128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133,756</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464,294</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598,050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60" w:type="dxa"/>
            <w:vAlign w:val="bottom"/>
          </w:tcPr>
          <w:p>
            <w:pPr>
              <w:spacing w:after="0"/>
              <w:rPr>
                <w:sz w:val="17"/>
                <w:szCs w:val="17"/>
                <w:color w:val="auto"/>
              </w:rPr>
            </w:pP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598,050</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Elizabeth McKee Anderson(7)</w:t>
            </w:r>
          </w:p>
        </w:tc>
        <w:tc>
          <w:tcPr>
            <w:tcW w:w="12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36,990</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31,080</w:t>
            </w:r>
          </w:p>
        </w:tc>
        <w:tc>
          <w:tcPr>
            <w:tcW w:w="1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68,070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68,070</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Alexis Borisy(8)</w:t>
            </w:r>
          </w:p>
        </w:tc>
        <w:tc>
          <w:tcPr>
            <w:tcW w:w="140" w:type="dxa"/>
            <w:vAlign w:val="bottom"/>
          </w:tcPr>
          <w:p>
            <w:pPr>
              <w:spacing w:after="0"/>
              <w:rPr>
                <w:sz w:val="17"/>
                <w:szCs w:val="17"/>
                <w:color w:val="auto"/>
              </w:rPr>
            </w:pPr>
          </w:p>
        </w:tc>
        <w:tc>
          <w:tcPr>
            <w:tcW w:w="11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72,932</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72,932</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72,932</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Neil Exter(9)</w:t>
            </w:r>
          </w:p>
        </w:tc>
        <w:tc>
          <w:tcPr>
            <w:tcW w:w="12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12,353,248</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12,353,248</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12,353,248</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Larry Lasky, Ph.D.</w:t>
            </w:r>
          </w:p>
        </w:tc>
        <w:tc>
          <w:tcPr>
            <w:tcW w:w="140" w:type="dxa"/>
            <w:vAlign w:val="bottom"/>
          </w:tcPr>
          <w:p>
            <w:pPr>
              <w:spacing w:after="0"/>
              <w:rPr>
                <w:sz w:val="17"/>
                <w:szCs w:val="17"/>
                <w:color w:val="auto"/>
              </w:rPr>
            </w:pPr>
          </w:p>
        </w:tc>
        <w:tc>
          <w:tcPr>
            <w:tcW w:w="11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Vincent A. Miller, M.D.(10)</w:t>
            </w:r>
          </w:p>
        </w:tc>
        <w:tc>
          <w:tcPr>
            <w:tcW w:w="12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30,825</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32,382</w:t>
            </w:r>
          </w:p>
        </w:tc>
        <w:tc>
          <w:tcPr>
            <w:tcW w:w="1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63,207</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63,207</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Thilo Schroeder, Ph.D.</w:t>
            </w:r>
          </w:p>
        </w:tc>
        <w:tc>
          <w:tcPr>
            <w:tcW w:w="140" w:type="dxa"/>
            <w:vAlign w:val="bottom"/>
          </w:tcPr>
          <w:p>
            <w:pPr>
              <w:spacing w:after="0"/>
              <w:rPr>
                <w:sz w:val="17"/>
                <w:szCs w:val="17"/>
                <w:color w:val="auto"/>
              </w:rPr>
            </w:pPr>
          </w:p>
        </w:tc>
        <w:tc>
          <w:tcPr>
            <w:tcW w:w="11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Barbara Weber, M.D.(11)</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63,207</w:t>
            </w:r>
          </w:p>
        </w:tc>
        <w:tc>
          <w:tcPr>
            <w:tcW w:w="1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63,207</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63,207</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60" w:type="dxa"/>
            <w:vAlign w:val="bottom"/>
            <w:gridSpan w:val="2"/>
          </w:tcPr>
          <w:p>
            <w:pPr>
              <w:spacing w:after="0" w:line="206" w:lineRule="exact"/>
              <w:rPr>
                <w:sz w:val="20"/>
                <w:szCs w:val="20"/>
                <w:color w:val="auto"/>
              </w:rPr>
            </w:pPr>
            <w:r>
              <w:rPr>
                <w:rFonts w:ascii="Arial" w:cs="Arial" w:eastAsia="Arial" w:hAnsi="Arial"/>
                <w:sz w:val="18"/>
                <w:szCs w:val="18"/>
                <w:color w:val="auto"/>
              </w:rPr>
              <w:t>All current directors and executive officers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 a group (10 persons)</w:t>
            </w:r>
          </w:p>
        </w:tc>
        <w:tc>
          <w:tcPr>
            <w:tcW w:w="12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13,459,888</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2,558,491</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16,018,379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16,018,379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20" w:hanging="316"/>
        <w:spacing w:after="0"/>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outstanding common stock.</w:t>
      </w:r>
    </w:p>
    <w:p>
      <w:pPr>
        <w:spacing w:after="0" w:line="55" w:lineRule="exact"/>
        <w:rPr>
          <w:sz w:val="20"/>
          <w:szCs w:val="20"/>
          <w:color w:val="auto"/>
        </w:rPr>
      </w:pPr>
    </w:p>
    <w:p>
      <w:pPr>
        <w:ind w:left="520" w:right="20" w:hanging="316"/>
        <w:spacing w:after="0" w:line="223" w:lineRule="auto"/>
        <w:tabs>
          <w:tab w:leader="none" w:pos="5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Consists of (i) 411,006 shares of common stock directly held by Third Rock Ventures III, L.P. (“TRV III”), (ii) 8,220,641 shares of common stock issuable upon the conversion of the Series A preferred stock directly held by TRV III, (iii) 1,027,516 shares of common stock issuable upon the conversion of the Series A preferred stock directly held by Third Rock Ventures IV, L.P. (“TRV IV”), (iv) 1,909,317 shares of common stock issuable upon the conversion of the Series B preferred stock directly held by Third Rock Ventures II, L.P. (“TRV II”), (v) 342,505 shares of common stock issuable upon the conversion of the Series B preferred stock directly held by TRV III, (vi) 342,505 shares of common stock issuable upon the conversion of the Series B preferred stock directly held by TRV IV, (vii) 49,879 shares of common stock issuable upon the conversion of the Series C preferred stock directly held by TRV III and (viii) 49,879 shares of common stock issuable upon the conversion of the Series C preferred stock directly held by TRV IV. Each of Third Rock Ventures II GP, LP (“TRV II GP”), the general partner of TRV II, and Third Rock Ventures GP II, LLC (“TRV II LLC”), the general partner of TRV II GP, and Mark Levin, Kevin Starr and Robert Tepper, the managers of TRV II LLC, may be deemed to have voting and investment power over the shares held of record by TRV II; each of Third Rock Ventures III GP, LP (“TRV III GP”), the general partner of TRV III, and Third Rock Ventures GP III, LLC (“TRV III LLC”), the general partner of TRV III GP, and Mark Levin, Kevin Starr and Robert Tepper, the managers of TRV III LLC, may be deemed to have voting and investment power over the shares held of record by TRV III; the general partner of TRV IV is Third Rock Ventures GP IV, L.P. (“TRV IV GP”) and the general partner of TRV IV GP is TRV GP IV, LLC (“TRV IV LLC”); Abbie Celniker, Ph.D., Robert Tepper, M.D., Craig Muir and Cary Pfeffer, M.D. are the managing members of TRV IV LLC and collectively make voting and investment decisions with respect to the shares held by TRV LP. The address for each of these persons and entities is 29 Newbury Street, Suite 401, Boston, MA 02116.</w:t>
      </w:r>
    </w:p>
    <w:p>
      <w:pPr>
        <w:spacing w:after="0" w:line="54" w:lineRule="exact"/>
        <w:rPr>
          <w:rFonts w:ascii="Arial" w:cs="Arial" w:eastAsia="Arial" w:hAnsi="Arial"/>
          <w:sz w:val="14"/>
          <w:szCs w:val="14"/>
          <w:color w:val="auto"/>
        </w:rPr>
      </w:pPr>
    </w:p>
    <w:p>
      <w:pPr>
        <w:ind w:left="520" w:right="60" w:hanging="316"/>
        <w:spacing w:after="0" w:line="261" w:lineRule="auto"/>
        <w:tabs>
          <w:tab w:leader="none" w:pos="52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Consists of (i) 2,412,789 shares of common stock issuable upon the conversion of the Series A preferred stock directly held by The Column Group III, LP (“TCG III”), (ii) 2,724,794 shares of common stock issuable upon the conversion of the Series A preferred stock directly held by The Column Group III-A, LP (“TCG III-A”), (iii) 643,410 shares of common stock issuable upon the conversion of the Series B preferred stock directly held by TCG III, (iv) 726,611 shares of common stock issuable upon the conversion of the Series B preferred stock directly held by TCG III-A, (v) 685,011 shares of common stock issuable upon the conversion of the Series B preferred stock directly held by Ponoi Capital, LP (“Ponoi”), (vi) 685,011 shares of common stock issuable upon the conversion of Series B preferred stock directly held by Ponoi Capital II, LP (“Ponoi II”), (vii) 46,850 shares of common stock issuable upon the conversion of the Series C preferred stock directly held by TCG III and (viii) 52,908 shares of common stock issuable upon the conversion of the Series C preferred stock directly held by TCG III-A. David Goeddel, Ph.D., Peter Svennilson and Tim Kutzkey, Ph.D., are the managing partners of (i) The Column Group III GP, LP, which is the general partner of TCG III and TCG III-A, (ii) Ponoi Management, LLC, which is the general partner of Ponoi, and (iii) Ponoi II Management, LLC, which is the general partner of Ponoi II. Dr. Goeddel, Mr. Svennilson and Dr. Kutzkey share voting and investment control over shares held by TCG III, TCG III-A, Ponoi and Ponoi II.</w:t>
      </w:r>
    </w:p>
    <w:p>
      <w:pPr>
        <w:spacing w:after="0" w:line="136" w:lineRule="exact"/>
        <w:rPr>
          <w:rFonts w:ascii="Arial" w:cs="Arial" w:eastAsia="Arial" w:hAnsi="Arial"/>
          <w:sz w:val="12"/>
          <w:szCs w:val="12"/>
          <w:color w:val="auto"/>
        </w:rPr>
      </w:pPr>
    </w:p>
    <w:p>
      <w:pPr>
        <w:ind w:left="520" w:right="260"/>
        <w:spacing w:after="0" w:line="231" w:lineRule="auto"/>
        <w:rPr>
          <w:rFonts w:ascii="Arial" w:cs="Arial" w:eastAsia="Arial" w:hAnsi="Arial"/>
          <w:sz w:val="12"/>
          <w:szCs w:val="12"/>
          <w:color w:val="auto"/>
        </w:rPr>
      </w:pPr>
      <w:r>
        <w:rPr>
          <w:rFonts w:ascii="Arial" w:cs="Arial" w:eastAsia="Arial" w:hAnsi="Arial"/>
          <w:sz w:val="14"/>
          <w:szCs w:val="14"/>
          <w:color w:val="auto"/>
        </w:rPr>
        <w:t>Dr. Goeddel, Mr. Svennilson and Dr. Kutzkey disclaim beneficial ownership of all shares above except to the extent of their pecuniary interest therein. The address of the above persons and entities is 1700 Owens Street, Suite 500, San Francisco, California 94158.</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20" w:hanging="316"/>
        <w:spacing w:after="0" w:line="228" w:lineRule="auto"/>
        <w:tabs>
          <w:tab w:leader="none" w:pos="5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Consists of 3,363,050 shares of common stock issuable upon the conversion of the Series B preferred stock. Sanofi Research Invest, LLC is a wholly owned indirect subsidiary of Sanofi. Sanofi has the ability to exercise voting and investment power over the shares held by Sanofi Research Invest, LLC. The address for Sanofi Research Invest, LLC is 3711 Kennett Pike, Suite 200, Greenville, DE 19807.</w:t>
      </w:r>
    </w:p>
    <w:p>
      <w:pPr>
        <w:spacing w:after="0" w:line="54" w:lineRule="exact"/>
        <w:rPr>
          <w:rFonts w:ascii="Arial" w:cs="Arial" w:eastAsia="Arial" w:hAnsi="Arial"/>
          <w:sz w:val="14"/>
          <w:szCs w:val="14"/>
          <w:color w:val="auto"/>
        </w:rPr>
      </w:pPr>
    </w:p>
    <w:p>
      <w:pPr>
        <w:jc w:val="both"/>
        <w:ind w:left="520" w:right="200" w:hanging="316"/>
        <w:spacing w:after="0" w:line="228" w:lineRule="auto"/>
        <w:tabs>
          <w:tab w:leader="none" w:pos="5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Consists of (i) 143,852 shares of common stock directly held by the Goldsmith Children 2011 Irrevocable Education Trust, (ii) 493,208 shares of common stock directly held by Mark A. Goldsmith and Anne E. Midler 2002 Revocable Living Trust and (iii) 1,564,555 shares of common stock that may be acquired pursuant to the exercise of stock options within 60 days of September 30, 2019.</w:t>
      </w:r>
    </w:p>
    <w:p>
      <w:pPr>
        <w:spacing w:after="0" w:line="54" w:lineRule="exact"/>
        <w:rPr>
          <w:rFonts w:ascii="Arial" w:cs="Arial" w:eastAsia="Arial" w:hAnsi="Arial"/>
          <w:sz w:val="14"/>
          <w:szCs w:val="14"/>
          <w:color w:val="auto"/>
        </w:rPr>
      </w:pPr>
    </w:p>
    <w:p>
      <w:pPr>
        <w:ind w:left="520" w:right="480" w:hanging="316"/>
        <w:spacing w:after="0" w:line="231" w:lineRule="auto"/>
        <w:tabs>
          <w:tab w:leader="none" w:pos="5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Consists of (i) 268,009 shares of common stock and (ii) 330,041 shares of common stock that may be acquired pursuant to the exercise of stock options within 60 days of September 30, 2019.</w:t>
      </w:r>
    </w:p>
    <w:p>
      <w:pPr>
        <w:spacing w:after="0" w:line="42" w:lineRule="exact"/>
        <w:rPr>
          <w:rFonts w:ascii="Arial" w:cs="Arial" w:eastAsia="Arial" w:hAnsi="Arial"/>
          <w:sz w:val="14"/>
          <w:szCs w:val="14"/>
          <w:color w:val="auto"/>
        </w:rPr>
      </w:pPr>
    </w:p>
    <w:p>
      <w:pPr>
        <w:ind w:left="520" w:hanging="316"/>
        <w:spacing w:after="0"/>
        <w:tabs>
          <w:tab w:leader="none" w:pos="5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Consists of (i) 10,454 shares of common stock directly held by Ms. Horn, (ii) 123,302 shares of common stock directly held by Margaret A. Horn Revocable Living Trust and</w:t>
      </w:r>
    </w:p>
    <w:p>
      <w:pPr>
        <w:ind w:left="740" w:hanging="212"/>
        <w:spacing w:after="0"/>
        <w:tabs>
          <w:tab w:leader="none" w:pos="740" w:val="left"/>
        </w:tabs>
        <w:numPr>
          <w:ilvl w:val="1"/>
          <w:numId w:val="120"/>
        </w:numPr>
        <w:rPr>
          <w:rFonts w:ascii="Arial" w:cs="Arial" w:eastAsia="Arial" w:hAnsi="Arial"/>
          <w:sz w:val="14"/>
          <w:szCs w:val="14"/>
          <w:color w:val="auto"/>
        </w:rPr>
      </w:pPr>
      <w:r>
        <w:rPr>
          <w:rFonts w:ascii="Arial" w:cs="Arial" w:eastAsia="Arial" w:hAnsi="Arial"/>
          <w:sz w:val="14"/>
          <w:szCs w:val="14"/>
          <w:color w:val="auto"/>
        </w:rPr>
        <w:t>464,294 shares of common stock that may be acquired pursuant to the exercise of stock options within 60 days of September 30, 2019.</w:t>
      </w:r>
    </w:p>
    <w:p>
      <w:pPr>
        <w:spacing w:after="0" w:line="55" w:lineRule="exact"/>
        <w:rPr>
          <w:rFonts w:ascii="Arial" w:cs="Arial" w:eastAsia="Arial" w:hAnsi="Arial"/>
          <w:sz w:val="14"/>
          <w:szCs w:val="14"/>
          <w:color w:val="auto"/>
        </w:rPr>
      </w:pPr>
    </w:p>
    <w:p>
      <w:pPr>
        <w:ind w:left="520" w:right="60" w:hanging="316"/>
        <w:spacing w:after="0" w:line="231" w:lineRule="auto"/>
        <w:tabs>
          <w:tab w:leader="none" w:pos="5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Consists of (i) 36,990 shares of common stock directly held by David W. Anderson 1996 Irrevocable Trust and (ii) 31,080 shares of common stock that may be acquired pursuant to the exercise of stock options within 60 days of September 30, 2019.</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Consists of 72,932 shares of common stock that may be acquired pursuant to the exercise of stock options within 60 days of September 30, 2019.</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Consists of the shares described in Footnote 1 above. Mr. Exter disclaims beneficial ownership of all such shares except to the extent of his pecuniary interests therein.</w:t>
      </w:r>
    </w:p>
    <w:p>
      <w:pPr>
        <w:spacing w:after="0" w:line="55" w:lineRule="exact"/>
        <w:rPr>
          <w:rFonts w:ascii="Arial" w:cs="Arial" w:eastAsia="Arial" w:hAnsi="Arial"/>
          <w:sz w:val="14"/>
          <w:szCs w:val="14"/>
          <w:color w:val="auto"/>
        </w:rPr>
      </w:pPr>
    </w:p>
    <w:p>
      <w:pPr>
        <w:ind w:left="640" w:right="60" w:hanging="436"/>
        <w:spacing w:after="0" w:line="231" w:lineRule="auto"/>
        <w:tabs>
          <w:tab w:leader="none" w:pos="6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Consists of (i) 30,825 shares of common stock held directly by Dr. Miller and (ii) 32,382 shares of common stock that may be acquired pursuant to the exercise of stock options within 60 days of September 30, 2019.</w:t>
      </w:r>
    </w:p>
    <w:p>
      <w:pPr>
        <w:spacing w:after="0" w:line="54" w:lineRule="exact"/>
        <w:rPr>
          <w:rFonts w:ascii="Arial" w:cs="Arial" w:eastAsia="Arial" w:hAnsi="Arial"/>
          <w:sz w:val="14"/>
          <w:szCs w:val="14"/>
          <w:color w:val="auto"/>
        </w:rPr>
      </w:pPr>
    </w:p>
    <w:p>
      <w:pPr>
        <w:ind w:left="560" w:hanging="356"/>
        <w:spacing w:after="0"/>
        <w:tabs>
          <w:tab w:leader="none" w:pos="5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Consists of 63,207 shares of common stock that may be acquired pursuant to the exercise of stock options within 60 days of September 30, 2019.</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240" w:top="460" w:right="5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Description of capital stock</w:t>
      </w:r>
    </w:p>
    <w:p>
      <w:pPr>
        <w:spacing w:after="0" w:line="140"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i w:val="1"/>
          <w:iCs w:val="1"/>
          <w:color w:val="auto"/>
        </w:rPr>
        <w:t>The following summary describes our capital stock and certain provisions of our amended and restated certificate of incorporation and our amended and restated bylaws, which will become effective immediately prior to the consummation of this offering,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have been filed as exhibits to the registration statement of which this prospectus is part.</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General</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Immediately prior to the consummation of this offering, we will file our amended and restated certificate of incorporation that</w:t>
      </w:r>
    </w:p>
    <w:p>
      <w:pPr>
        <w:ind w:left="200" w:right="100"/>
        <w:spacing w:after="0" w:line="239" w:lineRule="auto"/>
        <w:rPr>
          <w:sz w:val="20"/>
          <w:szCs w:val="20"/>
          <w:color w:val="auto"/>
        </w:rPr>
      </w:pPr>
      <w:r>
        <w:rPr>
          <w:rFonts w:ascii="Arial" w:cs="Arial" w:eastAsia="Arial" w:hAnsi="Arial"/>
          <w:sz w:val="18"/>
          <w:szCs w:val="18"/>
          <w:color w:val="auto"/>
        </w:rPr>
        <w:t>authorizes 300,000,000 shares of common stock, $0.0001 par value per share, and 10,000,000 shares of preferred stock, $0.0001 par value per share. As of September 30, 2019, there were outstanding:</w:t>
      </w:r>
    </w:p>
    <w:p>
      <w:pPr>
        <w:spacing w:after="0" w:line="114" w:lineRule="exact"/>
        <w:rPr>
          <w:sz w:val="20"/>
          <w:szCs w:val="20"/>
          <w:color w:val="auto"/>
        </w:rPr>
      </w:pPr>
    </w:p>
    <w:p>
      <w:pPr>
        <w:ind w:left="420" w:hanging="216"/>
        <w:spacing w:after="0"/>
        <w:tabs>
          <w:tab w:leader="none" w:pos="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42,902,309 shares of our common stock, on an as-converted basis, held by approximately 200 stockholders of record;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4,670,745 shares of our common stock issuable upon exercise of outstanding stock options.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connection with this offering, we effected a 1-for-4.8661 reverse stock split of our common stock and preferred stock on February 7, 2020.</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Common stock</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left="200"/>
        <w:spacing w:after="0" w:line="273" w:lineRule="auto"/>
        <w:rPr>
          <w:sz w:val="20"/>
          <w:szCs w:val="20"/>
          <w:color w:val="auto"/>
        </w:rPr>
      </w:pPr>
      <w:r>
        <w:rPr>
          <w:rFonts w:ascii="Arial" w:cs="Arial" w:eastAsia="Arial" w:hAnsi="Arial"/>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124"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4" w:lineRule="exact"/>
        <w:rPr>
          <w:sz w:val="20"/>
          <w:szCs w:val="20"/>
          <w:color w:val="auto"/>
        </w:rPr>
      </w:pPr>
    </w:p>
    <w:p>
      <w:pPr>
        <w:ind w:left="200" w:right="680"/>
        <w:spacing w:after="0" w:line="239"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Preferred stock</w:t>
      </w:r>
    </w:p>
    <w:p>
      <w:pPr>
        <w:spacing w:after="0" w:line="13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As of September 30, 2019, there were 39,600,423 shares of preferred stock outstanding, held of record by 134 stockholders. Immediately upon the consummation of this offering, all 39,600,423 outstanding shares of our preferred stock as of September 30, 2019 will be converted into an equivalent number of shares of our common stock. See Note 8 to our consolidated financial statements included elsewhere in this prospectus for a description of our currently outstanding preferred stock. Immediately prior to the consummation of this offering, our amended and restated certificate of incorporation will be amended and restated to delete all references to such shares of preferred stock. From and after the consummation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consummation of this offering, no shares of preferred stock will be outstanding, and we have no present plan to issue any shares of preferred stock.</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Options</w:t>
      </w:r>
    </w:p>
    <w:p>
      <w:pPr>
        <w:spacing w:after="0" w:line="134"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As of September 30, 2019, we had outstanding options to purchase 4,670,745 shares of our common stock, with a per share weighted-average exercise price of $3.36, under our 2014 Equity Incentive Plan.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Under our amended and restated investors’ rights agreement, based on the number of shares outstanding as of September 30, 2019, following the consummation of this offering, the holders of approximately 39.6 million shares of common stock, or their transferees, have the right to require us to register their shares under the Securities Act so that those shares may be publicly resold, and the holders of approximately 39.6 million shares of common stock, or their transferees, have the right to include their shares in any registration statement we file, in each case as described below.</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S-1 demand registration rights</w:t>
      </w:r>
    </w:p>
    <w:p>
      <w:pPr>
        <w:spacing w:after="0" w:line="124"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After the consummation of this offering, the holders of approximately 39.6 million shares of our common stock (on an as-converted basis), or their transferees, will be entitled to certain Form S-1 demand registration rights.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Beginning 180 days following the effectiveness of the registration statement of which this prospectus is a part, the holders of at least a majority of these shares can request that we register all or a portion of their shares, so long as such holders request that we register at least 40% of the shares entitled to these demand registration rights. These stockholders may make up to two requests for registration on Form S-1.</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S-3 demand registration rights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After the consummation of this offering, the holders of approximately 39.6 million shares of our common stock (on an as-converted basis), or their transferees, will be entitled to certain Form S-3 demand registration rights. If we are eligible to use a Form S-3 registration statement, the holders of at least 20% of these shares can request that we register all or a portion of their shares on a Form S-3 registration statement if the anticipated aggregate offering price is at least $5.0 million, net of certain expenses related to the sale of the shares. These stockholders may make unlimited requests for registration on Form S-3, provided that we are not obligated to effect, or take any action to effect, a registration on Form S-3 if we have effected two registrations on Form S-3 pursuant to requests by these stockholders within the 12 month period immediately preceding such request.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After the consummation of this offering, in the event that we determine to register any of our securities under the Securities Act (subject to certain exceptions), either for our own account or for the account of other security holders, the holders of approximately 39.6 million shares of our common stock (on an as-converted basis),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certain registrations, including related to the sale of securities to employees pursuant to employee benefit plans, the offer and sale of debt securities, or an SEC Rule 145 transaction, the holders of these shares are entitled to notice of the registration and have the right, subject to limitations that the underwriters may impose on the number of shares included in the registration, to include their shares in the registration. In an underwritten offering, the underwriters have the right, subject to specified conditions, to limit the number of shares such holders may include.</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4"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We will pay the registration expenses, excluding certain expenses related to the sale of shares, of the holders of the shares registered pursuant to the Form S-1 demand, Form S-3 demand and piggyback registration rights described above, including the reasonable expenses of one counsel for the selling holders not to exceed $25,000.</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24" w:lineRule="exact"/>
        <w:rPr>
          <w:sz w:val="20"/>
          <w:szCs w:val="20"/>
          <w:color w:val="auto"/>
        </w:rPr>
      </w:pPr>
    </w:p>
    <w:p>
      <w:pPr>
        <w:ind w:left="200" w:right="160"/>
        <w:spacing w:after="0" w:line="275" w:lineRule="auto"/>
        <w:rPr>
          <w:sz w:val="20"/>
          <w:szCs w:val="20"/>
          <w:color w:val="auto"/>
        </w:rPr>
      </w:pPr>
      <w:r>
        <w:rPr>
          <w:rFonts w:ascii="Arial" w:cs="Arial" w:eastAsia="Arial" w:hAnsi="Arial"/>
          <w:sz w:val="16"/>
          <w:szCs w:val="16"/>
          <w:color w:val="auto"/>
        </w:rPr>
        <w:t>The Form S-1 demand, Form S-3 demand and piggyback registration rights described above will terminate, with respect to any particular stockholder, upon the earlier of (i) five years after the consummation of this offering, (ii) following this offering, the date that Rule 144 or another similar exemption under the Securities Act is available to such stockholder for the sale of all of such stockholder’s shares without limitation during a three-month period, or (iii) upon the consummation of a merger, consolidation or the sale of substantially all of our assets.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00"/>
          </w:cols>
          <w:pgMar w:left="240" w:top="460"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right="160"/>
        <w:spacing w:after="0" w:line="261" w:lineRule="auto"/>
        <w:rPr>
          <w:sz w:val="20"/>
          <w:szCs w:val="20"/>
          <w:color w:val="auto"/>
        </w:rPr>
      </w:pPr>
      <w:r>
        <w:rPr>
          <w:rFonts w:ascii="Arial" w:cs="Arial" w:eastAsia="Arial" w:hAnsi="Arial"/>
          <w:sz w:val="22"/>
          <w:szCs w:val="22"/>
          <w:b w:val="1"/>
          <w:bCs w:val="1"/>
          <w:color w:val="auto"/>
        </w:rPr>
        <w:t>Anti-takeover effects of provisions of our amended and restated certificate of incorporation, our amended and restated bylaws and Delaware law</w:t>
      </w:r>
    </w:p>
    <w:p>
      <w:pPr>
        <w:spacing w:after="0" w:line="80"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Some provisions of Delaware law and our amended and restated certificate of incorporation and our amended and restated bylaws that will become effective immediately prior to the consummation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02"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24"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2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ability to issue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24"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a special meeting of stockholders may be called only by our board of directors, or by our President or Chief Executive Officer.</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2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24"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Our amended and restated certificate of incorporation and our amended and restated bylaws eliminate the right of stockholders to act by written consent without a meeting.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66-2/3% of the voting power of the then outstanding voting stock. For more information on the classified board, see “Management—Board composition.”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24"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6"/>
          <w:szCs w:val="16"/>
          <w:color w:val="auto"/>
        </w:rPr>
        <w:t>Our amended and restated certificate of incorporation to be in effect immediately prior to the consummation of this offering provides that the Court of Chancery of the State of Delaware shall be the sole and exclusive forum for (i) any state law derivative action or proceeding brought on behalf us, (ii) any action asserting a claim of breach of a fiduciary duty owed by any of our directors or officers to us or our stockholders,</w:t>
      </w:r>
    </w:p>
    <w:p>
      <w:pPr>
        <w:spacing w:after="0" w:line="1" w:lineRule="exact"/>
        <w:rPr>
          <w:sz w:val="20"/>
          <w:szCs w:val="20"/>
          <w:color w:val="auto"/>
        </w:rPr>
      </w:pPr>
    </w:p>
    <w:p>
      <w:pPr>
        <w:ind w:left="200" w:right="20" w:firstLine="4"/>
        <w:spacing w:after="0" w:line="268" w:lineRule="auto"/>
        <w:tabs>
          <w:tab w:leader="none" w:pos="4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action asserting a claim against us arising pursuant to any provision of the Delaware General Corporation Law or our amended and restated certificate of incorporation or amended and restated bylaws or (iv) any action asserting a claim against us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Securities Act,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Nothing in our amended and restated certificate of incorporation or amended and restated bylaws will preclude stockholders that assert claims under the Securities Act or the Exchange Act from bringing such claims in state or federal court, subject to applicable law.</w:t>
      </w:r>
    </w:p>
    <w:p>
      <w:pPr>
        <w:spacing w:after="0" w:line="82" w:lineRule="exact"/>
        <w:rPr>
          <w:sz w:val="20"/>
          <w:szCs w:val="20"/>
          <w:color w:val="auto"/>
        </w:rPr>
      </w:pPr>
    </w:p>
    <w:p>
      <w:pPr>
        <w:ind w:left="200" w:right="120"/>
        <w:spacing w:after="0" w:line="28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240" w:top="460"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of certificate of incorporation provisions</w:t>
      </w:r>
    </w:p>
    <w:p>
      <w:pPr>
        <w:spacing w:after="0" w:line="12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Limitations of liability and indemnification matters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 discussion of liability and indemnification, see “Management—Limitation of liability and indemnification matters.”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Nasdaq Global Select Market listing</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“RVMD.”</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Transfer agent and registrar</w:t>
      </w:r>
    </w:p>
    <w:p>
      <w:pPr>
        <w:spacing w:after="0" w:line="134"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40"/>
          </w:cols>
          <w:pgMar w:left="240" w:top="460" w:right="5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Shares eligible for future sale</w:t>
      </w:r>
    </w:p>
    <w:p>
      <w:pPr>
        <w:spacing w:after="0" w:line="158"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Prior to this offering, there has been no public market for our common stock, and we cannot assure investors that an active trading market for our common stock will develop or be sustained after this offering. 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consummation of this offering due to contractual and legal restrictions on resale described below.</w:t>
      </w:r>
    </w:p>
    <w:p>
      <w:pPr>
        <w:spacing w:after="0" w:line="102"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Sale of restricted shares</w:t>
      </w:r>
    </w:p>
    <w:p>
      <w:pPr>
        <w:spacing w:after="0" w:line="13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Based on the number of shares of our common stock outstanding as of September 30, 2019 and based on the initial public offering price of $17.00 per share, upon the consummation of this offering and assuming (1) the conversion of all shares of our outstanding preferred stock as of September 30, 2019, (2) no exercise of the underwriters’ option to purchase additional shares of common stock and (3) no exercise of any of our other outstanding options, we will have outstanding an aggregate of 56,902,309 shares of common stock.</w:t>
      </w:r>
    </w:p>
    <w:p>
      <w:pPr>
        <w:spacing w:after="0" w:line="101" w:lineRule="exact"/>
        <w:rPr>
          <w:sz w:val="20"/>
          <w:szCs w:val="20"/>
          <w:color w:val="auto"/>
        </w:rPr>
      </w:pPr>
    </w:p>
    <w:p>
      <w:pPr>
        <w:ind w:left="200" w:right="120"/>
        <w:spacing w:after="0" w:line="264" w:lineRule="auto"/>
        <w:rPr>
          <w:sz w:val="20"/>
          <w:szCs w:val="20"/>
          <w:color w:val="auto"/>
        </w:rPr>
      </w:pPr>
      <w:r>
        <w:rPr>
          <w:rFonts w:ascii="Arial" w:cs="Arial" w:eastAsia="Arial" w:hAnsi="Arial"/>
          <w:sz w:val="16"/>
          <w:szCs w:val="16"/>
          <w:color w:val="auto"/>
        </w:rPr>
        <w:t>All of the shares of common stock to be sold in this offering, and any shares sold upon exercise of the underwriters’ option to purchase additional shares, will be freely tradable in the public market without restriction or further registration under the Securities Act, unless the shares are held by any of our “affiliates” as such term is defined in Rule 144 of the Securities Act. All remaining shares of common stock held by existing stockholders immediately prior to the consummation of this offering will be “restricted securities” as such term is defined in Rule</w:t>
      </w:r>
    </w:p>
    <w:p>
      <w:pPr>
        <w:spacing w:after="0" w:line="1" w:lineRule="exact"/>
        <w:rPr>
          <w:sz w:val="20"/>
          <w:szCs w:val="20"/>
          <w:color w:val="auto"/>
        </w:rPr>
      </w:pPr>
    </w:p>
    <w:p>
      <w:pPr>
        <w:ind w:left="200" w:right="100" w:firstLine="4"/>
        <w:spacing w:after="0" w:line="238" w:lineRule="auto"/>
        <w:tabs>
          <w:tab w:leader="none" w:pos="5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100"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As a result of the lock-up agreements with the underwriters or market stand-off provisions in agreements with us referred to below and the provisions of Rule 144 and Rule 701 under the Securities Act, based on the number of shares of our common stock outstanding as of September 30, 2019 and assumptions (1)-(3) described above, the shares of our common stock (excluding the shares sold in this offering) that will be available for sale in the public market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Approximate number of shares</w:t>
            </w:r>
          </w:p>
        </w:tc>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First date available for sale into public market</w:t>
            </w:r>
          </w:p>
        </w:tc>
      </w:tr>
      <w:tr>
        <w:trPr>
          <w:trHeight w:val="199"/>
        </w:trPr>
        <w:tc>
          <w:tcPr>
            <w:tcW w:w="20" w:type="dxa"/>
            <w:vAlign w:val="bottom"/>
          </w:tcPr>
          <w:p>
            <w:pPr>
              <w:spacing w:after="0"/>
              <w:rPr>
                <w:sz w:val="17"/>
                <w:szCs w:val="17"/>
                <w:color w:val="auto"/>
              </w:rPr>
            </w:pPr>
          </w:p>
        </w:tc>
        <w:tc>
          <w:tcPr>
            <w:tcW w:w="27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42,902,309 shares</w:t>
            </w:r>
          </w:p>
        </w:tc>
        <w:tc>
          <w:tcPr>
            <w:tcW w:w="8240" w:type="dxa"/>
            <w:vAlign w:val="bottom"/>
            <w:tcBorders>
              <w:top w:val="single" w:sz="8" w:color="auto"/>
            </w:tcBorders>
            <w:shd w:val="clear" w:color="auto" w:fill="CCEEFF"/>
          </w:tcPr>
          <w:p>
            <w:pPr>
              <w:ind w:left="180"/>
              <w:spacing w:after="0" w:line="200" w:lineRule="exact"/>
              <w:rPr>
                <w:sz w:val="20"/>
                <w:szCs w:val="20"/>
                <w:color w:val="auto"/>
              </w:rPr>
            </w:pPr>
            <w:r>
              <w:rPr>
                <w:rFonts w:ascii="Arial" w:cs="Arial" w:eastAsia="Arial" w:hAnsi="Arial"/>
                <w:sz w:val="18"/>
                <w:szCs w:val="18"/>
                <w:color w:val="auto"/>
                <w:w w:val="99"/>
              </w:rPr>
              <w:t>180 days after the date of this prospectus upon expiration of the lock-up agreements or market stand-</w:t>
            </w:r>
          </w:p>
        </w:tc>
      </w:tr>
      <w:tr>
        <w:trPr>
          <w:trHeight w:val="199"/>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82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w w:val="98"/>
              </w:rPr>
              <w:t>off provisions referred to below, subject in some cases to applicable volume limitations under Rule 144</w:t>
            </w:r>
          </w:p>
        </w:tc>
      </w:tr>
      <w:tr>
        <w:trPr>
          <w:trHeight w:val="20"/>
        </w:trPr>
        <w:tc>
          <w:tcPr>
            <w:tcW w:w="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Lock-up agreements and market stand-off provisions</w:t>
      </w:r>
    </w:p>
    <w:p>
      <w:pPr>
        <w:spacing w:after="0" w:line="134"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In connection with this offering, we, our directors, our executive officers and substantially all of our other stockholders and option holders have agreed, subject to certain exceptions, with the underwriters not to</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dispose of or hedge any shares of our common stock or securities convertible into or exchangeable for shares of common stock during the period from the date of the lock-up agreement continuing through the date 180 days after the date of this prospectus, except with the prior written consent of J.P. Morgan Securities LLC. See the section titled “Underwriting” for additional information. All of our option holders are subject to a market stand-off agreement with us which imposes similar restrictions.</w:t>
      </w:r>
    </w:p>
    <w:p>
      <w:pPr>
        <w:spacing w:after="0" w:line="101"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Subject to certain limitations,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00"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Following the lock-up periods set forth in the market stand-off and lock-up agreements described above, and assuming that J.P. Morgan Securities LLC does not release any parties from the lock-up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Rule 144</w:t>
      </w:r>
    </w:p>
    <w:p>
      <w:pPr>
        <w:spacing w:after="0" w:line="134" w:lineRule="exact"/>
        <w:rPr>
          <w:sz w:val="20"/>
          <w:szCs w:val="20"/>
          <w:color w:val="auto"/>
        </w:rPr>
      </w:pPr>
    </w:p>
    <w:p>
      <w:pPr>
        <w:ind w:left="200"/>
        <w:spacing w:after="0" w:line="264"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agreements referred to above, if applicable) without complying with the manner of sale, volume limitations or notice provisions of Rule 144, but subject to compliance with the public information requirements of Rule</w:t>
      </w:r>
    </w:p>
    <w:p>
      <w:pPr>
        <w:spacing w:after="0" w:line="1" w:lineRule="exact"/>
        <w:rPr>
          <w:sz w:val="20"/>
          <w:szCs w:val="20"/>
          <w:color w:val="auto"/>
        </w:rPr>
      </w:pPr>
    </w:p>
    <w:p>
      <w:pPr>
        <w:ind w:left="200" w:right="40" w:firstLine="4"/>
        <w:spacing w:after="0" w:line="236" w:lineRule="auto"/>
        <w:tabs>
          <w:tab w:leader="none" w:pos="59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115" w:lineRule="exact"/>
        <w:rPr>
          <w:sz w:val="20"/>
          <w:szCs w:val="20"/>
          <w:color w:val="auto"/>
        </w:rPr>
      </w:pPr>
    </w:p>
    <w:p>
      <w:pPr>
        <w:jc w:val="both"/>
        <w:ind w:left="420" w:right="820" w:hanging="216"/>
        <w:spacing w:after="0" w:line="299" w:lineRule="auto"/>
        <w:tabs>
          <w:tab w:leader="none" w:pos="4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1% of the number of shares of common stock then outstanding, which will equal approximately 569,023 shares of common stock immediately after this offering (calculated as of September 30, 2019 on the basis of the assumptions (1)-(3) described above); or</w:t>
      </w:r>
    </w:p>
    <w:p>
      <w:pPr>
        <w:spacing w:after="0" w:line="68" w:lineRule="exact"/>
        <w:rPr>
          <w:rFonts w:ascii="Arial" w:cs="Arial" w:eastAsia="Arial" w:hAnsi="Arial"/>
          <w:sz w:val="16"/>
          <w:szCs w:val="16"/>
          <w:color w:val="auto"/>
        </w:rPr>
      </w:pPr>
    </w:p>
    <w:p>
      <w:pPr>
        <w:ind w:left="420" w:right="280" w:hanging="216"/>
        <w:spacing w:after="0" w:line="239" w:lineRule="auto"/>
        <w:tabs>
          <w:tab w:leader="none" w:pos="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such sale.</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Rule 701</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 referred to above).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After the consummation of this offering, the holders of approximately 39.6 million shares of our common stock, or their transferees, will, subject to the lock-up agreements referred to above, be entitled to certain rights with respect to the registration of the offer and sale of those shares under the Securities Act. For a description of these registration rights, see “Description of capital stock—Registration rights.” If the offer and sale of these shares are registered, they will be freely tradable without restriction under the Securities Act.</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Stock plans</w:t>
      </w:r>
    </w:p>
    <w:p>
      <w:pPr>
        <w:spacing w:after="0" w:line="134"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We intend to file with the SEC a registration statement under the Securities Act covering the shares of common stock reserved for issuance under our 2014 Equity Incentive Plan, our 2020 Incentive Award Plan and our 2020 Employee Stock Purchase Plan. Such registration statement is expected to be filed and become effective as soon as practicable after the consummation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80"/>
          </w:cols>
          <w:pgMar w:left="24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Material U.S. federal income tax consequences to non-U.S. holders</w:t>
      </w:r>
    </w:p>
    <w:p>
      <w:pPr>
        <w:spacing w:after="0" w:line="158"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w:t>
      </w:r>
    </w:p>
    <w:p>
      <w:pPr>
        <w:spacing w:after="0" w:line="102"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14" w:lineRule="exact"/>
        <w:rPr>
          <w:sz w:val="20"/>
          <w:szCs w:val="20"/>
          <w:color w:val="auto"/>
        </w:rPr>
      </w:pPr>
    </w:p>
    <w:p>
      <w:pPr>
        <w:ind w:left="420" w:hanging="216"/>
        <w:spacing w:after="0"/>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420" w:right="320" w:hanging="216"/>
        <w:spacing w:after="0" w:line="239" w:lineRule="auto"/>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420" w:right="120" w:hanging="216"/>
        <w:spacing w:after="0" w:line="239" w:lineRule="auto"/>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7" w:lineRule="exact"/>
        <w:rPr>
          <w:rFonts w:ascii="Arial" w:cs="Arial" w:eastAsia="Arial" w:hAnsi="Arial"/>
          <w:sz w:val="18"/>
          <w:szCs w:val="18"/>
          <w:color w:val="auto"/>
        </w:rPr>
      </w:pPr>
    </w:p>
    <w:p>
      <w:pPr>
        <w:ind w:left="420" w:right="280" w:hanging="216"/>
        <w:spacing w:after="0" w:line="239" w:lineRule="auto"/>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01" w:lineRule="exact"/>
        <w:rPr>
          <w:sz w:val="20"/>
          <w:szCs w:val="20"/>
          <w:color w:val="auto"/>
        </w:rPr>
      </w:pPr>
    </w:p>
    <w:p>
      <w:pPr>
        <w:ind w:left="200" w:right="380"/>
        <w:spacing w:after="0" w:line="237"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60"/>
        <w:spacing w:after="0" w:line="236" w:lineRule="auto"/>
        <w:rPr>
          <w:sz w:val="20"/>
          <w:szCs w:val="20"/>
          <w:color w:val="auto"/>
        </w:rPr>
      </w:pPr>
      <w:r>
        <w:rPr>
          <w:rFonts w:ascii="Arial" w:cs="Arial" w:eastAsia="Arial" w:hAnsi="Arial"/>
          <w:sz w:val="18"/>
          <w:szCs w:val="18"/>
          <w:color w:val="auto"/>
        </w:rPr>
        <w:t>THIS DISCUSSION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Definition of non-U.S. holder</w:t>
      </w:r>
    </w:p>
    <w:p>
      <w:pPr>
        <w:spacing w:after="0" w:line="134"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14" w:lineRule="exact"/>
        <w:rPr>
          <w:sz w:val="20"/>
          <w:szCs w:val="20"/>
          <w:color w:val="auto"/>
        </w:rPr>
      </w:pPr>
    </w:p>
    <w:p>
      <w:pPr>
        <w:ind w:left="420" w:hanging="216"/>
        <w:spacing w:after="0"/>
        <w:tabs>
          <w:tab w:leader="none" w:pos="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420" w:right="20" w:hanging="216"/>
        <w:spacing w:after="0" w:line="238" w:lineRule="auto"/>
        <w:tabs>
          <w:tab w:leader="none" w:pos="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Distributions</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As described in the section of this prospectus titled “Dividend policy,” we have never declared or paid cash dividends on our capital stock, and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01"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102" w:lineRule="exact"/>
        <w:rPr>
          <w:sz w:val="20"/>
          <w:szCs w:val="20"/>
          <w:color w:val="auto"/>
        </w:rPr>
      </w:pPr>
    </w:p>
    <w:p>
      <w:pPr>
        <w:ind w:left="200" w:right="80"/>
        <w:spacing w:after="0" w:line="273"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80"/>
          </w:cols>
          <w:pgMar w:left="240" w:top="460"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Sale or other taxable disposition</w:t>
      </w:r>
    </w:p>
    <w:p>
      <w:pPr>
        <w:spacing w:after="0" w:line="134"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Subject to the discussion below regarding backup withholding, a Non-U.S. Holder will not be subject to U.S. federal income tax on any gain realized upon the sale or other taxable disposition of our common stock unless:</w:t>
      </w:r>
    </w:p>
    <w:p>
      <w:pPr>
        <w:spacing w:after="0" w:line="114" w:lineRule="exact"/>
        <w:rPr>
          <w:sz w:val="20"/>
          <w:szCs w:val="20"/>
          <w:color w:val="auto"/>
        </w:rPr>
      </w:pPr>
    </w:p>
    <w:p>
      <w:pPr>
        <w:ind w:left="420" w:right="120" w:hanging="216"/>
        <w:spacing w:after="0" w:line="238" w:lineRule="auto"/>
        <w:tabs>
          <w:tab w:leader="none" w:pos="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13" w:lineRule="exact"/>
        <w:rPr>
          <w:rFonts w:ascii="Arial" w:cs="Arial" w:eastAsia="Arial" w:hAnsi="Arial"/>
          <w:sz w:val="18"/>
          <w:szCs w:val="18"/>
          <w:color w:val="auto"/>
        </w:rPr>
      </w:pPr>
    </w:p>
    <w:p>
      <w:pPr>
        <w:ind w:left="420" w:right="500" w:hanging="216"/>
        <w:spacing w:after="0" w:line="239" w:lineRule="auto"/>
        <w:tabs>
          <w:tab w:leader="none" w:pos="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14" w:lineRule="exact"/>
        <w:rPr>
          <w:rFonts w:ascii="Arial" w:cs="Arial" w:eastAsia="Arial" w:hAnsi="Arial"/>
          <w:sz w:val="18"/>
          <w:szCs w:val="18"/>
          <w:color w:val="auto"/>
        </w:rPr>
      </w:pPr>
    </w:p>
    <w:p>
      <w:pPr>
        <w:ind w:left="420" w:right="220" w:hanging="216"/>
        <w:spacing w:after="0" w:line="239" w:lineRule="auto"/>
        <w:tabs>
          <w:tab w:leader="none" w:pos="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01" w:lineRule="exact"/>
        <w:rPr>
          <w:sz w:val="20"/>
          <w:szCs w:val="20"/>
          <w:color w:val="auto"/>
        </w:rPr>
      </w:pPr>
    </w:p>
    <w:p>
      <w:pPr>
        <w:ind w:left="200" w:right="500"/>
        <w:spacing w:after="0" w:line="238"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00" w:lineRule="exact"/>
        <w:rPr>
          <w:sz w:val="20"/>
          <w:szCs w:val="20"/>
          <w:color w:val="auto"/>
        </w:rPr>
      </w:pPr>
    </w:p>
    <w:p>
      <w:pPr>
        <w:jc w:val="both"/>
        <w:ind w:left="200" w:right="80"/>
        <w:spacing w:after="0" w:line="237"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01"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34"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00"/>
          </w:cols>
          <w:pgMar w:left="240" w:top="460"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60"/>
        <w:spacing w:after="0" w:line="275" w:lineRule="auto"/>
        <w:rPr>
          <w:sz w:val="20"/>
          <w:szCs w:val="20"/>
          <w:color w:val="auto"/>
        </w:rPr>
      </w:pPr>
      <w:r>
        <w:rPr>
          <w:rFonts w:ascii="Arial" w:cs="Arial" w:eastAsia="Arial" w:hAnsi="Arial"/>
          <w:sz w:val="16"/>
          <w:szCs w:val="16"/>
          <w:color w:val="auto"/>
        </w:rPr>
        <w:t>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75"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1"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beginning on January 1, 2019, withholding under FATCA would have applied also to payments of gross proceeds from the sale or other disposition of our common stock, recently proposed Treasury Regulations eliminate FATCA withholding on payments of gross proceeds entirely. Taxpayers generally may rely on these proposed Treasury Regulations until final Treasury Regulations are issued.</w:t>
      </w:r>
    </w:p>
    <w:p>
      <w:pPr>
        <w:spacing w:after="0" w:line="10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00"/>
          </w:cols>
          <w:pgMar w:left="24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Underwriting</w:t>
      </w:r>
    </w:p>
    <w:p>
      <w:pPr>
        <w:spacing w:after="0" w:line="158"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Cowen and Company, LLC, SVB Leerink LLC and Guggenheim Securities, LLC are acting as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71755</wp:posOffset>
            </wp:positionV>
            <wp:extent cx="699770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Number of</w:t>
            </w: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shares</w:t>
            </w:r>
          </w:p>
        </w:tc>
      </w:tr>
      <w:tr>
        <w:trPr>
          <w:trHeight w:val="196"/>
        </w:trPr>
        <w:tc>
          <w:tcPr>
            <w:tcW w:w="20" w:type="dxa"/>
            <w:vAlign w:val="bottom"/>
          </w:tcPr>
          <w:p>
            <w:pPr>
              <w:spacing w:after="0"/>
              <w:rPr>
                <w:sz w:val="17"/>
                <w:szCs w:val="17"/>
                <w:color w:val="auto"/>
              </w:rPr>
            </w:pPr>
          </w:p>
        </w:tc>
        <w:tc>
          <w:tcPr>
            <w:tcW w:w="9800" w:type="dxa"/>
            <w:vAlign w:val="bottom"/>
            <w:tcBorders>
              <w:top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J.P. Morgan Securities LLC</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6,020,000</w:t>
            </w:r>
          </w:p>
        </w:tc>
        <w:tc>
          <w:tcPr>
            <w:tcW w:w="8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0" w:type="dxa"/>
            <w:vAlign w:val="bottom"/>
          </w:tcPr>
          <w:p>
            <w:pPr>
              <w:ind w:left="200"/>
              <w:spacing w:after="0" w:line="202" w:lineRule="exact"/>
              <w:rPr>
                <w:sz w:val="20"/>
                <w:szCs w:val="20"/>
                <w:color w:val="auto"/>
              </w:rPr>
            </w:pPr>
            <w:r>
              <w:rPr>
                <w:rFonts w:ascii="Arial" w:cs="Arial" w:eastAsia="Arial" w:hAnsi="Arial"/>
                <w:sz w:val="18"/>
                <w:szCs w:val="18"/>
                <w:color w:val="auto"/>
              </w:rPr>
              <w:t>Cowen and Company, LLC</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3,150,000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SVB Leerink LLC</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3,150,000</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800" w:type="dxa"/>
            <w:vAlign w:val="bottom"/>
          </w:tcPr>
          <w:p>
            <w:pPr>
              <w:ind w:left="200"/>
              <w:spacing w:after="0" w:line="202" w:lineRule="exact"/>
              <w:rPr>
                <w:sz w:val="20"/>
                <w:szCs w:val="20"/>
                <w:color w:val="auto"/>
              </w:rPr>
            </w:pPr>
            <w:r>
              <w:rPr>
                <w:rFonts w:ascii="Arial" w:cs="Arial" w:eastAsia="Arial" w:hAnsi="Arial"/>
                <w:sz w:val="18"/>
                <w:szCs w:val="18"/>
                <w:color w:val="auto"/>
              </w:rPr>
              <w:t>Guggenheim Securities, LLC</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1,680,000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14,000,000</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100"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The underwriters propose to offer the common stock directly to the public at the initial public offering price set forth on the cover page of this prospectus and to certain dealers at that price less a concession not in excess of $0.714 per share. After the initial offering of the shares to the public, if all of the common stock is not sold at the initial public offering price, the underwriters may change the offering price and the other selling terms. Sales of shares made outside of the United States may be made by affiliates of the underwriters.</w:t>
      </w:r>
    </w:p>
    <w:p>
      <w:pPr>
        <w:spacing w:after="0" w:line="101"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The underwriters have an option to purchase up to 2,100,000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75"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The underwriters do not expect to sell more than 5% of the shares of common stock in the aggregate to accounts over which they exercise discretionary authority.</w:t>
      </w:r>
    </w:p>
    <w:p>
      <w:pPr>
        <w:spacing w:after="0" w:line="101"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 of common stock. The underwriting fee is $1.19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b w:val="1"/>
                <w:bCs w:val="1"/>
                <w:color w:val="auto"/>
              </w:rPr>
              <w:t>Without option</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w w:val="99"/>
              </w:rPr>
              <w:t>With full option</w:t>
            </w: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to purchase</w:t>
            </w:r>
          </w:p>
        </w:tc>
        <w:tc>
          <w:tcPr>
            <w:tcW w:w="3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to purchase</w:t>
            </w: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6200" w:type="dxa"/>
            <w:vAlign w:val="bottom"/>
            <w:gridSpan w:val="2"/>
          </w:tcPr>
          <w:p>
            <w:pPr>
              <w:jc w:val="right"/>
              <w:ind w:right="132"/>
              <w:spacing w:after="0" w:line="202" w:lineRule="exact"/>
              <w:rPr>
                <w:sz w:val="20"/>
                <w:szCs w:val="20"/>
                <w:color w:val="auto"/>
              </w:rPr>
            </w:pPr>
            <w:r>
              <w:rPr>
                <w:rFonts w:ascii="Arial" w:cs="Arial" w:eastAsia="Arial" w:hAnsi="Arial"/>
                <w:sz w:val="18"/>
                <w:szCs w:val="18"/>
                <w:b w:val="1"/>
                <w:bCs w:val="1"/>
                <w:color w:val="auto"/>
              </w:rPr>
              <w:t>additional shares</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additional shares</w:t>
            </w:r>
          </w:p>
        </w:tc>
      </w:tr>
      <w:tr>
        <w:trPr>
          <w:trHeight w:val="234"/>
        </w:trPr>
        <w:tc>
          <w:tcPr>
            <w:tcW w:w="20" w:type="dxa"/>
            <w:vAlign w:val="bottom"/>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exercise</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exercise</w:t>
            </w:r>
          </w:p>
        </w:tc>
      </w:tr>
      <w:tr>
        <w:trPr>
          <w:trHeight w:val="197"/>
        </w:trPr>
        <w:tc>
          <w:tcPr>
            <w:tcW w:w="20" w:type="dxa"/>
            <w:vAlign w:val="bottom"/>
          </w:tcPr>
          <w:p>
            <w:pPr>
              <w:spacing w:after="0"/>
              <w:rPr>
                <w:sz w:val="17"/>
                <w:szCs w:val="17"/>
                <w:color w:val="auto"/>
              </w:rPr>
            </w:pPr>
          </w:p>
        </w:tc>
        <w:tc>
          <w:tcPr>
            <w:tcW w:w="30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Per Share</w:t>
            </w:r>
          </w:p>
        </w:tc>
        <w:tc>
          <w:tcPr>
            <w:tcW w:w="46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2"/>
              <w:spacing w:after="0" w:line="197" w:lineRule="exact"/>
              <w:rPr>
                <w:sz w:val="20"/>
                <w:szCs w:val="20"/>
                <w:color w:val="auto"/>
              </w:rPr>
            </w:pPr>
            <w:r>
              <w:rPr>
                <w:rFonts w:ascii="Arial" w:cs="Arial" w:eastAsia="Arial" w:hAnsi="Arial"/>
                <w:sz w:val="18"/>
                <w:szCs w:val="18"/>
                <w:color w:val="auto"/>
              </w:rPr>
              <w:t>1.19</w:t>
            </w:r>
          </w:p>
        </w:tc>
        <w:tc>
          <w:tcPr>
            <w:tcW w:w="3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1.19</w:t>
            </w:r>
          </w:p>
        </w:tc>
      </w:tr>
      <w:tr>
        <w:trPr>
          <w:trHeight w:val="215"/>
        </w:trPr>
        <w:tc>
          <w:tcPr>
            <w:tcW w:w="3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6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16,660,000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19,159,000</w:t>
            </w:r>
          </w:p>
        </w:tc>
      </w:tr>
      <w:tr>
        <w:trPr>
          <w:trHeight w:val="357"/>
        </w:trPr>
        <w:tc>
          <w:tcPr>
            <w:tcW w:w="20" w:type="dxa"/>
            <w:vAlign w:val="bottom"/>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4680" w:type="dxa"/>
            <w:vAlign w:val="bottom"/>
            <w:tcBorders>
              <w:top w:val="single" w:sz="8" w:color="auto"/>
            </w:tcBorders>
          </w:tcPr>
          <w:p>
            <w:pPr>
              <w:jc w:val="right"/>
              <w:ind w:right="2012"/>
              <w:spacing w:after="0"/>
              <w:rPr>
                <w:sz w:val="20"/>
                <w:szCs w:val="20"/>
                <w:color w:val="auto"/>
              </w:rPr>
            </w:pPr>
            <w:r>
              <w:rPr>
                <w:rFonts w:ascii="Arial" w:cs="Arial" w:eastAsia="Arial" w:hAnsi="Arial"/>
                <w:sz w:val="18"/>
                <w:szCs w:val="18"/>
                <w:color w:val="auto"/>
              </w:rPr>
              <w:t>214</w:t>
            </w:r>
          </w:p>
        </w:tc>
        <w:tc>
          <w:tcPr>
            <w:tcW w:w="15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80"/>
        <w:spacing w:after="0" w:line="238"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$3.5 million. We have agreed to reimburse the underwriters for expenses of up to $40,000 relating to the clearance of this offering with the Financial Industry Regulatory Authority.</w:t>
      </w:r>
    </w:p>
    <w:p>
      <w:pPr>
        <w:spacing w:after="0" w:line="100" w:lineRule="exact"/>
        <w:rPr>
          <w:sz w:val="20"/>
          <w:szCs w:val="20"/>
          <w:color w:val="auto"/>
        </w:rPr>
      </w:pPr>
    </w:p>
    <w:p>
      <w:pPr>
        <w:jc w:val="both"/>
        <w:ind w:left="200" w:right="60"/>
        <w:spacing w:after="0" w:line="237"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have agreed that we will not (i) offer, pledge, announce the intention to sell, sell, contract to sell, sell any option or contract to purchase, purchase any option or contract to sell, grant any option, right or warrant to purchase, lend, or otherwise transfer or dispose of, directly or indirectly, or file with the Securities and Exchange Commission, or SEC, a registration statement under the Securities Act of 1933, relating to, any shares of our common stock or any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hereunder and any shares of our common stock issued upon the exercise of options granted under our existing stock-based compensation plans.</w:t>
      </w:r>
    </w:p>
    <w:p>
      <w:pPr>
        <w:spacing w:after="0" w:line="107" w:lineRule="exact"/>
        <w:rPr>
          <w:sz w:val="20"/>
          <w:szCs w:val="20"/>
          <w:color w:val="auto"/>
        </w:rPr>
      </w:pPr>
    </w:p>
    <w:p>
      <w:pPr>
        <w:ind w:left="200"/>
        <w:spacing w:after="0" w:line="266" w:lineRule="auto"/>
        <w:rPr>
          <w:sz w:val="20"/>
          <w:szCs w:val="20"/>
          <w:color w:val="auto"/>
        </w:rPr>
      </w:pPr>
      <w:r>
        <w:rPr>
          <w:rFonts w:ascii="Arial" w:cs="Arial" w:eastAsia="Arial" w:hAnsi="Arial"/>
          <w:sz w:val="16"/>
          <w:szCs w:val="16"/>
          <w:color w:val="auto"/>
        </w:rPr>
        <w:t>Our directors, executive officers and the holders of substantially all of our common stock, stock options and other securities convertible into, exercisable or exchangeable for our common stock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Substantially all of the record holders of our outstanding securities convertible into, exercisable or exchangeable for our common stock are subject to the restrictions on the sale, transfer, short sale, hedging, or other disposition of their equity interests imposed by either the lock-up agreements described above or market stand-off provisions in agreements with us.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lock-up restrictions described in the immediately preceding paragraph are subject to specified exceptions, including among other items:</w:t>
      </w:r>
    </w:p>
    <w:p>
      <w:pPr>
        <w:spacing w:after="0" w:line="140"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subject to certain limitations, transfers as a bona fide gift or gifts;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20"/>
          </w:cols>
          <w:pgMar w:left="240" w:top="460"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certain limitations, transfers by will, other testamentary document or intestacy;</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certain limitations, transfers to any trust for the direct or indirect benefit of the transferor or the immediate family of the transferor, or if the transferor is a trust, to a trustor or beneficiary of the trust, or to the estate of a beneficiary of such trust;</w:t>
      </w:r>
    </w:p>
    <w:p>
      <w:pPr>
        <w:spacing w:after="0" w:line="114"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certain limitations, transfers to a partnership, limited liability company or other entity of which the transferor and/or the immediate family of the transferor are the legal and beneficial owner of all of the outstanding equity securities or similar interests;</w:t>
      </w:r>
    </w:p>
    <w:p>
      <w:pPr>
        <w:spacing w:after="0" w:line="114" w:lineRule="exact"/>
        <w:rPr>
          <w:rFonts w:ascii="Arial" w:cs="Arial" w:eastAsia="Arial" w:hAnsi="Arial"/>
          <w:sz w:val="18"/>
          <w:szCs w:val="18"/>
          <w:color w:val="auto"/>
        </w:rPr>
      </w:pPr>
    </w:p>
    <w:p>
      <w:pPr>
        <w:ind w:left="420" w:right="100" w:hanging="216"/>
        <w:spacing w:after="0" w:line="275" w:lineRule="auto"/>
        <w:tabs>
          <w:tab w:leader="none" w:pos="4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subject to certain limitations, if the transferor is a corporation, partnership, limited liability company, trust or other business entity, transfers as part of a distribution to the members, partners, stockholders or other equityholders of the transferor, or to another corporation, partnership, limited liability company, trust or other business entity that is an affiliate of the transferor, or to any investment fund or other entity controlling, controlled by, managing or managed by or under common control with the transferor or its affiliates;</w:t>
      </w:r>
    </w:p>
    <w:p>
      <w:pPr>
        <w:spacing w:after="0" w:line="88" w:lineRule="exact"/>
        <w:rPr>
          <w:rFonts w:ascii="Arial" w:cs="Arial" w:eastAsia="Arial" w:hAnsi="Arial"/>
          <w:sz w:val="16"/>
          <w:szCs w:val="16"/>
          <w:color w:val="auto"/>
        </w:rPr>
      </w:pPr>
    </w:p>
    <w:p>
      <w:pPr>
        <w:ind w:left="420" w:right="500" w:hanging="216"/>
        <w:spacing w:after="0" w:line="239" w:lineRule="auto"/>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certain limitations, transfers by operation of law pursuant to a qualified domestic order, divorce settlement, divorce decree, separation agreement or other court order;</w:t>
      </w:r>
    </w:p>
    <w:p>
      <w:pPr>
        <w:spacing w:after="0" w:line="114" w:lineRule="exact"/>
        <w:rPr>
          <w:rFonts w:ascii="Arial" w:cs="Arial" w:eastAsia="Arial" w:hAnsi="Arial"/>
          <w:sz w:val="18"/>
          <w:szCs w:val="18"/>
          <w:color w:val="auto"/>
        </w:rPr>
      </w:pPr>
    </w:p>
    <w:p>
      <w:pPr>
        <w:ind w:left="420" w:right="100" w:hanging="216"/>
        <w:spacing w:after="0" w:line="239" w:lineRule="auto"/>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transfers to us from an employee or other service provider upon death, disability or termination of employment or service, in each case, of such employee or service provider;</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certain limitations, sales or transfers of shares acquired in this offering, or on the open market after this offering;</w:t>
      </w:r>
    </w:p>
    <w:p>
      <w:pPr>
        <w:spacing w:after="0" w:line="117" w:lineRule="exact"/>
        <w:rPr>
          <w:rFonts w:ascii="Arial" w:cs="Arial" w:eastAsia="Arial" w:hAnsi="Arial"/>
          <w:sz w:val="18"/>
          <w:szCs w:val="18"/>
          <w:color w:val="auto"/>
        </w:rPr>
      </w:pPr>
    </w:p>
    <w:p>
      <w:pPr>
        <w:ind w:left="420" w:right="360" w:hanging="216"/>
        <w:spacing w:after="0" w:line="239" w:lineRule="auto"/>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certain limitations, transfers to us to cover tax withholdings upon a vesting, exercise or settlement event of any equity award granted under a stock incentive plan, stock purchase plan or other equity award plan;</w:t>
      </w:r>
    </w:p>
    <w:p>
      <w:pPr>
        <w:spacing w:after="0" w:line="114" w:lineRule="exact"/>
        <w:rPr>
          <w:rFonts w:ascii="Arial" w:cs="Arial" w:eastAsia="Arial" w:hAnsi="Arial"/>
          <w:sz w:val="18"/>
          <w:szCs w:val="18"/>
          <w:color w:val="auto"/>
        </w:rPr>
      </w:pPr>
    </w:p>
    <w:p>
      <w:pPr>
        <w:ind w:left="420" w:right="100" w:hanging="216"/>
        <w:spacing w:after="0" w:line="239" w:lineRule="auto"/>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certain limitations, transfers to us by way of cashless exercise of (i) an option to purchase common stock granted under a stock incentive plan, stock purchase plan or other equity award plan or (ii) a warrant, in either case described in this prospectus;</w:t>
      </w:r>
    </w:p>
    <w:p>
      <w:pPr>
        <w:spacing w:after="0" w:line="114" w:lineRule="exact"/>
        <w:rPr>
          <w:rFonts w:ascii="Arial" w:cs="Arial" w:eastAsia="Arial" w:hAnsi="Arial"/>
          <w:sz w:val="18"/>
          <w:szCs w:val="18"/>
          <w:color w:val="auto"/>
        </w:rPr>
      </w:pPr>
    </w:p>
    <w:p>
      <w:pPr>
        <w:ind w:left="420" w:right="540" w:hanging="216"/>
        <w:spacing w:after="0" w:line="239" w:lineRule="auto"/>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made to all holders of our common stock involving a change of control that has been approved by our board of directors;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certain limitations, the establishment of a trading plan pursuant to Rule 10b5-1 of the Exchange Act.</w:t>
      </w:r>
    </w:p>
    <w:p>
      <w:pPr>
        <w:spacing w:after="0" w:line="10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J.P. Morgan Securities LLC, in its sole discretion, may release the common stock subject to the lock-up agreements described above in whole or in part at any time with or without notice.</w:t>
      </w:r>
    </w:p>
    <w:p>
      <w:pPr>
        <w:spacing w:after="0" w:line="101" w:lineRule="exact"/>
        <w:rPr>
          <w:sz w:val="20"/>
          <w:szCs w:val="20"/>
          <w:color w:val="auto"/>
        </w:rPr>
      </w:pPr>
    </w:p>
    <w:p>
      <w:pPr>
        <w:ind w:left="200" w:right="1380"/>
        <w:spacing w:after="0" w:line="360"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Our common stock has been approved for listing on the Nasdaq Global Select Market under the symbol “RVMD.”</w:t>
      </w:r>
    </w:p>
    <w:p>
      <w:pPr>
        <w:ind w:left="200" w:right="320"/>
        <w:spacing w:after="0" w:line="238"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80"/>
          </w:cols>
          <w:pgMar w:left="24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79"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0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has been determined by negotiations between us and the representatives of the underwriters. In determining the initial public offering price, we and the representatives of the underwriters considered a number of factors including:</w:t>
      </w:r>
    </w:p>
    <w:p>
      <w:pPr>
        <w:spacing w:after="0" w:line="114" w:lineRule="exact"/>
        <w:rPr>
          <w:sz w:val="20"/>
          <w:szCs w:val="20"/>
          <w:color w:val="auto"/>
        </w:rPr>
      </w:pPr>
    </w:p>
    <w:p>
      <w:pPr>
        <w:ind w:left="420" w:hanging="216"/>
        <w:spacing w:after="0"/>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04"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stock, or that the shares will trade in the public market at or above the initial public offering price.</w:t>
      </w:r>
    </w:p>
    <w:p>
      <w:pPr>
        <w:spacing w:after="0" w:line="101"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00"/>
          </w:cols>
          <w:pgMar w:left="240" w:top="460"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Selling restrictions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24"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63" w:lineRule="exact"/>
        <w:rPr>
          <w:sz w:val="20"/>
          <w:szCs w:val="20"/>
          <w:color w:val="auto"/>
        </w:rPr>
      </w:pPr>
    </w:p>
    <w:p>
      <w:pPr>
        <w:ind w:left="640" w:hanging="436"/>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63" w:lineRule="exact"/>
        <w:rPr>
          <w:rFonts w:ascii="Arial" w:cs="Arial" w:eastAsia="Arial" w:hAnsi="Arial"/>
          <w:sz w:val="18"/>
          <w:szCs w:val="18"/>
          <w:color w:val="auto"/>
        </w:rPr>
      </w:pPr>
    </w:p>
    <w:p>
      <w:pPr>
        <w:ind w:left="640" w:right="160" w:hanging="436"/>
        <w:spacing w:after="0" w:line="239" w:lineRule="auto"/>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60" w:lineRule="exact"/>
        <w:rPr>
          <w:rFonts w:ascii="Arial" w:cs="Arial" w:eastAsia="Arial" w:hAnsi="Arial"/>
          <w:sz w:val="18"/>
          <w:szCs w:val="18"/>
          <w:color w:val="auto"/>
        </w:rPr>
      </w:pPr>
    </w:p>
    <w:p>
      <w:pPr>
        <w:ind w:left="640" w:hanging="436"/>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0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underwriters have been obtained to each such proposed offer or resale.</w:t>
      </w:r>
    </w:p>
    <w:p>
      <w:pPr>
        <w:spacing w:after="0" w:line="107"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00"/>
          </w:cols>
          <w:pgMar w:left="24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2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01"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24"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5"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2"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00"/>
          </w:cols>
          <w:pgMar w:left="240" w:top="460"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740"/>
        <w:spacing w:after="0" w:line="239" w:lineRule="auto"/>
        <w:rPr>
          <w:sz w:val="20"/>
          <w:szCs w:val="20"/>
          <w:color w:val="auto"/>
        </w:rPr>
      </w:pPr>
      <w:r>
        <w:rPr>
          <w:rFonts w:ascii="Arial" w:cs="Arial" w:eastAsia="Arial" w:hAnsi="Arial"/>
          <w:sz w:val="18"/>
          <w:szCs w:val="18"/>
          <w:color w:val="auto"/>
        </w:rPr>
        <w:t>Swiss Federal Act on Collective Investment Schemes, or CISA. The investor protection afforded to acquirers of interests in collective investment schemes under the CISA does not extend to acquirers of shares.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or DIFC</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1"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prospectus:</w:t>
      </w:r>
    </w:p>
    <w:p>
      <w:pPr>
        <w:spacing w:after="0" w:line="117" w:lineRule="exact"/>
        <w:rPr>
          <w:sz w:val="20"/>
          <w:szCs w:val="20"/>
          <w:color w:val="auto"/>
        </w:rPr>
      </w:pPr>
    </w:p>
    <w:p>
      <w:pPr>
        <w:ind w:left="420" w:hanging="216"/>
        <w:spacing w:after="0"/>
        <w:tabs>
          <w:tab w:leader="none" w:pos="4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40" w:lineRule="exact"/>
        <w:rPr>
          <w:rFonts w:ascii="Arial" w:cs="Arial" w:eastAsia="Arial" w:hAnsi="Arial"/>
          <w:sz w:val="16"/>
          <w:szCs w:val="16"/>
          <w:color w:val="auto"/>
        </w:rPr>
      </w:pPr>
    </w:p>
    <w:p>
      <w:pPr>
        <w:ind w:left="420" w:right="40" w:hanging="216"/>
        <w:spacing w:after="0" w:line="238" w:lineRule="auto"/>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113" w:lineRule="exact"/>
        <w:rPr>
          <w:rFonts w:ascii="Arial" w:cs="Arial" w:eastAsia="Arial" w:hAnsi="Arial"/>
          <w:sz w:val="18"/>
          <w:szCs w:val="18"/>
          <w:color w:val="auto"/>
        </w:rPr>
      </w:pPr>
    </w:p>
    <w:p>
      <w:pPr>
        <w:ind w:left="420" w:right="440" w:hanging="216"/>
        <w:spacing w:after="0" w:line="239" w:lineRule="auto"/>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00"/>
          </w:cols>
          <w:pgMar w:left="240" w:top="460"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2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6" w:lineRule="exact"/>
        <w:rPr>
          <w:sz w:val="20"/>
          <w:szCs w:val="20"/>
          <w:color w:val="auto"/>
        </w:rPr>
      </w:pPr>
    </w:p>
    <w:p>
      <w:pPr>
        <w:ind w:left="640" w:right="620" w:hanging="436"/>
        <w:spacing w:after="0" w:line="239"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14" w:lineRule="exact"/>
        <w:rPr>
          <w:rFonts w:ascii="Arial" w:cs="Arial" w:eastAsia="Arial" w:hAnsi="Arial"/>
          <w:sz w:val="18"/>
          <w:szCs w:val="18"/>
          <w:color w:val="auto"/>
        </w:rPr>
      </w:pPr>
    </w:p>
    <w:p>
      <w:pPr>
        <w:ind w:left="640" w:right="700" w:hanging="436"/>
        <w:spacing w:after="0" w:line="239"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14" w:lineRule="exact"/>
        <w:rPr>
          <w:rFonts w:ascii="Arial" w:cs="Arial" w:eastAsia="Arial" w:hAnsi="Arial"/>
          <w:sz w:val="18"/>
          <w:szCs w:val="18"/>
          <w:color w:val="auto"/>
        </w:rPr>
      </w:pP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00"/>
          </w:cols>
          <w:pgMar w:left="240" w:top="460"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640" w:right="540" w:hanging="436"/>
        <w:spacing w:after="0" w:line="299" w:lineRule="auto"/>
        <w:tabs>
          <w:tab w:leader="none" w:pos="6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8" w:lineRule="exact"/>
        <w:rPr>
          <w:rFonts w:ascii="Arial" w:cs="Arial" w:eastAsia="Arial" w:hAnsi="Arial"/>
          <w:sz w:val="16"/>
          <w:szCs w:val="16"/>
          <w:color w:val="auto"/>
        </w:rPr>
      </w:pPr>
    </w:p>
    <w:p>
      <w:pPr>
        <w:ind w:left="640" w:hanging="436"/>
        <w:spacing w:after="0" w:line="239" w:lineRule="auto"/>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4" w:lineRule="exact"/>
        <w:rPr>
          <w:sz w:val="20"/>
          <w:szCs w:val="20"/>
          <w:color w:val="auto"/>
        </w:rPr>
      </w:pPr>
    </w:p>
    <w:p>
      <w:pPr>
        <w:ind w:left="640" w:right="60" w:hanging="436"/>
        <w:spacing w:after="0" w:line="239" w:lineRule="auto"/>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 (i)(B) of the SFA;</w:t>
      </w:r>
    </w:p>
    <w:p>
      <w:pPr>
        <w:spacing w:after="0" w:line="114" w:lineRule="exact"/>
        <w:rPr>
          <w:rFonts w:ascii="Arial" w:cs="Arial" w:eastAsia="Arial" w:hAnsi="Arial"/>
          <w:sz w:val="18"/>
          <w:szCs w:val="18"/>
          <w:color w:val="auto"/>
        </w:rPr>
      </w:pPr>
    </w:p>
    <w:p>
      <w:pPr>
        <w:ind w:left="640" w:hanging="43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640" w:right="580" w:hanging="436"/>
        <w:spacing w:after="0" w:line="239" w:lineRule="auto"/>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1"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24" w:lineRule="exact"/>
        <w:rPr>
          <w:sz w:val="20"/>
          <w:szCs w:val="20"/>
          <w:color w:val="auto"/>
        </w:rPr>
      </w:pPr>
    </w:p>
    <w:p>
      <w:pPr>
        <w:jc w:val="both"/>
        <w:ind w:left="200" w:right="160"/>
        <w:spacing w:after="0" w:line="238"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00"/>
          </w:cols>
          <w:pgMar w:left="240" w:top="460"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us.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24"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or the FSCMA, and the decrees and regulations thereunder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or the FETL, and the decrees and regulations thereunder. The shares have not been listed on any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06"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Due to restrictions under the securities laws of South Africa, no “</w:t>
      </w:r>
      <w:r>
        <w:rPr>
          <w:rFonts w:ascii="Arial" w:cs="Arial" w:eastAsia="Arial" w:hAnsi="Arial"/>
          <w:sz w:val="18"/>
          <w:szCs w:val="18"/>
          <w:i w:val="1"/>
          <w:iCs w:val="1"/>
          <w:color w:val="auto"/>
        </w:rPr>
        <w:t>offer to the public”</w:t>
      </w:r>
      <w:r>
        <w:rPr>
          <w:rFonts w:ascii="Arial" w:cs="Arial" w:eastAsia="Arial" w:hAnsi="Arial"/>
          <w:sz w:val="18"/>
          <w:szCs w:val="18"/>
          <w:color w:val="auto"/>
        </w:rPr>
        <w:t xml:space="preserve">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8"/>
          <w:szCs w:val="18"/>
          <w:i w:val="1"/>
          <w:iCs w:val="1"/>
          <w:color w:val="auto"/>
        </w:rPr>
        <w:t>registered prospectus”</w:t>
      </w:r>
      <w:r>
        <w:rPr>
          <w:rFonts w:ascii="Arial" w:cs="Arial" w:eastAsia="Arial" w:hAnsi="Arial"/>
          <w:sz w:val="18"/>
          <w:szCs w:val="18"/>
          <w:color w:val="auto"/>
        </w:rPr>
        <w:t xml:space="preserve">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delivered, in South Africa or to a person with an address in South Africa, unless one or other of the following exemptions stipulated in section 96 (1) applies:</w:t>
      </w:r>
    </w:p>
    <w:p>
      <w:pPr>
        <w:spacing w:after="0" w:line="182" w:lineRule="exact"/>
        <w:rPr>
          <w:sz w:val="20"/>
          <w:szCs w:val="20"/>
          <w:color w:val="auto"/>
        </w:rPr>
      </w:pPr>
    </w:p>
    <w:p>
      <w:pPr>
        <w:ind w:left="200"/>
        <w:spacing w:after="0"/>
        <w:tabs>
          <w:tab w:leader="none" w:pos="1840" w:val="left"/>
        </w:tabs>
        <w:rPr>
          <w:sz w:val="20"/>
          <w:szCs w:val="20"/>
          <w:color w:val="auto"/>
        </w:rPr>
      </w:pPr>
      <w:r>
        <w:rPr>
          <w:rFonts w:ascii="Arial" w:cs="Arial" w:eastAsia="Arial" w:hAnsi="Arial"/>
          <w:sz w:val="18"/>
          <w:szCs w:val="18"/>
          <w:color w:val="auto"/>
        </w:rPr>
        <w:t>Section 96 (1)(a)</w:t>
      </w:r>
      <w:r>
        <w:rPr>
          <w:sz w:val="20"/>
          <w:szCs w:val="20"/>
          <w:color w:val="auto"/>
        </w:rPr>
        <w:tab/>
      </w:r>
      <w:r>
        <w:rPr>
          <w:rFonts w:ascii="Arial" w:cs="Arial" w:eastAsia="Arial" w:hAnsi="Arial"/>
          <w:sz w:val="16"/>
          <w:szCs w:val="16"/>
          <w:color w:val="auto"/>
        </w:rPr>
        <w:t>the offer, transfer, sale, renunciation or delivery is to:</w:t>
      </w:r>
    </w:p>
    <w:p>
      <w:pPr>
        <w:spacing w:after="0" w:line="144" w:lineRule="exact"/>
        <w:rPr>
          <w:sz w:val="20"/>
          <w:szCs w:val="20"/>
          <w:color w:val="auto"/>
        </w:rPr>
      </w:pPr>
    </w:p>
    <w:p>
      <w:pPr>
        <w:ind w:left="2060" w:hanging="195"/>
        <w:spacing w:after="0"/>
        <w:tabs>
          <w:tab w:leader="none" w:pos="2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44" w:lineRule="exact"/>
        <w:rPr>
          <w:rFonts w:ascii="Arial" w:cs="Arial" w:eastAsia="Arial" w:hAnsi="Arial"/>
          <w:sz w:val="18"/>
          <w:szCs w:val="18"/>
          <w:color w:val="auto"/>
        </w:rPr>
      </w:pPr>
    </w:p>
    <w:p>
      <w:pPr>
        <w:ind w:left="2100" w:hanging="235"/>
        <w:spacing w:after="0"/>
        <w:tabs>
          <w:tab w:leader="none" w:pos="21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44" w:lineRule="exact"/>
        <w:rPr>
          <w:rFonts w:ascii="Arial" w:cs="Arial" w:eastAsia="Arial" w:hAnsi="Arial"/>
          <w:sz w:val="18"/>
          <w:szCs w:val="18"/>
          <w:color w:val="auto"/>
        </w:rPr>
      </w:pPr>
    </w:p>
    <w:p>
      <w:pPr>
        <w:ind w:left="2140" w:hanging="275"/>
        <w:spacing w:after="0"/>
        <w:tabs>
          <w:tab w:leader="none" w:pos="2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44" w:lineRule="exact"/>
        <w:rPr>
          <w:rFonts w:ascii="Arial" w:cs="Arial" w:eastAsia="Arial" w:hAnsi="Arial"/>
          <w:sz w:val="18"/>
          <w:szCs w:val="18"/>
          <w:color w:val="auto"/>
        </w:rPr>
      </w:pPr>
    </w:p>
    <w:p>
      <w:pPr>
        <w:ind w:left="2160" w:hanging="295"/>
        <w:spacing w:after="0"/>
        <w:tabs>
          <w:tab w:leader="none" w:pos="2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144" w:lineRule="exact"/>
        <w:rPr>
          <w:rFonts w:ascii="Arial" w:cs="Arial" w:eastAsia="Arial" w:hAnsi="Arial"/>
          <w:sz w:val="18"/>
          <w:szCs w:val="18"/>
          <w:color w:val="auto"/>
        </w:rPr>
      </w:pPr>
    </w:p>
    <w:p>
      <w:pPr>
        <w:ind w:left="2120" w:hanging="255"/>
        <w:spacing w:after="0"/>
        <w:tabs>
          <w:tab w:leader="none" w:pos="21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144" w:lineRule="exact"/>
        <w:rPr>
          <w:rFonts w:ascii="Arial" w:cs="Arial" w:eastAsia="Arial" w:hAnsi="Arial"/>
          <w:sz w:val="18"/>
          <w:szCs w:val="18"/>
          <w:color w:val="auto"/>
        </w:rPr>
      </w:pPr>
    </w:p>
    <w:p>
      <w:pPr>
        <w:ind w:left="1860" w:firstLine="5"/>
        <w:spacing w:after="0" w:line="238" w:lineRule="auto"/>
        <w:tabs>
          <w:tab w:leader="none" w:pos="2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40" w:lineRule="exact"/>
        <w:rPr>
          <w:rFonts w:ascii="Arial" w:cs="Arial" w:eastAsia="Arial" w:hAnsi="Arial"/>
          <w:sz w:val="18"/>
          <w:szCs w:val="18"/>
          <w:color w:val="auto"/>
        </w:rPr>
      </w:pPr>
    </w:p>
    <w:p>
      <w:pPr>
        <w:ind w:left="2200" w:hanging="335"/>
        <w:spacing w:after="0"/>
        <w:tabs>
          <w:tab w:leader="none" w:pos="22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77" w:lineRule="exact"/>
        <w:rPr>
          <w:sz w:val="20"/>
          <w:szCs w:val="20"/>
          <w:color w:val="auto"/>
        </w:rPr>
      </w:pPr>
    </w:p>
    <w:p>
      <w:pPr>
        <w:ind w:left="1860" w:right="440" w:hanging="1660"/>
        <w:spacing w:after="0" w:line="238" w:lineRule="auto"/>
        <w:tabs>
          <w:tab w:leader="none" w:pos="1840" w:val="left"/>
        </w:tabs>
        <w:rPr>
          <w:sz w:val="20"/>
          <w:szCs w:val="20"/>
          <w:color w:val="auto"/>
        </w:rPr>
      </w:pPr>
      <w:r>
        <w:rPr>
          <w:rFonts w:ascii="Arial" w:cs="Arial" w:eastAsia="Arial" w:hAnsi="Arial"/>
          <w:sz w:val="18"/>
          <w:szCs w:val="18"/>
          <w:color w:val="auto"/>
        </w:rPr>
        <w:t>Section 96 (1)(b)</w:t>
      </w:r>
      <w:r>
        <w:rPr>
          <w:sz w:val="20"/>
          <w:szCs w:val="20"/>
          <w:color w:val="auto"/>
        </w:rPr>
        <w:tab/>
      </w: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82" w:lineRule="exact"/>
        <w:rPr>
          <w:sz w:val="20"/>
          <w:szCs w:val="20"/>
          <w:color w:val="auto"/>
        </w:rPr>
      </w:pPr>
    </w:p>
    <w:p>
      <w:pPr>
        <w:ind w:left="200" w:right="320"/>
        <w:spacing w:after="0" w:line="260"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24" w:lineRule="exact"/>
        <w:rPr>
          <w:sz w:val="20"/>
          <w:szCs w:val="20"/>
          <w:color w:val="auto"/>
        </w:rPr>
      </w:pPr>
    </w:p>
    <w:p>
      <w:pPr>
        <w:ind w:left="200" w:right="160"/>
        <w:spacing w:after="0" w:line="264"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w:t>
      </w:r>
    </w:p>
    <w:p>
      <w:pPr>
        <w:spacing w:after="0" w:line="1" w:lineRule="exact"/>
        <w:rPr>
          <w:sz w:val="20"/>
          <w:szCs w:val="20"/>
          <w:color w:val="auto"/>
        </w:rPr>
      </w:pPr>
    </w:p>
    <w:p>
      <w:pPr>
        <w:ind w:left="200" w:right="80" w:firstLine="4"/>
        <w:spacing w:after="0" w:line="236" w:lineRule="auto"/>
        <w:tabs>
          <w:tab w:leader="none" w:pos="4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validity of the issuance of our common stock offered in this prospectus will be passed upon for us by Latham &amp; Watkins LLP, Menlo Park, California. Davis Polk &amp; Wardwell LLP, Menlo Park, California, is acting as counsel for the underwriters in connection with this offering. Latham &amp; Watkins LLP and certain attorneys and investment funds affiliated with the firm own shares of our preferred stock which will be converted into an aggregate of 9,974 shares of common stock immediately upon the completion of this offering.</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The financial statements of Revolution Medicines, Inc. as of December 31, 2017 and December 31, 2018 and for each of the two years in the period ended December 31, 2018 included in this prospectus have been so included in reliance on the report of PricewaterhouseCoopers LLP, an independent registered public accounting firm, given on the authority of said firm as experts in auditing and accounting.</w:t>
      </w:r>
    </w:p>
    <w:p>
      <w:pPr>
        <w:spacing w:after="0" w:line="70"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The financial statements of Warp Drive Bio, Inc. as of December 31, 2017 and for the year then ended included in this prospectus have been so included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01"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financial statements of Warp Drive Bio, Inc. at December 31, 2016 and for the year then ended appearing in this prospectus and registration statement have been audited by Ernst &amp; Young LLP, independent auditors, as set forth in their report thereon (which contains an explanatory paragraph describing conditions that raise substantial doubt about Warp Drive Bio, Inc.’s ability to continue as a going concern, as described in Note 1 to the financial statements), appearing elsewhere herein, and are included in reliance upon such report given on the authority of such firm as experts in accounting and auditing.</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8"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with respect to Revolution Medicines, Inc. and the common stock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 website that contains reports, proxy and information statements and other information regarding registrants that file electronically with the SEC. The address is www.sec.gov.</w:t>
      </w:r>
    </w:p>
    <w:p>
      <w:pPr>
        <w:spacing w:after="0" w:line="79"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color w:val="auto"/>
        </w:rPr>
        <w:t>Upon consummation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www.revmed.com. Upon consummation of this offering, you may access our annual reports on</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60"/>
          </w:cols>
          <w:pgMar w:left="240" w:top="460" w:right="4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00"/>
          </w:cols>
          <w:pgMar w:left="240" w:top="460"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Index to consolidated financial statements</w:t>
      </w:r>
    </w:p>
    <w:p>
      <w:pPr>
        <w:spacing w:after="0" w:line="11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10440" w:type="dxa"/>
            <w:vAlign w:val="bottom"/>
            <w:gridSpan w:val="23"/>
          </w:tcPr>
          <w:p>
            <w:pPr>
              <w:spacing w:after="0"/>
              <w:rPr>
                <w:sz w:val="20"/>
                <w:szCs w:val="20"/>
                <w:color w:val="auto"/>
              </w:rPr>
            </w:pPr>
            <w:r>
              <w:rPr>
                <w:rFonts w:ascii="Arial" w:cs="Arial" w:eastAsia="Arial" w:hAnsi="Arial"/>
                <w:sz w:val="18"/>
                <w:szCs w:val="18"/>
                <w:b w:val="1"/>
                <w:bCs w:val="1"/>
                <w:color w:val="auto"/>
              </w:rPr>
              <w:t>Revolution Medicines, Inc. and subsidiary (audited financial statements for the years ended December 31, 2017 and 2018)</w:t>
            </w:r>
          </w:p>
        </w:tc>
        <w:tc>
          <w:tcPr>
            <w:tcW w:w="540" w:type="dxa"/>
            <w:vAlign w:val="bottom"/>
          </w:tcPr>
          <w:p>
            <w:pPr>
              <w:spacing w:after="0"/>
              <w:rPr>
                <w:sz w:val="23"/>
                <w:szCs w:val="23"/>
                <w:color w:val="auto"/>
              </w:rPr>
            </w:pPr>
          </w:p>
        </w:tc>
      </w:tr>
      <w:tr>
        <w:trPr>
          <w:trHeight w:val="232"/>
        </w:trPr>
        <w:tc>
          <w:tcPr>
            <w:tcW w:w="220" w:type="dxa"/>
            <w:vAlign w:val="bottom"/>
          </w:tcPr>
          <w:p>
            <w:pPr>
              <w:spacing w:after="0"/>
              <w:rPr>
                <w:sz w:val="20"/>
                <w:szCs w:val="20"/>
                <w:color w:val="auto"/>
              </w:rPr>
            </w:pPr>
          </w:p>
        </w:tc>
        <w:tc>
          <w:tcPr>
            <w:tcW w:w="10220" w:type="dxa"/>
            <w:vAlign w:val="bottom"/>
            <w:gridSpan w:val="22"/>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Report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50"/>
        </w:trPr>
        <w:tc>
          <w:tcPr>
            <w:tcW w:w="220" w:type="dxa"/>
            <w:vAlign w:val="bottom"/>
          </w:tcPr>
          <w:p>
            <w:pPr>
              <w:spacing w:after="0"/>
              <w:rPr>
                <w:sz w:val="21"/>
                <w:szCs w:val="21"/>
                <w:color w:val="auto"/>
              </w:rPr>
            </w:pPr>
          </w:p>
        </w:tc>
        <w:tc>
          <w:tcPr>
            <w:tcW w:w="2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232">
              <w:r>
                <w:rPr>
                  <w:rFonts w:ascii="Arial" w:cs="Arial" w:eastAsia="Arial" w:hAnsi="Arial"/>
                  <w:sz w:val="18"/>
                  <w:szCs w:val="18"/>
                  <w:color w:val="0000EE"/>
                  <w:w w:val="96"/>
                </w:rPr>
                <w:t>Consolidated balance sheets</w:t>
              </w:r>
            </w:hyperlink>
          </w:p>
        </w:tc>
        <w:tc>
          <w:tcPr>
            <w:tcW w:w="2220" w:type="dxa"/>
            <w:vAlign w:val="bottom"/>
            <w:tcBorders>
              <w:top w:val="single" w:sz="8" w:color="0000EE"/>
            </w:tcBorders>
            <w:gridSpan w:val="10"/>
          </w:tcPr>
          <w:p>
            <w:pPr>
              <w:spacing w:after="0"/>
              <w:rPr>
                <w:sz w:val="21"/>
                <w:szCs w:val="21"/>
                <w:color w:val="auto"/>
              </w:rPr>
            </w:pPr>
          </w:p>
        </w:tc>
        <w:tc>
          <w:tcPr>
            <w:tcW w:w="5740" w:type="dxa"/>
            <w:vAlign w:val="bottom"/>
            <w:gridSpan w:val="9"/>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50"/>
        </w:trPr>
        <w:tc>
          <w:tcPr>
            <w:tcW w:w="220" w:type="dxa"/>
            <w:vAlign w:val="bottom"/>
          </w:tcPr>
          <w:p>
            <w:pPr>
              <w:spacing w:after="0"/>
              <w:rPr>
                <w:sz w:val="21"/>
                <w:szCs w:val="21"/>
                <w:color w:val="auto"/>
              </w:rPr>
            </w:pPr>
          </w:p>
        </w:tc>
        <w:tc>
          <w:tcPr>
            <w:tcW w:w="494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233">
              <w:r>
                <w:rPr>
                  <w:rFonts w:ascii="Arial" w:cs="Arial" w:eastAsia="Arial" w:hAnsi="Arial"/>
                  <w:sz w:val="18"/>
                  <w:szCs w:val="18"/>
                  <w:color w:val="0000EE"/>
                  <w:w w:val="97"/>
                </w:rPr>
                <w:t>Consolidated statements of operations and comprehensive loss</w:t>
              </w:r>
            </w:hyperlink>
          </w:p>
        </w:tc>
        <w:tc>
          <w:tcPr>
            <w:tcW w:w="5280" w:type="dxa"/>
            <w:vAlign w:val="bottom"/>
            <w:gridSpan w:val="7"/>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Consolidated statements of redeemable convertible preferred stock and stockholders’ deficit</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50"/>
        </w:trPr>
        <w:tc>
          <w:tcPr>
            <w:tcW w:w="220" w:type="dxa"/>
            <w:vAlign w:val="bottom"/>
          </w:tcPr>
          <w:p>
            <w:pPr>
              <w:spacing w:after="0"/>
              <w:rPr>
                <w:sz w:val="21"/>
                <w:szCs w:val="21"/>
                <w:color w:val="auto"/>
              </w:rPr>
            </w:pPr>
          </w:p>
        </w:tc>
        <w:tc>
          <w:tcPr>
            <w:tcW w:w="30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235">
              <w:r>
                <w:rPr>
                  <w:rFonts w:ascii="Arial" w:cs="Arial" w:eastAsia="Arial" w:hAnsi="Arial"/>
                  <w:sz w:val="18"/>
                  <w:szCs w:val="18"/>
                  <w:color w:val="0000EE"/>
                  <w:w w:val="97"/>
                </w:rPr>
                <w:t>Consolidated statements of cash flows</w:t>
              </w:r>
            </w:hyperlink>
          </w:p>
        </w:tc>
        <w:tc>
          <w:tcPr>
            <w:tcW w:w="4140" w:type="dxa"/>
            <w:vAlign w:val="bottom"/>
            <w:tcBorders>
              <w:top w:val="single" w:sz="8" w:color="0000EE"/>
            </w:tcBorders>
            <w:gridSpan w:val="14"/>
          </w:tcPr>
          <w:p>
            <w:pPr>
              <w:spacing w:after="0"/>
              <w:rPr>
                <w:sz w:val="21"/>
                <w:szCs w:val="21"/>
                <w:color w:val="auto"/>
              </w:rPr>
            </w:pPr>
          </w:p>
        </w:tc>
        <w:tc>
          <w:tcPr>
            <w:tcW w:w="3080" w:type="dxa"/>
            <w:vAlign w:val="bottom"/>
            <w:gridSpan w:val="2"/>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Notes to consolidated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9"/>
        </w:trPr>
        <w:tc>
          <w:tcPr>
            <w:tcW w:w="10440" w:type="dxa"/>
            <w:vAlign w:val="bottom"/>
            <w:gridSpan w:val="23"/>
          </w:tcPr>
          <w:p>
            <w:pPr>
              <w:spacing w:after="0"/>
              <w:rPr>
                <w:sz w:val="20"/>
                <w:szCs w:val="20"/>
                <w:color w:val="auto"/>
              </w:rPr>
            </w:pPr>
            <w:r>
              <w:rPr>
                <w:rFonts w:ascii="Arial" w:cs="Arial" w:eastAsia="Arial" w:hAnsi="Arial"/>
                <w:sz w:val="18"/>
                <w:szCs w:val="18"/>
                <w:b w:val="1"/>
                <w:bCs w:val="1"/>
                <w:color w:val="auto"/>
              </w:rPr>
              <w:t>Revolution Medicines, Inc. and subsidiary (unaudited condensed interim financial statements for the nine months ended</w:t>
            </w:r>
          </w:p>
        </w:tc>
        <w:tc>
          <w:tcPr>
            <w:tcW w:w="540" w:type="dxa"/>
            <w:vAlign w:val="bottom"/>
          </w:tcPr>
          <w:p>
            <w:pPr>
              <w:spacing w:after="0"/>
              <w:rPr>
                <w:sz w:val="24"/>
                <w:szCs w:val="24"/>
                <w:color w:val="auto"/>
              </w:rPr>
            </w:pPr>
          </w:p>
        </w:tc>
      </w:tr>
      <w:tr>
        <w:trPr>
          <w:trHeight w:val="233"/>
        </w:trPr>
        <w:tc>
          <w:tcPr>
            <w:tcW w:w="220" w:type="dxa"/>
            <w:vAlign w:val="bottom"/>
          </w:tcPr>
          <w:p>
            <w:pPr>
              <w:spacing w:after="0"/>
              <w:rPr>
                <w:sz w:val="20"/>
                <w:szCs w:val="20"/>
                <w:color w:val="auto"/>
              </w:rPr>
            </w:pPr>
          </w:p>
        </w:tc>
        <w:tc>
          <w:tcPr>
            <w:tcW w:w="10220" w:type="dxa"/>
            <w:vAlign w:val="bottom"/>
            <w:gridSpan w:val="22"/>
          </w:tcPr>
          <w:p>
            <w:pPr>
              <w:spacing w:after="0"/>
              <w:rPr>
                <w:sz w:val="20"/>
                <w:szCs w:val="20"/>
                <w:color w:val="auto"/>
              </w:rPr>
            </w:pPr>
            <w:r>
              <w:rPr>
                <w:rFonts w:ascii="Arial" w:cs="Arial" w:eastAsia="Arial" w:hAnsi="Arial"/>
                <w:sz w:val="18"/>
                <w:szCs w:val="18"/>
                <w:b w:val="1"/>
                <w:bCs w:val="1"/>
                <w:color w:val="auto"/>
              </w:rPr>
              <w:t>September 30, 2019 and 2018)</w:t>
            </w:r>
          </w:p>
        </w:tc>
        <w:tc>
          <w:tcPr>
            <w:tcW w:w="540" w:type="dxa"/>
            <w:vAlign w:val="bottom"/>
          </w:tcPr>
          <w:p>
            <w:pPr>
              <w:spacing w:after="0"/>
              <w:rPr>
                <w:sz w:val="20"/>
                <w:szCs w:val="20"/>
                <w:color w:val="auto"/>
              </w:rPr>
            </w:pPr>
          </w:p>
        </w:tc>
      </w:tr>
      <w:tr>
        <w:trPr>
          <w:trHeight w:val="232"/>
        </w:trPr>
        <w:tc>
          <w:tcPr>
            <w:tcW w:w="220" w:type="dxa"/>
            <w:vAlign w:val="bottom"/>
          </w:tcPr>
          <w:p>
            <w:pPr>
              <w:spacing w:after="0"/>
              <w:rPr>
                <w:sz w:val="20"/>
                <w:szCs w:val="20"/>
                <w:color w:val="auto"/>
              </w:rPr>
            </w:pPr>
          </w:p>
        </w:tc>
        <w:tc>
          <w:tcPr>
            <w:tcW w:w="410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264">
              <w:r>
                <w:rPr>
                  <w:rFonts w:ascii="Arial" w:cs="Arial" w:eastAsia="Arial" w:hAnsi="Arial"/>
                  <w:sz w:val="18"/>
                  <w:szCs w:val="18"/>
                  <w:color w:val="0000EE"/>
                  <w:w w:val="97"/>
                </w:rPr>
                <w:t>Condensed consolidated balance sheets (unaudited)</w:t>
              </w:r>
            </w:hyperlink>
          </w:p>
        </w:tc>
        <w:tc>
          <w:tcPr>
            <w:tcW w:w="6120" w:type="dxa"/>
            <w:vAlign w:val="bottom"/>
            <w:gridSpan w:val="11"/>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F-35</w:t>
            </w: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265">
              <w:r>
                <w:rPr>
                  <w:rFonts w:ascii="Arial" w:cs="Arial" w:eastAsia="Arial" w:hAnsi="Arial"/>
                  <w:sz w:val="18"/>
                  <w:szCs w:val="18"/>
                  <w:color w:val="0000EE"/>
                </w:rPr>
                <w:t>Condensed consolidated statements of operations and comprehensive loss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266">
              <w:r>
                <w:rPr>
                  <w:rFonts w:ascii="Arial" w:cs="Arial" w:eastAsia="Arial" w:hAnsi="Arial"/>
                  <w:sz w:val="18"/>
                  <w:szCs w:val="18"/>
                  <w:color w:val="0000EE"/>
                </w:rPr>
                <w:t>Condensed consolidated statements of redeemable preferred stock and shareholder’s deficit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F-37</w:t>
            </w:r>
          </w:p>
        </w:tc>
      </w:tr>
      <w:tr>
        <w:trPr>
          <w:trHeight w:val="250"/>
        </w:trPr>
        <w:tc>
          <w:tcPr>
            <w:tcW w:w="220" w:type="dxa"/>
            <w:vAlign w:val="bottom"/>
          </w:tcPr>
          <w:p>
            <w:pPr>
              <w:spacing w:after="0"/>
              <w:rPr>
                <w:sz w:val="21"/>
                <w:szCs w:val="21"/>
                <w:color w:val="auto"/>
              </w:rPr>
            </w:pPr>
          </w:p>
        </w:tc>
        <w:tc>
          <w:tcPr>
            <w:tcW w:w="8120" w:type="dxa"/>
            <w:vAlign w:val="bottom"/>
            <w:tcBorders>
              <w:top w:val="single" w:sz="8" w:color="0000EE"/>
            </w:tcBorders>
            <w:gridSpan w:val="21"/>
          </w:tcPr>
          <w:p>
            <w:pPr>
              <w:spacing w:after="0"/>
              <w:rPr>
                <w:rFonts w:ascii="Arial" w:cs="Arial" w:eastAsia="Arial" w:hAnsi="Arial"/>
                <w:sz w:val="18"/>
                <w:szCs w:val="18"/>
                <w:color w:val="0000EE"/>
              </w:rPr>
            </w:pPr>
            <w:hyperlink w:anchor="page268">
              <w:r>
                <w:rPr>
                  <w:rFonts w:ascii="Arial" w:cs="Arial" w:eastAsia="Arial" w:hAnsi="Arial"/>
                  <w:sz w:val="18"/>
                  <w:szCs w:val="18"/>
                  <w:color w:val="0000EE"/>
                </w:rPr>
                <w:t>Condensed consolidated statements of cash flows (unaudited)</w:t>
              </w:r>
            </w:hyperlink>
          </w:p>
        </w:tc>
        <w:tc>
          <w:tcPr>
            <w:tcW w:w="2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F-38</w:t>
            </w: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02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269">
              <w:r>
                <w:rPr>
                  <w:rFonts w:ascii="Arial" w:cs="Arial" w:eastAsia="Arial" w:hAnsi="Arial"/>
                  <w:sz w:val="18"/>
                  <w:szCs w:val="18"/>
                  <w:color w:val="0000EE"/>
                  <w:w w:val="97"/>
                </w:rPr>
                <w:t>Notes to unaudited condensed consolidated financial statements</w:t>
              </w:r>
            </w:hyperlink>
          </w:p>
        </w:tc>
        <w:tc>
          <w:tcPr>
            <w:tcW w:w="5200" w:type="dxa"/>
            <w:vAlign w:val="bottom"/>
            <w:gridSpan w:val="6"/>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F-39</w:t>
            </w:r>
          </w:p>
        </w:tc>
      </w:tr>
      <w:tr>
        <w:trPr>
          <w:trHeight w:val="329"/>
        </w:trPr>
        <w:tc>
          <w:tcPr>
            <w:tcW w:w="10440" w:type="dxa"/>
            <w:vAlign w:val="bottom"/>
            <w:gridSpan w:val="23"/>
          </w:tcPr>
          <w:p>
            <w:pPr>
              <w:spacing w:after="0"/>
              <w:rPr>
                <w:sz w:val="20"/>
                <w:szCs w:val="20"/>
                <w:color w:val="auto"/>
              </w:rPr>
            </w:pPr>
            <w:r>
              <w:rPr>
                <w:rFonts w:ascii="Arial" w:cs="Arial" w:eastAsia="Arial" w:hAnsi="Arial"/>
                <w:sz w:val="18"/>
                <w:szCs w:val="18"/>
                <w:b w:val="1"/>
                <w:bCs w:val="1"/>
                <w:color w:val="auto"/>
              </w:rPr>
              <w:t>Warp Drive Bio, Inc. (audited financial statements for the years ended December 31, 2017 and 2016)</w:t>
            </w:r>
          </w:p>
        </w:tc>
        <w:tc>
          <w:tcPr>
            <w:tcW w:w="540" w:type="dxa"/>
            <w:vAlign w:val="bottom"/>
          </w:tcPr>
          <w:p>
            <w:pPr>
              <w:spacing w:after="0"/>
              <w:rPr>
                <w:sz w:val="24"/>
                <w:szCs w:val="24"/>
                <w:color w:val="auto"/>
              </w:rPr>
            </w:pPr>
          </w:p>
        </w:tc>
      </w:tr>
      <w:tr>
        <w:trPr>
          <w:trHeight w:val="232"/>
        </w:trPr>
        <w:tc>
          <w:tcPr>
            <w:tcW w:w="220" w:type="dxa"/>
            <w:vAlign w:val="bottom"/>
          </w:tcPr>
          <w:p>
            <w:pPr>
              <w:spacing w:after="0"/>
              <w:rPr>
                <w:sz w:val="20"/>
                <w:szCs w:val="20"/>
                <w:color w:val="auto"/>
              </w:rPr>
            </w:pPr>
          </w:p>
        </w:tc>
        <w:tc>
          <w:tcPr>
            <w:tcW w:w="244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297">
              <w:r>
                <w:rPr>
                  <w:rFonts w:ascii="Arial" w:cs="Arial" w:eastAsia="Arial" w:hAnsi="Arial"/>
                  <w:sz w:val="18"/>
                  <w:szCs w:val="18"/>
                  <w:color w:val="0000EE"/>
                  <w:w w:val="96"/>
                </w:rPr>
                <w:t>Report of Independent Auditors</w:t>
              </w:r>
            </w:hyperlink>
          </w:p>
        </w:tc>
        <w:tc>
          <w:tcPr>
            <w:tcW w:w="7780" w:type="dxa"/>
            <w:vAlign w:val="bottom"/>
            <w:gridSpan w:val="18"/>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F-67</w:t>
            </w:r>
          </w:p>
        </w:tc>
      </w:tr>
      <w:tr>
        <w:trPr>
          <w:trHeight w:val="250"/>
        </w:trPr>
        <w:tc>
          <w:tcPr>
            <w:tcW w:w="220" w:type="dxa"/>
            <w:vAlign w:val="bottom"/>
          </w:tcPr>
          <w:p>
            <w:pPr>
              <w:spacing w:after="0"/>
              <w:rPr>
                <w:sz w:val="21"/>
                <w:szCs w:val="21"/>
                <w:color w:val="auto"/>
              </w:rPr>
            </w:pPr>
          </w:p>
        </w:tc>
        <w:tc>
          <w:tcPr>
            <w:tcW w:w="244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298">
              <w:r>
                <w:rPr>
                  <w:rFonts w:ascii="Arial" w:cs="Arial" w:eastAsia="Arial" w:hAnsi="Arial"/>
                  <w:sz w:val="18"/>
                  <w:szCs w:val="18"/>
                  <w:color w:val="0000EE"/>
                  <w:w w:val="96"/>
                </w:rPr>
                <w:t>Report of Independent Auditors</w:t>
              </w:r>
            </w:hyperlink>
          </w:p>
        </w:tc>
        <w:tc>
          <w:tcPr>
            <w:tcW w:w="7780" w:type="dxa"/>
            <w:vAlign w:val="bottom"/>
            <w:gridSpan w:val="18"/>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F-68</w:t>
            </w: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299">
              <w:r>
                <w:rPr>
                  <w:rFonts w:ascii="Arial" w:cs="Arial" w:eastAsia="Arial" w:hAnsi="Arial"/>
                  <w:sz w:val="18"/>
                  <w:szCs w:val="18"/>
                  <w:color w:val="0000EE"/>
                </w:rPr>
                <w:t>Balance sheets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F-69</w:t>
            </w: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90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300">
              <w:r>
                <w:rPr>
                  <w:rFonts w:ascii="Arial" w:cs="Arial" w:eastAsia="Arial" w:hAnsi="Arial"/>
                  <w:sz w:val="18"/>
                  <w:szCs w:val="18"/>
                  <w:color w:val="0000EE"/>
                  <w:w w:val="97"/>
                </w:rPr>
                <w:t>Statements of operations and comprehensive loss</w:t>
              </w:r>
            </w:hyperlink>
          </w:p>
        </w:tc>
        <w:tc>
          <w:tcPr>
            <w:tcW w:w="6320" w:type="dxa"/>
            <w:vAlign w:val="bottom"/>
            <w:gridSpan w:val="12"/>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F-70</w:t>
            </w: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301">
              <w:r>
                <w:rPr>
                  <w:rFonts w:ascii="Arial" w:cs="Arial" w:eastAsia="Arial" w:hAnsi="Arial"/>
                  <w:sz w:val="18"/>
                  <w:szCs w:val="18"/>
                  <w:color w:val="0000EE"/>
                </w:rPr>
                <w:t>Statements of convertible preferred stock and stockholders’ deficit</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F-71</w:t>
            </w:r>
          </w:p>
        </w:tc>
      </w:tr>
      <w:tr>
        <w:trPr>
          <w:trHeight w:val="250"/>
        </w:trPr>
        <w:tc>
          <w:tcPr>
            <w:tcW w:w="220" w:type="dxa"/>
            <w:vAlign w:val="bottom"/>
          </w:tcPr>
          <w:p>
            <w:pPr>
              <w:spacing w:after="0"/>
              <w:rPr>
                <w:sz w:val="21"/>
                <w:szCs w:val="21"/>
                <w:color w:val="auto"/>
              </w:rPr>
            </w:pPr>
          </w:p>
        </w:tc>
        <w:tc>
          <w:tcPr>
            <w:tcW w:w="19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302">
              <w:r>
                <w:rPr>
                  <w:rFonts w:ascii="Arial" w:cs="Arial" w:eastAsia="Arial" w:hAnsi="Arial"/>
                  <w:sz w:val="18"/>
                  <w:szCs w:val="18"/>
                  <w:color w:val="0000EE"/>
                  <w:w w:val="96"/>
                </w:rPr>
                <w:t>Statements of cash flows</w:t>
              </w:r>
            </w:hyperlink>
          </w:p>
        </w:tc>
        <w:tc>
          <w:tcPr>
            <w:tcW w:w="3160" w:type="dxa"/>
            <w:vAlign w:val="bottom"/>
            <w:tcBorders>
              <w:top w:val="single" w:sz="8" w:color="0000EE"/>
            </w:tcBorders>
            <w:gridSpan w:val="15"/>
          </w:tcPr>
          <w:p>
            <w:pPr>
              <w:spacing w:after="0"/>
              <w:rPr>
                <w:sz w:val="21"/>
                <w:szCs w:val="21"/>
                <w:color w:val="auto"/>
              </w:rPr>
            </w:pPr>
          </w:p>
        </w:tc>
        <w:tc>
          <w:tcPr>
            <w:tcW w:w="5100" w:type="dxa"/>
            <w:vAlign w:val="bottom"/>
            <w:gridSpan w:val="5"/>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F-72</w:t>
            </w: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303">
              <w:r>
                <w:rPr>
                  <w:rFonts w:ascii="Arial" w:cs="Arial" w:eastAsia="Arial" w:hAnsi="Arial"/>
                  <w:sz w:val="18"/>
                  <w:szCs w:val="18"/>
                  <w:color w:val="0000EE"/>
                </w:rPr>
                <w:t>Notes to the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F-73</w:t>
            </w:r>
          </w:p>
        </w:tc>
      </w:tr>
      <w:tr>
        <w:trPr>
          <w:trHeight w:val="20"/>
        </w:trPr>
        <w:tc>
          <w:tcPr>
            <w:tcW w:w="220" w:type="dxa"/>
            <w:vAlign w:val="bottom"/>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9"/>
        </w:trPr>
        <w:tc>
          <w:tcPr>
            <w:tcW w:w="10440" w:type="dxa"/>
            <w:vAlign w:val="bottom"/>
            <w:gridSpan w:val="23"/>
          </w:tcPr>
          <w:p>
            <w:pPr>
              <w:spacing w:after="0"/>
              <w:rPr>
                <w:sz w:val="20"/>
                <w:szCs w:val="20"/>
                <w:color w:val="auto"/>
              </w:rPr>
            </w:pPr>
            <w:r>
              <w:rPr>
                <w:rFonts w:ascii="Arial" w:cs="Arial" w:eastAsia="Arial" w:hAnsi="Arial"/>
                <w:sz w:val="18"/>
                <w:szCs w:val="18"/>
                <w:b w:val="1"/>
                <w:bCs w:val="1"/>
                <w:color w:val="auto"/>
                <w:w w:val="99"/>
              </w:rPr>
              <w:t>Warp Drive Bio, Inc. (unaudited condensed interim financial statements for the nine months ended September 30, 2018 and</w:t>
            </w:r>
          </w:p>
        </w:tc>
        <w:tc>
          <w:tcPr>
            <w:tcW w:w="540" w:type="dxa"/>
            <w:vAlign w:val="bottom"/>
          </w:tcPr>
          <w:p>
            <w:pPr>
              <w:spacing w:after="0"/>
              <w:rPr>
                <w:sz w:val="24"/>
                <w:szCs w:val="24"/>
                <w:color w:val="auto"/>
              </w:rPr>
            </w:pPr>
          </w:p>
        </w:tc>
      </w:tr>
      <w:tr>
        <w:trPr>
          <w:trHeight w:val="233"/>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2"/>
        </w:trPr>
        <w:tc>
          <w:tcPr>
            <w:tcW w:w="220" w:type="dxa"/>
            <w:vAlign w:val="bottom"/>
          </w:tcPr>
          <w:p>
            <w:pPr>
              <w:spacing w:after="0"/>
              <w:rPr>
                <w:sz w:val="20"/>
                <w:szCs w:val="20"/>
                <w:color w:val="auto"/>
              </w:rPr>
            </w:pPr>
          </w:p>
        </w:tc>
        <w:tc>
          <w:tcPr>
            <w:tcW w:w="10220" w:type="dxa"/>
            <w:vAlign w:val="bottom"/>
            <w:gridSpan w:val="22"/>
          </w:tcPr>
          <w:p>
            <w:pPr>
              <w:spacing w:after="0"/>
              <w:rPr>
                <w:rFonts w:ascii="Arial" w:cs="Arial" w:eastAsia="Arial" w:hAnsi="Arial"/>
                <w:sz w:val="18"/>
                <w:szCs w:val="18"/>
                <w:color w:val="0000EE"/>
              </w:rPr>
            </w:pPr>
            <w:hyperlink w:anchor="page325">
              <w:r>
                <w:rPr>
                  <w:rFonts w:ascii="Arial" w:cs="Arial" w:eastAsia="Arial" w:hAnsi="Arial"/>
                  <w:sz w:val="18"/>
                  <w:szCs w:val="18"/>
                  <w:color w:val="0000EE"/>
                </w:rPr>
                <w:t>Condensed balance sheets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F-95</w:t>
            </w:r>
          </w:p>
        </w:tc>
      </w:tr>
      <w:tr>
        <w:trPr>
          <w:trHeight w:val="20"/>
        </w:trPr>
        <w:tc>
          <w:tcPr>
            <w:tcW w:w="220" w:type="dxa"/>
            <w:vAlign w:val="bottom"/>
          </w:tcPr>
          <w:p>
            <w:pPr>
              <w:spacing w:after="0" w:line="20" w:lineRule="exact"/>
              <w:rPr>
                <w:sz w:val="1"/>
                <w:szCs w:val="1"/>
                <w:color w:val="auto"/>
              </w:rPr>
            </w:pPr>
          </w:p>
        </w:tc>
        <w:tc>
          <w:tcPr>
            <w:tcW w:w="3060" w:type="dxa"/>
            <w:vAlign w:val="bottom"/>
            <w:gridSpan w:val="7"/>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326">
              <w:r>
                <w:rPr>
                  <w:rFonts w:ascii="Arial" w:cs="Arial" w:eastAsia="Arial" w:hAnsi="Arial"/>
                  <w:sz w:val="18"/>
                  <w:szCs w:val="18"/>
                  <w:color w:val="0000EE"/>
                </w:rPr>
                <w:t>Condensed statements of operations and comprehensive loss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F-96</w:t>
            </w:r>
          </w:p>
        </w:tc>
      </w:tr>
      <w:tr>
        <w:trPr>
          <w:trHeight w:val="250"/>
        </w:trPr>
        <w:tc>
          <w:tcPr>
            <w:tcW w:w="220" w:type="dxa"/>
            <w:vAlign w:val="bottom"/>
          </w:tcPr>
          <w:p>
            <w:pPr>
              <w:spacing w:after="0"/>
              <w:rPr>
                <w:sz w:val="21"/>
                <w:szCs w:val="21"/>
                <w:color w:val="auto"/>
              </w:rPr>
            </w:pPr>
          </w:p>
        </w:tc>
        <w:tc>
          <w:tcPr>
            <w:tcW w:w="5740" w:type="dxa"/>
            <w:vAlign w:val="bottom"/>
            <w:tcBorders>
              <w:top w:val="single" w:sz="8" w:color="0000EE"/>
            </w:tcBorders>
            <w:gridSpan w:val="18"/>
          </w:tcPr>
          <w:p>
            <w:pPr>
              <w:spacing w:after="0"/>
              <w:rPr>
                <w:rFonts w:ascii="Arial" w:cs="Arial" w:eastAsia="Arial" w:hAnsi="Arial"/>
                <w:sz w:val="18"/>
                <w:szCs w:val="18"/>
                <w:color w:val="0000EE"/>
              </w:rPr>
            </w:pPr>
            <w:hyperlink w:anchor="page327">
              <w:r>
                <w:rPr>
                  <w:rFonts w:ascii="Arial" w:cs="Arial" w:eastAsia="Arial" w:hAnsi="Arial"/>
                  <w:sz w:val="18"/>
                  <w:szCs w:val="18"/>
                  <w:color w:val="0000EE"/>
                </w:rPr>
                <w:t>Condensed statements of cash flows (unaudited)</w:t>
              </w:r>
            </w:hyperlink>
          </w:p>
        </w:tc>
        <w:tc>
          <w:tcPr>
            <w:tcW w:w="4480" w:type="dxa"/>
            <w:vAlign w:val="bottom"/>
            <w:gridSpan w:val="4"/>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F-97</w:t>
            </w:r>
          </w:p>
        </w:tc>
      </w:tr>
      <w:tr>
        <w:trPr>
          <w:trHeight w:val="20"/>
        </w:trPr>
        <w:tc>
          <w:tcPr>
            <w:tcW w:w="220" w:type="dxa"/>
            <w:vAlign w:val="bottom"/>
          </w:tcPr>
          <w:p>
            <w:pPr>
              <w:spacing w:after="0" w:line="20" w:lineRule="exact"/>
              <w:rPr>
                <w:sz w:val="1"/>
                <w:szCs w:val="1"/>
                <w:color w:val="auto"/>
              </w:rPr>
            </w:pPr>
          </w:p>
        </w:tc>
        <w:tc>
          <w:tcPr>
            <w:tcW w:w="3800" w:type="dxa"/>
            <w:vAlign w:val="bottom"/>
            <w:gridSpan w:val="9"/>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94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328">
              <w:r>
                <w:rPr>
                  <w:rFonts w:ascii="Arial" w:cs="Arial" w:eastAsia="Arial" w:hAnsi="Arial"/>
                  <w:sz w:val="18"/>
                  <w:szCs w:val="18"/>
                  <w:color w:val="0000EE"/>
                </w:rPr>
                <w:t>Notes to the unaudited condensed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F-98</w:t>
            </w:r>
          </w:p>
        </w:tc>
      </w:tr>
      <w:tr>
        <w:trPr>
          <w:trHeight w:val="370"/>
        </w:trPr>
        <w:tc>
          <w:tcPr>
            <w:tcW w:w="22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5"/>
          </w:tcPr>
          <w:p>
            <w:pPr>
              <w:ind w:left="4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 Revolution Medicines, Inc.</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Opinion on the Financial Statements</w:t>
      </w:r>
    </w:p>
    <w:p>
      <w:pPr>
        <w:spacing w:after="0" w:line="13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have audited the accompanying consolidated balance sheets of Revolution Medicines, Inc. and its subsidiary (the “Company”) as of December 31, 2018 and 2017,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Basis for Opinion</w:t>
      </w:r>
    </w:p>
    <w:p>
      <w:pPr>
        <w:spacing w:after="0" w:line="134" w:lineRule="exact"/>
        <w:rPr>
          <w:sz w:val="20"/>
          <w:szCs w:val="20"/>
          <w:color w:val="auto"/>
        </w:rPr>
      </w:pPr>
    </w:p>
    <w:p>
      <w:pPr>
        <w:ind w:left="200" w:right="160"/>
        <w:spacing w:after="0" w:line="27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00"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ind w:left="200"/>
        <w:spacing w:after="0" w:line="234" w:lineRule="auto"/>
        <w:rPr>
          <w:sz w:val="20"/>
          <w:szCs w:val="20"/>
          <w:color w:val="auto"/>
        </w:rPr>
      </w:pPr>
      <w:r>
        <w:rPr>
          <w:rFonts w:ascii="Arial" w:cs="Arial" w:eastAsia="Arial" w:hAnsi="Arial"/>
          <w:sz w:val="18"/>
          <w:szCs w:val="18"/>
          <w:color w:val="auto"/>
        </w:rPr>
        <w:t>San Jose, California</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19, 2019, except for the effects of the reverse stock split described in Note 2, as to which the date is February 7, 2020.</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2017.</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Consolidated balance sheets</w:t>
      </w:r>
    </w:p>
    <w:p>
      <w:pPr>
        <w:ind w:left="2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4"/>
            <w:vMerge w:val="restart"/>
          </w:tcPr>
          <w:p>
            <w:pPr>
              <w:jc w:val="right"/>
              <w:ind w:right="64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Pro forma</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gridSpan w:val="4"/>
            <w:vMerge w:val="continue"/>
          </w:tcPr>
          <w:p>
            <w:pPr>
              <w:spacing w:after="0"/>
              <w:rPr>
                <w:sz w:val="7"/>
                <w:szCs w:val="7"/>
                <w:color w:val="auto"/>
              </w:rPr>
            </w:pPr>
          </w:p>
        </w:tc>
        <w:tc>
          <w:tcPr>
            <w:tcW w:w="1460" w:type="dxa"/>
            <w:vAlign w:val="bottom"/>
            <w:gridSpan w:val="3"/>
            <w:vMerge w:val="restart"/>
          </w:tcPr>
          <w:p>
            <w:pPr>
              <w:jc w:val="center"/>
              <w:spacing w:after="0" w:line="202"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7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9,079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69,586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Receivable from related party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7,303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362</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6,597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9,441</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85,431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5,253</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6,872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63,082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14,608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383</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15,077</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170,586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 equity</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3,353</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5,236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4,245</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 related party, current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7,598</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30,552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Deferred rent, noncurrent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2,806</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2,254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related party, noncurrent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28,413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12,192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142</w:t>
            </w: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7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10,546</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73,927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72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gridSpan w:val="2"/>
          </w:tcPr>
          <w:p>
            <w:pPr>
              <w:spacing w:after="0" w:line="206" w:lineRule="exact"/>
              <w:rPr>
                <w:sz w:val="20"/>
                <w:szCs w:val="20"/>
                <w:color w:val="auto"/>
              </w:rPr>
            </w:pPr>
            <w:r>
              <w:rPr>
                <w:rFonts w:ascii="Arial" w:cs="Arial" w:eastAsia="Arial" w:hAnsi="Arial"/>
                <w:sz w:val="18"/>
                <w:szCs w:val="18"/>
                <w:color w:val="auto"/>
              </w:rPr>
              <w:t>Redeemable convertible preferred stock, $0.0001 par value; 70,221,732 and 146,221,732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shares authorized at December 31, 2017 and 2018, respectively; 14,430,799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29,595,909 shares issued and outstanding at December 31, 2017 and 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respectively; aggregate liquidation preference of $194,133 at December 31, 2018; no</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shares issued and outstanding, pro forma (unaudited)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72,248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205,081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72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80" w:type="dxa"/>
            <w:vAlign w:val="bottom"/>
          </w:tcPr>
          <w:p>
            <w:pPr>
              <w:ind w:left="200"/>
              <w:spacing w:after="0" w:line="206" w:lineRule="exact"/>
              <w:rPr>
                <w:sz w:val="20"/>
                <w:szCs w:val="20"/>
                <w:color w:val="auto"/>
              </w:rPr>
            </w:pPr>
            <w:r>
              <w:rPr>
                <w:rFonts w:ascii="Arial" w:cs="Arial" w:eastAsia="Arial" w:hAnsi="Arial"/>
                <w:sz w:val="18"/>
                <w:szCs w:val="18"/>
                <w:color w:val="auto"/>
              </w:rPr>
              <w:t>Common stock, $0.0001 par value; 94,695,000 and 172,000,000 shares authorized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420"/>
              <w:spacing w:after="0" w:line="202" w:lineRule="exact"/>
              <w:rPr>
                <w:sz w:val="20"/>
                <w:szCs w:val="20"/>
                <w:color w:val="auto"/>
              </w:rPr>
            </w:pPr>
            <w:r>
              <w:rPr>
                <w:rFonts w:ascii="Arial" w:cs="Arial" w:eastAsia="Arial" w:hAnsi="Arial"/>
                <w:sz w:val="18"/>
                <w:szCs w:val="18"/>
                <w:color w:val="auto"/>
              </w:rPr>
              <w:t>December 31, 2017 and 2018, respectively; 2,673,828 and 3,208,924 shares issued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420"/>
              <w:spacing w:after="0" w:line="202" w:lineRule="exact"/>
              <w:rPr>
                <w:sz w:val="20"/>
                <w:szCs w:val="20"/>
                <w:color w:val="auto"/>
              </w:rPr>
            </w:pPr>
            <w:r>
              <w:rPr>
                <w:rFonts w:ascii="Arial" w:cs="Arial" w:eastAsia="Arial" w:hAnsi="Arial"/>
                <w:sz w:val="18"/>
                <w:szCs w:val="18"/>
                <w:color w:val="auto"/>
              </w:rPr>
              <w:t>and outstanding at December 31, 2017 and 2018, respectively; 32,804,833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420"/>
              <w:spacing w:after="0" w:line="200" w:lineRule="exact"/>
              <w:rPr>
                <w:sz w:val="20"/>
                <w:szCs w:val="20"/>
                <w:color w:val="auto"/>
              </w:rPr>
            </w:pPr>
            <w:r>
              <w:rPr>
                <w:rFonts w:ascii="Arial" w:cs="Arial" w:eastAsia="Arial" w:hAnsi="Arial"/>
                <w:sz w:val="18"/>
                <w:szCs w:val="18"/>
                <w:color w:val="auto"/>
              </w:rPr>
              <w:t>issued and outstanding, pro forma (unaudited)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216</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206,378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5"/>
              </w:rPr>
              <w:t>(67,933)</w:t>
            </w:r>
          </w:p>
        </w:tc>
        <w:tc>
          <w:tcPr>
            <w:tcW w:w="280" w:type="dxa"/>
            <w:vAlign w:val="bottom"/>
          </w:tcPr>
          <w:p>
            <w:pPr>
              <w:spacing w:after="0"/>
              <w:rPr>
                <w:sz w:val="18"/>
                <w:szCs w:val="18"/>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5"/>
              </w:rPr>
              <w:t>(109,722)</w:t>
            </w:r>
          </w:p>
        </w:tc>
        <w:tc>
          <w:tcPr>
            <w:tcW w:w="320" w:type="dxa"/>
            <w:vAlign w:val="bottom"/>
          </w:tcPr>
          <w:p>
            <w:pPr>
              <w:spacing w:after="0"/>
              <w:rPr>
                <w:sz w:val="18"/>
                <w:szCs w:val="18"/>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(109,722)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(67,717)</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5"/>
              </w:rPr>
              <w:t>(108,422)</w:t>
            </w:r>
          </w:p>
        </w:tc>
        <w:tc>
          <w:tcPr>
            <w:tcW w:w="3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96,659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15,077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170,586</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ind w:left="2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8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8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Collaboration revenue, related party</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19,420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Collaboration revenue, other</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20,165</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26,586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51,084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4,543</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9,410</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31,129</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60,494</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(31,129)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(40,329)</w:t>
            </w:r>
          </w:p>
        </w:tc>
      </w:tr>
      <w:tr>
        <w:trPr>
          <w:trHeight w:val="270"/>
        </w:trPr>
        <w:tc>
          <w:tcPr>
            <w:tcW w:w="81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expense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(103)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(2,121)</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(1,460)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(31,127)</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(41,789)</w:t>
            </w:r>
          </w:p>
        </w:tc>
      </w:tr>
      <w:tr>
        <w:trPr>
          <w:trHeight w:val="20"/>
        </w:trPr>
        <w:tc>
          <w:tcPr>
            <w:tcW w:w="8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 dividends—undeclared and cumulative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(3,763)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(7,031)</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(34,890)</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(48,820)</w:t>
            </w:r>
          </w:p>
        </w:tc>
      </w:tr>
      <w:tr>
        <w:trPr>
          <w:trHeight w:val="20"/>
        </w:trPr>
        <w:tc>
          <w:tcPr>
            <w:tcW w:w="8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12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(20.25)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(21.24)</w:t>
            </w:r>
          </w:p>
        </w:tc>
      </w:tr>
      <w:tr>
        <w:trPr>
          <w:trHeight w:val="206"/>
        </w:trPr>
        <w:tc>
          <w:tcPr>
            <w:tcW w:w="20" w:type="dxa"/>
            <w:vAlign w:val="bottom"/>
          </w:tcPr>
          <w:p>
            <w:pPr>
              <w:spacing w:after="0"/>
              <w:rPr>
                <w:sz w:val="17"/>
                <w:szCs w:val="17"/>
                <w:color w:val="auto"/>
              </w:rPr>
            </w:pPr>
          </w:p>
        </w:tc>
        <w:tc>
          <w:tcPr>
            <w:tcW w:w="8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shares used to compute net loss per share attributable to common stockholders—</w:t>
            </w: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52"/>
              <w:spacing w:after="0" w:line="200" w:lineRule="exact"/>
              <w:rPr>
                <w:sz w:val="20"/>
                <w:szCs w:val="20"/>
                <w:color w:val="auto"/>
              </w:rPr>
            </w:pPr>
            <w:r>
              <w:rPr>
                <w:rFonts w:ascii="Arial" w:cs="Arial" w:eastAsia="Arial" w:hAnsi="Arial"/>
                <w:sz w:val="18"/>
                <w:szCs w:val="18"/>
                <w:color w:val="auto"/>
                <w:w w:val="97"/>
              </w:rPr>
              <w:t>1,723,387</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2,298,820</w:t>
            </w:r>
          </w:p>
        </w:tc>
        <w:tc>
          <w:tcPr>
            <w:tcW w:w="120" w:type="dxa"/>
            <w:vAlign w:val="bottom"/>
            <w:shd w:val="clear" w:color="auto" w:fill="CCEEFF"/>
          </w:tcPr>
          <w:p>
            <w:pPr>
              <w:spacing w:after="0"/>
              <w:rPr>
                <w:sz w:val="17"/>
                <w:szCs w:val="17"/>
                <w:color w:val="auto"/>
              </w:rPr>
            </w:pPr>
          </w:p>
        </w:tc>
      </w:tr>
      <w:tr>
        <w:trPr>
          <w:trHeight w:val="217"/>
        </w:trPr>
        <w:tc>
          <w:tcPr>
            <w:tcW w:w="8120" w:type="dxa"/>
            <w:vAlign w:val="bottom"/>
            <w:gridSpan w:val="2"/>
          </w:tcPr>
          <w:p>
            <w:pPr>
              <w:spacing w:after="0"/>
              <w:rPr>
                <w:sz w:val="20"/>
                <w:szCs w:val="20"/>
                <w:color w:val="auto"/>
              </w:rPr>
            </w:pPr>
            <w:r>
              <w:rPr>
                <w:rFonts w:ascii="Arial" w:cs="Arial" w:eastAsia="Arial" w:hAnsi="Arial"/>
                <w:sz w:val="18"/>
                <w:szCs w:val="18"/>
                <w:color w:val="auto"/>
              </w:rPr>
              <w:t>Pro forma net loss per share—basic and diluted (unaudited)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r>
      <w:tr>
        <w:trPr>
          <w:trHeight w:val="206"/>
        </w:trPr>
        <w:tc>
          <w:tcPr>
            <w:tcW w:w="20" w:type="dxa"/>
            <w:vAlign w:val="bottom"/>
          </w:tcPr>
          <w:p>
            <w:pPr>
              <w:spacing w:after="0"/>
              <w:rPr>
                <w:sz w:val="17"/>
                <w:szCs w:val="17"/>
                <w:color w:val="auto"/>
              </w:rPr>
            </w:pPr>
          </w:p>
        </w:tc>
        <w:tc>
          <w:tcPr>
            <w:tcW w:w="8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shares used in computing pro forma net loss per share—basic and diluted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(unaudited)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23,163,260</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620"/>
        <w:spacing w:after="0" w:line="246" w:lineRule="auto"/>
        <w:rPr>
          <w:sz w:val="20"/>
          <w:szCs w:val="20"/>
          <w:color w:val="auto"/>
        </w:rPr>
      </w:pPr>
      <w:r>
        <w:rPr>
          <w:rFonts w:ascii="Arial" w:cs="Arial" w:eastAsia="Arial" w:hAnsi="Arial"/>
          <w:sz w:val="32"/>
          <w:szCs w:val="32"/>
          <w:b w:val="1"/>
          <w:bCs w:val="1"/>
          <w:color w:val="auto"/>
        </w:rPr>
        <w:t>Consolidated statements of redeemable convertible preferred stock and stockholders’ deficit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data)</w:t>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3680" w:type="dxa"/>
            <w:vAlign w:val="bottom"/>
            <w:tcBorders>
              <w:top w:val="single" w:sz="8" w:color="auto"/>
            </w:tcBorders>
          </w:tcPr>
          <w:p>
            <w:pPr>
              <w:spacing w:after="0"/>
              <w:rPr>
                <w:sz w:val="21"/>
                <w:szCs w:val="21"/>
                <w:color w:val="auto"/>
              </w:rPr>
            </w:pPr>
          </w:p>
        </w:tc>
        <w:tc>
          <w:tcPr>
            <w:tcW w:w="1900" w:type="dxa"/>
            <w:vAlign w:val="bottom"/>
            <w:tcBorders>
              <w:top w:val="single" w:sz="8" w:color="auto"/>
              <w:right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8"/>
              </w:rPr>
              <w:t>Redeemable</w:t>
            </w:r>
          </w:p>
        </w:tc>
        <w:tc>
          <w:tcPr>
            <w:tcW w:w="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90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7"/>
              </w:rPr>
              <w:t>convertible</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Additional</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80" w:type="dxa"/>
            <w:vAlign w:val="bottom"/>
            <w:tcBorders>
              <w:bottom w:val="single" w:sz="8" w:color="auto"/>
            </w:tcBorders>
            <w:gridSpan w:val="3"/>
          </w:tcPr>
          <w:p>
            <w:pPr>
              <w:jc w:val="center"/>
              <w:spacing w:after="0" w:line="182" w:lineRule="exact"/>
              <w:rPr>
                <w:sz w:val="20"/>
                <w:szCs w:val="20"/>
                <w:color w:val="auto"/>
              </w:rPr>
            </w:pPr>
            <w:r>
              <w:rPr>
                <w:rFonts w:ascii="Arial" w:cs="Arial" w:eastAsia="Arial" w:hAnsi="Arial"/>
                <w:sz w:val="18"/>
                <w:szCs w:val="18"/>
                <w:b w:val="1"/>
                <w:bCs w:val="1"/>
                <w:color w:val="auto"/>
                <w:w w:val="97"/>
              </w:rPr>
              <w:t>preferred stock</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bottom w:val="single" w:sz="8" w:color="auto"/>
            </w:tcBorders>
            <w:gridSpan w:val="2"/>
          </w:tcPr>
          <w:p>
            <w:pPr>
              <w:ind w:left="220"/>
              <w:spacing w:after="0" w:line="182" w:lineRule="exact"/>
              <w:rPr>
                <w:sz w:val="20"/>
                <w:szCs w:val="20"/>
                <w:color w:val="auto"/>
              </w:rPr>
            </w:pPr>
            <w:r>
              <w:rPr>
                <w:rFonts w:ascii="Arial" w:cs="Arial" w:eastAsia="Arial" w:hAnsi="Arial"/>
                <w:sz w:val="18"/>
                <w:szCs w:val="18"/>
                <w:b w:val="1"/>
                <w:bCs w:val="1"/>
                <w:color w:val="auto"/>
                <w:w w:val="96"/>
              </w:rPr>
              <w:t>Common stock</w:t>
            </w:r>
          </w:p>
        </w:tc>
        <w:tc>
          <w:tcPr>
            <w:tcW w:w="2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12"/>
              <w:spacing w:after="0" w:line="182" w:lineRule="exact"/>
              <w:rPr>
                <w:sz w:val="20"/>
                <w:szCs w:val="20"/>
                <w:color w:val="auto"/>
              </w:rPr>
            </w:pPr>
            <w:r>
              <w:rPr>
                <w:rFonts w:ascii="Arial" w:cs="Arial" w:eastAsia="Arial" w:hAnsi="Arial"/>
                <w:sz w:val="18"/>
                <w:szCs w:val="18"/>
                <w:b w:val="1"/>
                <w:bCs w:val="1"/>
                <w:color w:val="auto"/>
                <w:w w:val="98"/>
              </w:rPr>
              <w:t>paid-in</w:t>
            </w:r>
          </w:p>
        </w:tc>
        <w:tc>
          <w:tcPr>
            <w:tcW w:w="1300" w:type="dxa"/>
            <w:vAlign w:val="bottom"/>
            <w:gridSpan w:val="2"/>
          </w:tcPr>
          <w:p>
            <w:pPr>
              <w:ind w:left="80"/>
              <w:spacing w:after="0" w:line="182" w:lineRule="exact"/>
              <w:rPr>
                <w:sz w:val="20"/>
                <w:szCs w:val="20"/>
                <w:color w:val="auto"/>
              </w:rPr>
            </w:pPr>
            <w:r>
              <w:rPr>
                <w:rFonts w:ascii="Arial" w:cs="Arial" w:eastAsia="Arial" w:hAnsi="Arial"/>
                <w:sz w:val="18"/>
                <w:szCs w:val="18"/>
                <w:b w:val="1"/>
                <w:bCs w:val="1"/>
                <w:color w:val="auto"/>
              </w:rPr>
              <w:t>Accumulated</w:t>
            </w:r>
          </w:p>
        </w:tc>
        <w:tc>
          <w:tcPr>
            <w:tcW w:w="1340" w:type="dxa"/>
            <w:vAlign w:val="bottom"/>
            <w:gridSpan w:val="3"/>
          </w:tcPr>
          <w:p>
            <w:pPr>
              <w:ind w:left="80"/>
              <w:spacing w:after="0" w:line="182"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Shares</w:t>
            </w:r>
          </w:p>
        </w:tc>
        <w:tc>
          <w:tcPr>
            <w:tcW w:w="9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Shares</w:t>
            </w: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8"/>
              </w:rPr>
              <w:t>capital</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deficit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January 1, 2017</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9,767,052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49,579</w:t>
            </w:r>
          </w:p>
        </w:tc>
        <w:tc>
          <w:tcPr>
            <w:tcW w:w="12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2,428,027</w:t>
            </w:r>
          </w:p>
        </w:tc>
        <w:tc>
          <w:tcPr>
            <w:tcW w:w="5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(36,806)</w:t>
            </w:r>
          </w:p>
        </w:tc>
        <w:tc>
          <w:tcPr>
            <w:tcW w:w="28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(36,805)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200"/>
              <w:spacing w:after="0" w:line="206" w:lineRule="exact"/>
              <w:rPr>
                <w:sz w:val="20"/>
                <w:szCs w:val="20"/>
                <w:color w:val="auto"/>
              </w:rPr>
            </w:pPr>
            <w:r>
              <w:rPr>
                <w:rFonts w:ascii="Arial" w:cs="Arial" w:eastAsia="Arial" w:hAnsi="Arial"/>
                <w:sz w:val="18"/>
                <w:szCs w:val="18"/>
                <w:color w:val="auto"/>
              </w:rPr>
              <w:t>Issuance of Series A redeemable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convertible preferred stock for cash at</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w w:val="99"/>
              </w:rPr>
              <w:t>$4.87 per share, net of issuance costs 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0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$25</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4,663,747</w:t>
            </w:r>
          </w:p>
        </w:tc>
        <w:tc>
          <w:tcPr>
            <w:tcW w:w="16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22,669</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common stock pursuant to</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stock option exercises</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91,699</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200"/>
              <w:spacing w:after="0" w:line="206" w:lineRule="exact"/>
              <w:rPr>
                <w:sz w:val="20"/>
                <w:szCs w:val="20"/>
                <w:color w:val="auto"/>
              </w:rPr>
            </w:pPr>
            <w:r>
              <w:rPr>
                <w:rFonts w:ascii="Arial" w:cs="Arial" w:eastAsia="Arial" w:hAnsi="Arial"/>
                <w:sz w:val="18"/>
                <w:szCs w:val="18"/>
                <w:color w:val="auto"/>
              </w:rPr>
              <w:t>Issuance of common stock pursuant to</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tcPr>
          <w:p>
            <w:pPr>
              <w:ind w:left="420"/>
              <w:spacing w:after="0" w:line="200" w:lineRule="exact"/>
              <w:rPr>
                <w:sz w:val="20"/>
                <w:szCs w:val="20"/>
                <w:color w:val="auto"/>
              </w:rPr>
            </w:pPr>
            <w:r>
              <w:rPr>
                <w:rFonts w:ascii="Arial" w:cs="Arial" w:eastAsia="Arial" w:hAnsi="Arial"/>
                <w:sz w:val="18"/>
                <w:szCs w:val="18"/>
                <w:color w:val="auto"/>
              </w:rPr>
              <w:t>early exercised stock options</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485,947</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Vesting of early exercised stock options</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and restricted stock</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200"/>
              <w:spacing w:after="0" w:line="206" w:lineRule="exact"/>
              <w:rPr>
                <w:sz w:val="20"/>
                <w:szCs w:val="20"/>
                <w:color w:val="auto"/>
              </w:rPr>
            </w:pPr>
            <w:r>
              <w:rPr>
                <w:rFonts w:ascii="Arial" w:cs="Arial" w:eastAsia="Arial" w:hAnsi="Arial"/>
                <w:sz w:val="18"/>
                <w:szCs w:val="18"/>
                <w:color w:val="auto"/>
              </w:rPr>
              <w:t>Repurchases of early exercised stock</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tcPr>
          <w:p>
            <w:pPr>
              <w:ind w:left="420"/>
              <w:spacing w:after="0" w:line="200" w:lineRule="exact"/>
              <w:rPr>
                <w:sz w:val="20"/>
                <w:szCs w:val="20"/>
                <w:color w:val="auto"/>
              </w:rPr>
            </w:pPr>
            <w:r>
              <w:rPr>
                <w:rFonts w:ascii="Arial" w:cs="Arial" w:eastAsia="Arial" w:hAnsi="Arial"/>
                <w:sz w:val="18"/>
                <w:szCs w:val="18"/>
                <w:color w:val="auto"/>
              </w:rPr>
              <w:t>options and restricted stock</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(331,845)</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Net loss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(31,127)</w:t>
            </w:r>
          </w:p>
        </w:tc>
        <w:tc>
          <w:tcPr>
            <w:tcW w:w="28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2017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14,430,799</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72,248</w:t>
            </w:r>
          </w:p>
        </w:tc>
        <w:tc>
          <w:tcPr>
            <w:tcW w:w="12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2,673,828</w:t>
            </w:r>
          </w:p>
        </w:tc>
        <w:tc>
          <w:tcPr>
            <w:tcW w:w="5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(67,933)</w:t>
            </w:r>
          </w:p>
        </w:tc>
        <w:tc>
          <w:tcPr>
            <w:tcW w:w="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(67,717)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Issuance of Series B redeemable</w:t>
            </w: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convertible preferred stock for cash at</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w w:val="99"/>
              </w:rPr>
              <w:t>$7.30 per share, net of issuance costs 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$204, adjusted for the redeemable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convertible preferred stock liability 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0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$2,121</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7,731,155</w:t>
            </w:r>
          </w:p>
        </w:tc>
        <w:tc>
          <w:tcPr>
            <w:tcW w:w="16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58,347</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Series B redeemable</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convertible preferred stock on</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acquisition of Warp Drive</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6,797,915</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68,144</w:t>
            </w: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200"/>
              <w:spacing w:after="0" w:line="206" w:lineRule="exact"/>
              <w:rPr>
                <w:sz w:val="20"/>
                <w:szCs w:val="20"/>
                <w:color w:val="auto"/>
              </w:rPr>
            </w:pPr>
            <w:r>
              <w:rPr>
                <w:rFonts w:ascii="Arial" w:cs="Arial" w:eastAsia="Arial" w:hAnsi="Arial"/>
                <w:sz w:val="18"/>
                <w:szCs w:val="18"/>
                <w:color w:val="auto"/>
              </w:rPr>
              <w:t>Convertible note payable converted into</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Series B redeemable convertible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tcPr>
          <w:p>
            <w:pPr>
              <w:ind w:left="420"/>
              <w:spacing w:after="0" w:line="200" w:lineRule="exact"/>
              <w:rPr>
                <w:sz w:val="20"/>
                <w:szCs w:val="20"/>
                <w:color w:val="auto"/>
              </w:rPr>
            </w:pPr>
            <w:r>
              <w:rPr>
                <w:rFonts w:ascii="Arial" w:cs="Arial" w:eastAsia="Arial" w:hAnsi="Arial"/>
                <w:sz w:val="18"/>
                <w:szCs w:val="18"/>
                <w:color w:val="auto"/>
              </w:rPr>
              <w:t>preferred stock</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200,493</w:t>
            </w:r>
          </w:p>
        </w:tc>
        <w:tc>
          <w:tcPr>
            <w:tcW w:w="16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2,010</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Series B redeemable</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convertible preferred stock for cash at</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$10.03 per share, net of issuance costs</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of $34</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435,547</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4,332</w:t>
            </w: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200"/>
              <w:spacing w:after="0" w:line="206" w:lineRule="exact"/>
              <w:rPr>
                <w:sz w:val="20"/>
                <w:szCs w:val="20"/>
                <w:color w:val="auto"/>
              </w:rPr>
            </w:pPr>
            <w:r>
              <w:rPr>
                <w:rFonts w:ascii="Arial" w:cs="Arial" w:eastAsia="Arial" w:hAnsi="Arial"/>
                <w:sz w:val="18"/>
                <w:szCs w:val="18"/>
                <w:color w:val="auto"/>
              </w:rPr>
              <w:t>Issuance of common stock pursuant to</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tcPr>
          <w:p>
            <w:pPr>
              <w:ind w:left="420"/>
              <w:spacing w:after="0" w:line="200" w:lineRule="exact"/>
              <w:rPr>
                <w:sz w:val="20"/>
                <w:szCs w:val="20"/>
                <w:color w:val="auto"/>
              </w:rPr>
            </w:pPr>
            <w:r>
              <w:rPr>
                <w:rFonts w:ascii="Arial" w:cs="Arial" w:eastAsia="Arial" w:hAnsi="Arial"/>
                <w:sz w:val="18"/>
                <w:szCs w:val="18"/>
                <w:color w:val="auto"/>
              </w:rPr>
              <w:t>stock option exercises</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107,194</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47</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common stock pursuant to</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early exercised stock options</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546,602</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200"/>
              <w:spacing w:after="0" w:line="206" w:lineRule="exact"/>
              <w:rPr>
                <w:sz w:val="20"/>
                <w:szCs w:val="20"/>
                <w:color w:val="auto"/>
              </w:rPr>
            </w:pPr>
            <w:r>
              <w:rPr>
                <w:rFonts w:ascii="Arial" w:cs="Arial" w:eastAsia="Arial" w:hAnsi="Arial"/>
                <w:sz w:val="18"/>
                <w:szCs w:val="18"/>
                <w:color w:val="auto"/>
              </w:rPr>
              <w:t>Vesting of early exercised stock options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tcPr>
          <w:p>
            <w:pPr>
              <w:ind w:left="420"/>
              <w:spacing w:after="0" w:line="200" w:lineRule="exact"/>
              <w:rPr>
                <w:sz w:val="20"/>
                <w:szCs w:val="20"/>
                <w:color w:val="auto"/>
              </w:rPr>
            </w:pPr>
            <w:r>
              <w:rPr>
                <w:rFonts w:ascii="Arial" w:cs="Arial" w:eastAsia="Arial" w:hAnsi="Arial"/>
                <w:sz w:val="18"/>
                <w:szCs w:val="18"/>
                <w:color w:val="auto"/>
              </w:rPr>
              <w:t>and restricted stock</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9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182</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182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Repurchases of early exercised stock</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options</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(118,700)</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26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(41,789)</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(41,789)</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2018</w:t>
            </w: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29,595,909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205,081</w:t>
            </w:r>
          </w:p>
        </w:tc>
        <w:tc>
          <w:tcPr>
            <w:tcW w:w="120" w:type="dxa"/>
            <w:vAlign w:val="bottom"/>
            <w:tcBorders>
              <w:right w:val="single" w:sz="8" w:color="auto"/>
            </w:tcBorders>
          </w:tcPr>
          <w:p>
            <w:pPr>
              <w:spacing w:after="0"/>
              <w:rPr>
                <w:sz w:val="18"/>
                <w:szCs w:val="18"/>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3,208,924</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(109,722)</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(108,422)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right="5040"/>
        <w:spacing w:after="0" w:line="259" w:lineRule="auto"/>
        <w:rPr>
          <w:sz w:val="20"/>
          <w:szCs w:val="20"/>
          <w:color w:val="auto"/>
        </w:rPr>
      </w:pPr>
      <w:r>
        <w:rPr>
          <w:rFonts w:ascii="Arial" w:cs="Arial" w:eastAsia="Arial" w:hAnsi="Arial"/>
          <w:sz w:val="32"/>
          <w:szCs w:val="32"/>
          <w:b w:val="1"/>
          <w:bCs w:val="1"/>
          <w:color w:val="auto"/>
        </w:rPr>
        <w:t>Revolution Medicines, Inc. Consolidated statements of cash flows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p>
      <w:pPr>
        <w:jc w:val="center"/>
        <w:ind w:left="906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90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-4445</wp:posOffset>
            </wp:positionV>
            <wp:extent cx="11150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4"/>
        </w:trPr>
        <w:tc>
          <w:tcPr>
            <w:tcW w:w="8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8"/>
              </w:rPr>
              <w:t>(31,127)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(41,789)</w:t>
            </w:r>
          </w:p>
        </w:tc>
      </w:tr>
      <w:tr>
        <w:trPr>
          <w:trHeight w:val="56"/>
        </w:trPr>
        <w:tc>
          <w:tcPr>
            <w:tcW w:w="89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1,188</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1,566</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2,121</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impact of acquisition: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tcPr>
          <w:p>
            <w:pPr>
              <w:ind w:left="420"/>
              <w:spacing w:after="0" w:line="202" w:lineRule="exact"/>
              <w:rPr>
                <w:sz w:val="20"/>
                <w:szCs w:val="20"/>
                <w:color w:val="auto"/>
              </w:rPr>
            </w:pPr>
            <w:r>
              <w:rPr>
                <w:rFonts w:ascii="Arial" w:cs="Arial" w:eastAsia="Arial" w:hAnsi="Arial"/>
                <w:sz w:val="18"/>
                <w:szCs w:val="18"/>
                <w:color w:val="auto"/>
              </w:rPr>
              <w:t>Receivable from related party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(7,303)</w:t>
            </w: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553</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(909)</w:t>
            </w:r>
          </w:p>
        </w:tc>
      </w:tr>
      <w:tr>
        <w:trPr>
          <w:trHeight w:val="203"/>
        </w:trPr>
        <w:tc>
          <w:tcPr>
            <w:tcW w:w="20" w:type="dxa"/>
            <w:vAlign w:val="bottom"/>
          </w:tcPr>
          <w:p>
            <w:pPr>
              <w:spacing w:after="0"/>
              <w:rPr>
                <w:sz w:val="17"/>
                <w:szCs w:val="17"/>
                <w:color w:val="auto"/>
              </w:rPr>
            </w:pPr>
          </w:p>
        </w:tc>
        <w:tc>
          <w:tcPr>
            <w:tcW w:w="8940" w:type="dxa"/>
            <w:vAlign w:val="bottom"/>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1,968</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2,029</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tcPr>
          <w:p>
            <w:pPr>
              <w:ind w:left="420"/>
              <w:spacing w:after="0" w:line="202" w:lineRule="exact"/>
              <w:rPr>
                <w:sz w:val="20"/>
                <w:szCs w:val="20"/>
                <w:color w:val="auto"/>
              </w:rPr>
            </w:pPr>
            <w:r>
              <w:rPr>
                <w:rFonts w:ascii="Arial" w:cs="Arial" w:eastAsia="Arial" w:hAnsi="Arial"/>
                <w:sz w:val="18"/>
                <w:szCs w:val="18"/>
                <w:color w:val="auto"/>
              </w:rPr>
              <w:t>Deferred revenue, related party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44,499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(552)</w:t>
            </w:r>
          </w:p>
        </w:tc>
      </w:tr>
      <w:tr>
        <w:trPr>
          <w:trHeight w:val="210"/>
        </w:trPr>
        <w:tc>
          <w:tcPr>
            <w:tcW w:w="20" w:type="dxa"/>
            <w:vAlign w:val="bottom"/>
          </w:tcPr>
          <w:p>
            <w:pPr>
              <w:spacing w:after="0"/>
              <w:rPr>
                <w:sz w:val="18"/>
                <w:szCs w:val="18"/>
                <w:color w:val="auto"/>
              </w:rPr>
            </w:pPr>
          </w:p>
        </w:tc>
        <w:tc>
          <w:tcPr>
            <w:tcW w:w="8940" w:type="dxa"/>
            <w:vAlign w:val="bottom"/>
          </w:tcPr>
          <w:p>
            <w:pPr>
              <w:ind w:left="420"/>
              <w:spacing w:after="0" w:line="202" w:lineRule="exact"/>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98"/>
              </w:rPr>
              <w:t>(25,148)</w:t>
            </w: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7"/>
                <w:szCs w:val="17"/>
                <w:color w:val="auto"/>
              </w:rPr>
            </w:pPr>
          </w:p>
        </w:tc>
      </w:tr>
      <w:tr>
        <w:trPr>
          <w:trHeight w:val="277"/>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(1,575)</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(1,499)</w:t>
            </w:r>
          </w:p>
        </w:tc>
      </w:tr>
      <w:tr>
        <w:trPr>
          <w:trHeight w:val="210"/>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Cash acquired in Warp Drive acquisition, net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(1,575)</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(1,339)</w:t>
            </w:r>
          </w:p>
        </w:tc>
      </w:tr>
      <w:tr>
        <w:trPr>
          <w:trHeight w:val="277"/>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22,588</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60,558</w:t>
            </w:r>
          </w:p>
        </w:tc>
        <w:tc>
          <w:tcPr>
            <w:tcW w:w="120" w:type="dxa"/>
            <w:vAlign w:val="bottom"/>
            <w:shd w:val="clear" w:color="auto" w:fill="CCEEFF"/>
          </w:tcPr>
          <w:p>
            <w:pPr>
              <w:spacing w:after="0"/>
              <w:rPr>
                <w:sz w:val="17"/>
                <w:szCs w:val="17"/>
                <w:color w:val="auto"/>
              </w:rPr>
            </w:pP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issuance of common stock under equity incentive plans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74</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Repurchases of early exercised stock options and restricted stock</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w:t>
            </w:r>
          </w:p>
        </w:tc>
      </w:tr>
      <w:tr>
        <w:trPr>
          <w:trHeight w:val="217"/>
        </w:trPr>
        <w:tc>
          <w:tcPr>
            <w:tcW w:w="20" w:type="dxa"/>
            <w:vAlign w:val="bottom"/>
          </w:tcPr>
          <w:p>
            <w:pPr>
              <w:spacing w:after="0"/>
              <w:rPr>
                <w:sz w:val="18"/>
                <w:szCs w:val="18"/>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22,662</w:t>
            </w: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60,847</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increase in cash, cash equivalents and restricted cash</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(4,061)</w:t>
            </w: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60,721</w:t>
            </w:r>
          </w:p>
        </w:tc>
        <w:tc>
          <w:tcPr>
            <w:tcW w:w="120" w:type="dxa"/>
            <w:vAlign w:val="bottom"/>
            <w:shd w:val="clear" w:color="auto" w:fill="CCEEFF"/>
          </w:tcPr>
          <w:p>
            <w:pPr>
              <w:spacing w:after="0"/>
              <w:rPr>
                <w:sz w:val="17"/>
                <w:szCs w:val="17"/>
                <w:color w:val="auto"/>
              </w:rPr>
            </w:pPr>
          </w:p>
        </w:tc>
      </w:tr>
      <w:tr>
        <w:trPr>
          <w:trHeight w:val="217"/>
        </w:trPr>
        <w:tc>
          <w:tcPr>
            <w:tcW w:w="89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cash—beginning of year</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13,140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cash—end of year</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9,079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69,800</w:t>
            </w:r>
          </w:p>
        </w:tc>
        <w:tc>
          <w:tcPr>
            <w:tcW w:w="120" w:type="dxa"/>
            <w:vAlign w:val="bottom"/>
            <w:shd w:val="clear" w:color="auto" w:fill="CCEEFF"/>
          </w:tcPr>
          <w:p>
            <w:pPr>
              <w:spacing w:after="0"/>
              <w:rPr>
                <w:sz w:val="17"/>
                <w:szCs w:val="17"/>
                <w:color w:val="auto"/>
              </w:rPr>
            </w:pPr>
          </w:p>
        </w:tc>
      </w:tr>
      <w:tr>
        <w:trPr>
          <w:trHeight w:val="270"/>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cash, cash equivalents and restricted cash to consolidated balance sheets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9,079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69,586</w:t>
            </w:r>
          </w:p>
        </w:tc>
        <w:tc>
          <w:tcPr>
            <w:tcW w:w="120" w:type="dxa"/>
            <w:vAlign w:val="bottom"/>
            <w:shd w:val="clear" w:color="auto" w:fill="CCEEFF"/>
          </w:tcPr>
          <w:p>
            <w:pPr>
              <w:spacing w:after="0"/>
              <w:rPr>
                <w:sz w:val="17"/>
                <w:szCs w:val="17"/>
                <w:color w:val="auto"/>
              </w:rPr>
            </w:pPr>
          </w:p>
        </w:tc>
      </w:tr>
      <w:tr>
        <w:trPr>
          <w:trHeight w:val="210"/>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cash—end of year</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9,079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69,800</w:t>
            </w:r>
          </w:p>
        </w:tc>
        <w:tc>
          <w:tcPr>
            <w:tcW w:w="120" w:type="dxa"/>
            <w:vAlign w:val="bottom"/>
            <w:shd w:val="clear" w:color="auto" w:fill="CCEEFF"/>
          </w:tcPr>
          <w:p>
            <w:pPr>
              <w:spacing w:after="0"/>
              <w:rPr>
                <w:sz w:val="17"/>
                <w:szCs w:val="17"/>
                <w:color w:val="auto"/>
              </w:rPr>
            </w:pPr>
          </w:p>
        </w:tc>
      </w:tr>
      <w:tr>
        <w:trPr>
          <w:trHeight w:val="210"/>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Vesting of early exercised options and restricted stock</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7"/>
                <w:szCs w:val="17"/>
                <w:color w:val="auto"/>
              </w:rPr>
            </w:pP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w w:val="99"/>
              </w:rPr>
              <w:t>Purchases of property and equipment within accounts payable and accrued expenses and other current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317</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issued in Warp Drive acquisition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68,144</w:t>
            </w:r>
          </w:p>
        </w:tc>
        <w:tc>
          <w:tcPr>
            <w:tcW w:w="120" w:type="dxa"/>
            <w:vAlign w:val="bottom"/>
            <w:shd w:val="clear" w:color="auto" w:fill="CCEEFF"/>
          </w:tcPr>
          <w:p>
            <w:pPr>
              <w:spacing w:after="0"/>
              <w:rPr>
                <w:sz w:val="17"/>
                <w:szCs w:val="17"/>
                <w:color w:val="auto"/>
              </w:rPr>
            </w:pP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Extinguishment of redeemable convertible preferred stock liability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2,314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Unpaid consideration for Warp Drive acquisition included within accrued expenses and other current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7"/>
                <w:szCs w:val="17"/>
                <w:color w:val="auto"/>
              </w:rPr>
            </w:pPr>
          </w:p>
        </w:tc>
      </w:tr>
      <w:tr>
        <w:trPr>
          <w:trHeight w:val="203"/>
        </w:trPr>
        <w:tc>
          <w:tcPr>
            <w:tcW w:w="896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Conversion of convertible note payable into Series B redeemable convertible preferred stock</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2,010</w:t>
            </w:r>
          </w:p>
        </w:tc>
        <w:tc>
          <w:tcPr>
            <w:tcW w:w="120" w:type="dxa"/>
            <w:vAlign w:val="bottom"/>
            <w:tcBorders>
              <w:bottom w:val="single" w:sz="8" w:color="auto"/>
            </w:tcBorders>
          </w:tcPr>
          <w:p>
            <w:pPr>
              <w:spacing w:after="0"/>
              <w:rPr>
                <w:sz w:val="17"/>
                <w:szCs w:val="17"/>
                <w:color w:val="auto"/>
              </w:rPr>
            </w:pPr>
          </w:p>
        </w:tc>
      </w:tr>
    </w:tbl>
    <w:p>
      <w:pPr>
        <w:spacing w:after="0" w:line="9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Notes to the consolidated financial statements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 Company and liquidity</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24" w:lineRule="exact"/>
        <w:rPr>
          <w:sz w:val="20"/>
          <w:szCs w:val="20"/>
          <w:color w:val="auto"/>
        </w:rPr>
      </w:pPr>
    </w:p>
    <w:p>
      <w:pPr>
        <w:jc w:val="both"/>
        <w:ind w:left="200" w:right="160"/>
        <w:spacing w:after="0" w:line="238" w:lineRule="auto"/>
        <w:rPr>
          <w:sz w:val="20"/>
          <w:szCs w:val="20"/>
          <w:color w:val="auto"/>
        </w:rPr>
      </w:pPr>
      <w:r>
        <w:rPr>
          <w:rFonts w:ascii="Arial" w:cs="Arial" w:eastAsia="Arial" w:hAnsi="Arial"/>
          <w:sz w:val="18"/>
          <w:szCs w:val="18"/>
          <w:color w:val="auto"/>
        </w:rPr>
        <w:t>Revolution Medicines, Inc. (the Company) is a clinical-stage precision oncology company focused on developing novel targeted therapies to inhibit targets primarily within the RAS and mTOR signaling pathways. The Company was founded in October 2014 and is headquartered in Redwood City, California.</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Company has incurred net operating losses in each year since inception. The Company’s net losses were $31.1 million and $41.8 million during the years ended December 31, 2017 and 2018, respectively. As of December 31, 2018, the Company had an accumulated deficit of $109.7 million. Management believes that its cash and cash equivalents are sufficient to continue operating activities for at least 12 months following the issuance date of these consolidated financial statements. To date, the Company has been able to fund its operations through the issuance and sale of redeemable convertible preferred stock in addition to proceeds received under the Company’s collaboration agreement with Sanofi. Future capital requirements will depend on many factors, including the timing and extent of spending on research and development and payments the Company may receive under the Sanofi collaboration agreement or future collaboration agreements, if any.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jc w:val="both"/>
        <w:ind w:left="200" w:right="240"/>
        <w:spacing w:after="0" w:line="236" w:lineRule="auto"/>
        <w:rPr>
          <w:sz w:val="20"/>
          <w:szCs w:val="20"/>
          <w:color w:val="auto"/>
        </w:rPr>
      </w:pPr>
      <w:r>
        <w:rPr>
          <w:rFonts w:ascii="Arial" w:cs="Arial" w:eastAsia="Arial" w:hAnsi="Arial"/>
          <w:sz w:val="18"/>
          <w:szCs w:val="18"/>
          <w:color w:val="auto"/>
        </w:rPr>
        <w:t>The consolidated financial statements have been prepared in conformity with generally accepted accounting principles in the United States (GAAP). The consolidated financial statements for the year ended December 31, 2018 include the accounts of the Company and its wholly owned subsidiary, Warp Drive Bio, Inc. (Warp Drive). The consolidated financial statements for the year ended December 31, 2017 include only the accounts of the Revolution Medicines, Inc. All intercompany balances and transactions have been eliminated in consolidation. The functional and reporting currency of the Company and its subsidiary is the U.S. dollar.</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On February 7, 2020, the Company amended and restated its amended and restated certificate of incorporation to effect a 1-for-4.8661 reverse stock split of the Company’s common stock and redeemable convertible preferred stock.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60"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clinical accruals, valuation of in-process research and development and developed technologies, valuation of the redeemable convertible preferred stock liability, income taxes, useful lives of property and equipment and intangible assets, impairment of goodwill, and stock-based compensation. Actual results could materially differ from those estimates</w:t>
      </w:r>
      <w:r>
        <w:rPr>
          <w:rFonts w:ascii="Arial" w:cs="Arial" w:eastAsia="Arial" w:hAnsi="Arial"/>
          <w:sz w:val="16"/>
          <w:szCs w:val="16"/>
          <w:i w:val="1"/>
          <w:iCs w:val="1"/>
          <w:color w:val="auto"/>
        </w:rPr>
        <w:t>.</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2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unaudited pro forma information as of December 31, 2018 has been prepared to give effect to the automatic conversion of all of the outstanding redeemable convertible preferred stock of the Company on a one-to-one basis into 29,595,909 shares of common stock, which will occur upon the closing of an initial public offering (IPO) of common stock resulting in at least $50 million in gross proceeds at a minimum price of $10.03 per share of common stock, subject to adjustment for stock dividends, stock splits, combinations or other similar recapitalizations (a Qualified IPO). The unaudited pro forma information does not assume any proceeds from an IPO.</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unaudited pro forma basic and diluted net loss per share for the year ended December 31, 2018 has been computed to give effect to</w:t>
      </w:r>
    </w:p>
    <w:p>
      <w:pPr>
        <w:ind w:left="200" w:firstLine="4"/>
        <w:spacing w:after="0" w:line="236" w:lineRule="auto"/>
        <w:tabs>
          <w:tab w:leader="none" w:pos="46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adjustment to the denominator in the pro forma basic and diluted net loss per share calculation for the automatic conversion of the redeemable convertible preferred stock into shares of common stock, which will occur upon the closing of a Qualified IPO, as of the beginning of the period or the date of issuance, if later, (2) an adjustment to the numerator in the pro forma basic and diluted net loss per share calculation to remove the redeemable cumulative but undeclared convertible preferred stock dividends and (3) an adjustment to the numerator in the pro forma basic and diluted net loss per share calculation to remove losses from the remeasurement of the redeemable convertible preferred stock liability.</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 As of December 31, 2017 and 2018, cash equivalents consist of amounts invested in money market funds.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4" w:lineRule="exact"/>
        <w:rPr>
          <w:sz w:val="20"/>
          <w:szCs w:val="20"/>
          <w:color w:val="auto"/>
        </w:rPr>
      </w:pPr>
    </w:p>
    <w:p>
      <w:pPr>
        <w:ind w:left="200" w:right="620"/>
        <w:spacing w:after="0" w:line="238" w:lineRule="auto"/>
        <w:rPr>
          <w:sz w:val="20"/>
          <w:szCs w:val="20"/>
          <w:color w:val="auto"/>
        </w:rPr>
      </w:pPr>
      <w:r>
        <w:rPr>
          <w:rFonts w:ascii="Arial" w:cs="Arial" w:eastAsia="Arial" w:hAnsi="Arial"/>
          <w:sz w:val="18"/>
          <w:szCs w:val="18"/>
          <w:color w:val="auto"/>
        </w:rPr>
        <w:t>As of December 31, 2018, the Company had $0.2 million of noncurrent restricted cash related to a Company issued letter of credit in connection with a lease. The entire amount is held in a separate bank account to support a letter of credit agreement for the lease. No restricted cash was outstanding as of December 31, 2017.</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and cash equivalents. The Company’s cash is held by one financial institution in the United States, which management believes to be of high credit quality. The Company’s money market funds are invested in highly rated funds. Deposits at this financial institution may at times exceed federally insured limits. The Company has not experienced any losses on its deposits of cash and cash equivalents.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740"/>
        <w:spacing w:after="0" w:line="239" w:lineRule="auto"/>
        <w:rPr>
          <w:sz w:val="20"/>
          <w:szCs w:val="20"/>
          <w:color w:val="auto"/>
        </w:rPr>
      </w:pPr>
      <w:r>
        <w:rPr>
          <w:rFonts w:ascii="Arial" w:cs="Arial" w:eastAsia="Arial" w:hAnsi="Arial"/>
          <w:sz w:val="18"/>
          <w:szCs w:val="18"/>
          <w:color w:val="auto"/>
        </w:rPr>
        <w:t>The Company is subject to credit risk as its receivable and collaboration revenue, related party are entirely related to its collaboration agreement with Sanofi. See Note 6 “Sanofi collaboration agreement.”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24" w:lineRule="exact"/>
        <w:rPr>
          <w:sz w:val="20"/>
          <w:szCs w:val="20"/>
          <w:color w:val="auto"/>
        </w:rPr>
      </w:pPr>
    </w:p>
    <w:p>
      <w:pPr>
        <w:ind w:left="200" w:right="280"/>
        <w:spacing w:after="0" w:line="299" w:lineRule="auto"/>
        <w:rPr>
          <w:sz w:val="20"/>
          <w:szCs w:val="20"/>
          <w:color w:val="auto"/>
        </w:rPr>
      </w:pPr>
      <w:r>
        <w:rPr>
          <w:rFonts w:ascii="Arial" w:cs="Arial" w:eastAsia="Arial" w:hAnsi="Arial"/>
          <w:sz w:val="16"/>
          <w:szCs w:val="16"/>
          <w:color w:val="auto"/>
        </w:rPr>
        <w:t>The carrying amounts of the Company’s certain financial instruments, including cash equivalents, accounts payable and accrued expenses and other current liabilities approximate fair value due to their relatively short maturities and market interest rates, if applicable.</w:t>
      </w:r>
    </w:p>
    <w:p>
      <w:pPr>
        <w:spacing w:after="0" w:line="55"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1—Observable inputs such as unadjusted, quoted prices in active markets for identical assets or liabilities at the measurement date;</w:t>
      </w:r>
    </w:p>
    <w:p>
      <w:pPr>
        <w:spacing w:after="0" w:line="127" w:lineRule="exact"/>
        <w:rPr>
          <w:sz w:val="20"/>
          <w:szCs w:val="20"/>
          <w:color w:val="auto"/>
        </w:rPr>
      </w:pPr>
    </w:p>
    <w:p>
      <w:pPr>
        <w:ind w:left="420" w:right="20"/>
        <w:spacing w:after="0" w:line="238"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100" w:lineRule="exact"/>
        <w:rPr>
          <w:sz w:val="20"/>
          <w:szCs w:val="20"/>
          <w:color w:val="auto"/>
        </w:rPr>
      </w:pPr>
    </w:p>
    <w:p>
      <w:pPr>
        <w:ind w:left="420" w:right="420"/>
        <w:spacing w:after="0" w:line="239"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4" w:lineRule="exact"/>
        <w:rPr>
          <w:sz w:val="20"/>
          <w:szCs w:val="20"/>
          <w:color w:val="auto"/>
        </w:rPr>
      </w:pPr>
    </w:p>
    <w:p>
      <w:pPr>
        <w:ind w:left="200" w:right="120"/>
        <w:spacing w:after="0" w:line="273"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on a straight-line basis over the estimated useful lives of the related assets, which is generally three to five years. Leasehold improvements are amortized using the straight-line method over the shorter of the assets’ estimated useful lives or the remaining term of the lease. Maintenance and repairs are charged to operations as incurred. Upon sale or retirement of assets, the cost and related accumulated depreciation are removed from the consolidated balance sheet and the resulting gain or loss is reflected in the consolidated statement of operations and comprehensive loss.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Useful lives of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Property and equipment</w:t>
            </w:r>
          </w:p>
        </w:tc>
        <w:tc>
          <w:tcPr>
            <w:tcW w:w="71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Estimated useful life</w:t>
            </w:r>
          </w:p>
        </w:tc>
      </w:tr>
      <w:tr>
        <w:trPr>
          <w:trHeight w:val="199"/>
        </w:trPr>
        <w:tc>
          <w:tcPr>
            <w:tcW w:w="3880" w:type="dxa"/>
            <w:vAlign w:val="bottom"/>
          </w:tcPr>
          <w:p>
            <w:pPr>
              <w:spacing w:after="0" w:line="200" w:lineRule="exact"/>
              <w:rPr>
                <w:sz w:val="20"/>
                <w:szCs w:val="20"/>
                <w:color w:val="auto"/>
              </w:rPr>
            </w:pPr>
            <w:r>
              <w:rPr>
                <w:rFonts w:ascii="Arial" w:cs="Arial" w:eastAsia="Arial" w:hAnsi="Arial"/>
                <w:sz w:val="18"/>
                <w:szCs w:val="18"/>
                <w:color w:val="auto"/>
              </w:rPr>
              <w:t>Laboratory equipment</w:t>
            </w:r>
          </w:p>
        </w:tc>
        <w:tc>
          <w:tcPr>
            <w:tcW w:w="7160" w:type="dxa"/>
            <w:vAlign w:val="bottom"/>
          </w:tcPr>
          <w:p>
            <w:pPr>
              <w:ind w:left="1200"/>
              <w:spacing w:after="0" w:line="200" w:lineRule="exact"/>
              <w:rPr>
                <w:sz w:val="20"/>
                <w:szCs w:val="20"/>
                <w:color w:val="auto"/>
              </w:rPr>
            </w:pPr>
            <w:r>
              <w:rPr>
                <w:rFonts w:ascii="Arial" w:cs="Arial" w:eastAsia="Arial" w:hAnsi="Arial"/>
                <w:sz w:val="18"/>
                <w:szCs w:val="18"/>
                <w:color w:val="auto"/>
              </w:rPr>
              <w:t>4-5 years</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7160" w:type="dxa"/>
            <w:vAlign w:val="bottom"/>
          </w:tcPr>
          <w:p>
            <w:pPr>
              <w:ind w:left="1200"/>
              <w:spacing w:after="0" w:line="202" w:lineRule="exact"/>
              <w:rPr>
                <w:sz w:val="20"/>
                <w:szCs w:val="20"/>
                <w:color w:val="auto"/>
              </w:rPr>
            </w:pPr>
            <w:r>
              <w:rPr>
                <w:rFonts w:ascii="Arial" w:cs="Arial" w:eastAsia="Arial" w:hAnsi="Arial"/>
                <w:sz w:val="18"/>
                <w:szCs w:val="18"/>
                <w:color w:val="auto"/>
              </w:rPr>
              <w:t>Lesser of estimated useful life or remaining lease term</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7160" w:type="dxa"/>
            <w:vAlign w:val="bottom"/>
          </w:tcPr>
          <w:p>
            <w:pPr>
              <w:ind w:left="1200"/>
              <w:spacing w:after="0" w:line="202" w:lineRule="exact"/>
              <w:rPr>
                <w:sz w:val="20"/>
                <w:szCs w:val="20"/>
                <w:color w:val="auto"/>
              </w:rPr>
            </w:pPr>
            <w:r>
              <w:rPr>
                <w:rFonts w:ascii="Arial" w:cs="Arial" w:eastAsia="Arial" w:hAnsi="Arial"/>
                <w:sz w:val="18"/>
                <w:szCs w:val="18"/>
                <w:color w:val="auto"/>
              </w:rPr>
              <w:t>3 years</w:t>
            </w:r>
          </w:p>
        </w:tc>
      </w:tr>
      <w:tr>
        <w:trPr>
          <w:trHeight w:val="212"/>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Furniture and fixtures</w:t>
            </w:r>
          </w:p>
        </w:tc>
        <w:tc>
          <w:tcPr>
            <w:tcW w:w="71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5 years</w:t>
            </w: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4"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Long-lived assets are reviewed for indications of possible impairment whenever events or changes in circumstances indicate that the carrying amount of an asset or asset group may not be recoverable.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Recoverability is measured by comparison of the carrying amounts of the asset group to the future undiscounted cash flows attributable to these assets. An impairment loss is recognized to the extent an asset group is not recoverable, and the carrying amount exceeds the projected discounted future cash flows arising from these assets. There were no impairments of long-lived assets for any of the periods presented.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Indefinite-lived intangible assets represent the estimated fair value assigned to in-process research and development (IPR&amp;D) acquired in a business combination. The Company reviews indefinite-lived intangible assets for impairment at least annually or more frequently if events or changes in circumstances indicate that the carrying value of the assets might not be recoverable. If the carrying value of an indefinite-lived intangible asset exceeds its fair value, then it is written down to its adjusted fair value. As of December 31, 2018, there have been no such impairments. For IPR&amp;D, if a product candidate derived from the indefinite-lived intangible asset is developed and commercialized, the useful life will be determined, and the carrying value will be amortized prospectively over that estimated useful life. Alternatively, if a product candidate is abandoned, the carrying value of the intangible asset will be charged to research and development expenses in the consolidated statements of operations and comprehensive loss.</w:t>
      </w:r>
    </w:p>
    <w:p>
      <w:pPr>
        <w:spacing w:after="0" w:line="100"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Finite-lived intangible assets acquired in a business combination are recognized separately from goodwill and are initially recognized at their fair value at the acquisition date. Amortization is computed using the straight-line method over the estimated useful lives of the respective finite-lived intangible assets. Intangible assets are reviewed for impairment at least annually or more frequently if indicators of potential impairment exist.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124" w:lineRule="exact"/>
        <w:rPr>
          <w:sz w:val="20"/>
          <w:szCs w:val="20"/>
          <w:color w:val="auto"/>
        </w:rPr>
      </w:pPr>
    </w:p>
    <w:p>
      <w:pPr>
        <w:ind w:left="200" w:right="40"/>
        <w:spacing w:after="0" w:line="268" w:lineRule="auto"/>
        <w:rPr>
          <w:sz w:val="20"/>
          <w:szCs w:val="20"/>
          <w:color w:val="auto"/>
        </w:rPr>
      </w:pPr>
      <w:r>
        <w:rPr>
          <w:rFonts w:ascii="Arial" w:cs="Arial" w:eastAsia="Arial" w:hAnsi="Arial"/>
          <w:sz w:val="16"/>
          <w:szCs w:val="16"/>
          <w:color w:val="auto"/>
        </w:rPr>
        <w:t>Goodwill represents the excess of the purchase price over the estimated fair value of the net tangible and intangible assets acquired in a business combination. The Company reviews goodwill for impairment at least annually or more frequently if events or changes in circumstances indicate that the carrying value of goodwill may not be recoverable.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it is determined that it is more likely than not that its fair value is less than its carrying amount, the fair value of the Company’s single reporting unit is compared to its carrying value. Any excess of the goodwill carrying amount over the fair value is recognized as an impairment loss, and the carrying value of goodwill is written down to fair value. As of December 31, 2018, no goodwill impairment has been identified.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24"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The Company records all shares of redeemable convertible preferred stock at their respective fair values on the dates of issuance, net of issuance costs. The redeemable convertible preferred stock is recorded outside of permanent equity because while it is not mandatorily redeemable, in the event of certain events considered not solely within the Company’s control, such as a merger, acquisition or sale of all or substantially all of the Company’s assets (each, a “deemed liquidation event”), the redeemable convertible preferred stock will become redeemable at the option of the holders of at least a majority of the then outstanding such shares.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60"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convertible preferred stock. Subsequent adjustments to the carrying values to the liquidation preferences will be made only when it becomes probable that such a deemed liquidation event will occur.</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convertible preferred stock liability</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Company’s March 2018 issuance and sale of Series B redeemable convertible preferred stock was tranched into two funding dates, a first closing in March 2018, and a second closing to purchase additional shares in June 2018. The Company classified the obligation for the future purchase of additional shares under the second closing as a liability on the Company’s consolidated balance sheets as the obligation met the definition of a freestanding financial instrument. This redeemable convertible preferred stock tranche liability was initially recorded at a fair value of $0.2 million upon the date of issuance and was subsequently remeasured to fair value at each reporting date using Level 3 fair value inputs. Changes in the fair value of the redeemable convertible preferred stock tranche obligation of $2.1 million were recognized as a component of other income (expense), net in the consolidated statements of operations and comprehensive loss until the tranche obligation was fulfilled and extinguished upon the second closing in June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Effective January 1, 2018, the Company adopted Accounting Standards Codification Topic 606, </w:t>
      </w:r>
      <w:r>
        <w:rPr>
          <w:rFonts w:ascii="Arial" w:cs="Arial" w:eastAsia="Arial" w:hAnsi="Arial"/>
          <w:sz w:val="18"/>
          <w:szCs w:val="18"/>
          <w:i w:val="1"/>
          <w:iCs w:val="1"/>
          <w:color w:val="auto"/>
        </w:rPr>
        <w:t>Revenue from Contracts with</w:t>
      </w:r>
    </w:p>
    <w:p>
      <w:pPr>
        <w:spacing w:after="0" w:line="1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using the full retrospective transition method. The Company did not have any effective contracts within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guidance prior to January 1, 2018. Accordingly, the Company did not elect to use any of the practical expedients permitted related to adoption, and the adoption of ASC 606 had no impact on the Company’s financial position, results of operations or liquidity. Under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07"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The Company enters into collaboration agreements under which it may obtain upfront license fees, research and development funding, and development, regulatory and commercial milestone payments and royalty payments. The Company’s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8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the Company recognizes revenue from upfront license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The Company evaluates the measure of proportional performance each reporting period and, if necessary, adjusts the measure of performance and related revenue recognition.</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i w:val="1"/>
          <w:iCs w:val="1"/>
          <w:color w:val="auto"/>
        </w:rPr>
        <w:t xml:space="preserve">Research, development and regulatory milestone payments: </w:t>
      </w:r>
      <w:r>
        <w:rPr>
          <w:rFonts w:ascii="Arial" w:cs="Arial" w:eastAsia="Arial" w:hAnsi="Arial"/>
          <w:sz w:val="18"/>
          <w:szCs w:val="18"/>
          <w:color w:val="auto"/>
        </w:rPr>
        <w:t>At the inception of each arrangement that includes research,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87" w:lineRule="exact"/>
        <w:rPr>
          <w:sz w:val="20"/>
          <w:szCs w:val="20"/>
          <w:color w:val="auto"/>
        </w:rPr>
      </w:pPr>
    </w:p>
    <w:p>
      <w:pPr>
        <w:ind w:left="200" w:right="140"/>
        <w:spacing w:after="0" w:line="241" w:lineRule="auto"/>
        <w:rPr>
          <w:sz w:val="20"/>
          <w:szCs w:val="20"/>
          <w:color w:val="auto"/>
        </w:rPr>
      </w:pPr>
      <w:r>
        <w:rPr>
          <w:rFonts w:ascii="Arial" w:cs="Arial" w:eastAsia="Arial" w:hAnsi="Arial"/>
          <w:sz w:val="18"/>
          <w:szCs w:val="18"/>
          <w:i w:val="1"/>
          <w:iCs w:val="1"/>
          <w:color w:val="auto"/>
        </w:rPr>
        <w:t xml:space="preserve">Sales-based milestones and royalties: </w:t>
      </w:r>
      <w:r>
        <w:rPr>
          <w:rFonts w:ascii="Arial" w:cs="Arial" w:eastAsia="Arial" w:hAnsi="Arial"/>
          <w:sz w:val="18"/>
          <w:szCs w:val="18"/>
          <w:color w:val="auto"/>
        </w:rPr>
        <w:t>For arrangements that include sales-based milestone or royalty payments based on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or sales-based milestone or royalty revenue resulting from its collaboration arrangements.</w:t>
      </w:r>
    </w:p>
    <w:p>
      <w:pPr>
        <w:spacing w:after="0" w:line="10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Deferred revenue represents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124" w:lineRule="exact"/>
        <w:rPr>
          <w:sz w:val="20"/>
          <w:szCs w:val="20"/>
          <w:color w:val="auto"/>
        </w:rPr>
      </w:pPr>
    </w:p>
    <w:p>
      <w:pPr>
        <w:ind w:left="200" w:right="160"/>
        <w:spacing w:after="0" w:line="235" w:lineRule="auto"/>
        <w:rPr>
          <w:sz w:val="20"/>
          <w:szCs w:val="20"/>
          <w:color w:val="auto"/>
        </w:rPr>
      </w:pPr>
      <w:r>
        <w:rPr>
          <w:rFonts w:ascii="Arial" w:cs="Arial" w:eastAsia="Arial" w:hAnsi="Arial"/>
          <w:sz w:val="18"/>
          <w:szCs w:val="18"/>
          <w:color w:val="auto"/>
        </w:rPr>
        <w:t>Research and development expenses consist of costs incurred for the Company’s own and for collaborative research and development activities. Research and development costs are expensed as incurred. Research and development costs consist of salaries and benefits, including associated stock-based compensation, and laboratory supplies and facility costs, as well as fees paid to other entities that conduct certain research and development activities on the Company’s behalf. The Company estimates preclinical study and clinical trial expenses based on the services performed pursuant to contracts with research institutions and contract research organizations, or CROs, and clinical manufacturing organizations, or CMOs, that conduct and manage preclinical studies and clinical trials on the Company’s behalf based on actual time and expenses incurred by them. Further, the Company accrues expenses related to clinical trials based on the level of patient activity according to the related agreement. The Company monitors patient enrollment levels and related activity to the extent reasonably possible and adjusts estimates accordingly.</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measures its stock-based awards granted to employees and directors based on the estimated fair values of the awards and recognizes the compensation over the requisite service period. The Company uses the Black-Scholes option-pricing model to estimate the fair value of its stock-based awards. Stock-based compensation is recognized on a straight-line basis over the vesting period. Stock options granted to non-employees are recorded at their fair value on the measurement date and are subject to periodic adjustments as such options vest and at the end of each reporting period, and the resulting change in fair value, if any, is recognized in the Company’s consolidated statements of operations and comprehensive loss during the period the related services are rendered.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60"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net deferred tax assets have been fully offset by a valuation allowance.</w:t>
      </w:r>
    </w:p>
    <w:p>
      <w:pPr>
        <w:spacing w:after="0" w:line="102"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taxes as a component of interest and other expense.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4" w:lineRule="exact"/>
        <w:rPr>
          <w:sz w:val="20"/>
          <w:szCs w:val="20"/>
          <w:color w:val="auto"/>
        </w:rPr>
      </w:pPr>
    </w:p>
    <w:p>
      <w:pPr>
        <w:ind w:left="200" w:right="900"/>
        <w:spacing w:after="0" w:line="239" w:lineRule="auto"/>
        <w:rPr>
          <w:sz w:val="20"/>
          <w:szCs w:val="20"/>
          <w:color w:val="auto"/>
        </w:rPr>
      </w:pPr>
      <w:r>
        <w:rPr>
          <w:rFonts w:ascii="Arial" w:cs="Arial" w:eastAsia="Arial" w:hAnsi="Arial"/>
          <w:sz w:val="18"/>
          <w:szCs w:val="18"/>
          <w:color w:val="auto"/>
        </w:rPr>
        <w:t>For the years ended December 31, 2017 and 2018, there are no components of other comprehensive loss for the Company. Thus, comprehensive loss is the same as the net loss for the periods presented.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4"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unvested restricted stock awards and early exercise of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3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24"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The Company has one operating and reportable segment. The Company’s chief operating decision maker, its Chief Executive Officer, manages the Company’s operations on a consolidated basis for the purposes of allocating resources and evaluating financial performance. All of the Company’s long-lived assets are located in the United States.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24"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The Company maintains a 401(k) retirement plan for its employees. The Company is responsible for administrative costs of the 401(k) plan. The Company may, at its discretion, make matching or profit-sharing contributions to the 401(k) plan. For the years ended December 31, 2017 and 2018, the Company made no matching contributions under the plan.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06" w:lineRule="exact"/>
        <w:rPr>
          <w:sz w:val="20"/>
          <w:szCs w:val="20"/>
          <w:color w:val="auto"/>
        </w:rPr>
      </w:pPr>
    </w:p>
    <w:p>
      <w:pPr>
        <w:ind w:left="200" w:right="260"/>
        <w:spacing w:after="0" w:line="270" w:lineRule="auto"/>
        <w:rPr>
          <w:sz w:val="20"/>
          <w:szCs w:val="20"/>
          <w:color w:val="auto"/>
        </w:rPr>
      </w:pPr>
      <w:r>
        <w:rPr>
          <w:rFonts w:ascii="Arial" w:cs="Arial" w:eastAsia="Arial" w:hAnsi="Arial"/>
          <w:sz w:val="16"/>
          <w:szCs w:val="16"/>
          <w:color w:val="auto"/>
        </w:rPr>
        <w:t xml:space="preserve">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Subsequently, the FASB also issued ASU No.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adjusted the effective date of ASU No. 2014-09; ASU No.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Revenue Gross versus Net)</w:t>
      </w:r>
      <w:r>
        <w:rPr>
          <w:rFonts w:ascii="Arial" w:cs="Arial" w:eastAsia="Arial" w:hAnsi="Arial"/>
          <w:sz w:val="16"/>
          <w:szCs w:val="16"/>
          <w:color w:val="auto"/>
        </w:rPr>
        <w:t>, which amends the principal-versus-agent implementation guidance and illustrations in ASU</w:t>
      </w:r>
    </w:p>
    <w:p>
      <w:pPr>
        <w:ind w:left="200" w:right="260"/>
        <w:spacing w:after="0" w:line="236" w:lineRule="auto"/>
        <w:rPr>
          <w:sz w:val="20"/>
          <w:szCs w:val="20"/>
          <w:color w:val="auto"/>
        </w:rPr>
      </w:pPr>
      <w:r>
        <w:rPr>
          <w:rFonts w:ascii="Arial" w:cs="Arial" w:eastAsia="Arial" w:hAnsi="Arial"/>
          <w:sz w:val="18"/>
          <w:szCs w:val="18"/>
          <w:color w:val="auto"/>
        </w:rPr>
        <w:t xml:space="preserve">No. 2014-09;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which clarifies identifying performance obligation and licensing implementation guidance and illustrations in ASU No. 2014-09; and ASU No. 2016-12, </w:t>
      </w:r>
      <w:r>
        <w:rPr>
          <w:rFonts w:ascii="Arial" w:cs="Arial" w:eastAsia="Arial" w:hAnsi="Arial"/>
          <w:sz w:val="18"/>
          <w:szCs w:val="18"/>
          <w:i w:val="1"/>
          <w:iCs w:val="1"/>
          <w:color w:val="auto"/>
        </w:rPr>
        <w:t>Revenue from Contracts with Customers (Topic 606): Narrow-Scope Improvements and Practical Expedients</w:t>
      </w:r>
      <w:r>
        <w:rPr>
          <w:rFonts w:ascii="Arial" w:cs="Arial" w:eastAsia="Arial" w:hAnsi="Arial"/>
          <w:sz w:val="18"/>
          <w:szCs w:val="18"/>
          <w:color w:val="auto"/>
        </w:rPr>
        <w:t>, which addresses implementation issues and is intended to reduce the cost and complexity of applying the new revenue standard in ASU No. 2014-09 (collectively, the Revenue ASUs).</w:t>
      </w:r>
    </w:p>
    <w:p>
      <w:pPr>
        <w:spacing w:after="0" w:line="10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Revenue ASUs provide an accounting standard for a single comprehensive model for use in accounting for revenue arising from contracts with customers and supersedes most current revenue recognition guidance.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w:t>
      </w:r>
    </w:p>
    <w:p>
      <w:pPr>
        <w:spacing w:after="0" w:line="101"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On January 1, 2018, the Company early adopted ASC 606 using the full retrospective method. The Company did not have any arrangements with customers prior to 2018 and, accordingly, there was no impact from the adoption of ASC 606 on its consolidated financial statements as of and for the year ended December 31, 2017.</w:t>
      </w:r>
    </w:p>
    <w:p>
      <w:pPr>
        <w:spacing w:after="0" w:line="82"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Assets and Financial Liabilities </w:t>
      </w:r>
      <w:r>
        <w:rPr>
          <w:rFonts w:ascii="Arial" w:cs="Arial" w:eastAsia="Arial" w:hAnsi="Arial"/>
          <w:sz w:val="18"/>
          <w:szCs w:val="18"/>
          <w:color w:val="auto"/>
        </w:rPr>
        <w:t>(ASU 2016-01). ASU 2016-01 enhances the reporting model for financial instruments,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amendments to address aspects of recognition, measurement, presentation and disclosure of financial instruments. In February 2018, the FASB issued ASU 2018-03</w:t>
      </w:r>
      <w:r>
        <w:rPr>
          <w:rFonts w:ascii="Arial" w:cs="Arial" w:eastAsia="Arial" w:hAnsi="Arial"/>
          <w:sz w:val="18"/>
          <w:szCs w:val="18"/>
          <w:i w:val="1"/>
          <w:iCs w:val="1"/>
          <w:color w:val="auto"/>
        </w:rPr>
        <w:t>, Technical Corrections and Improvements to Financial Instruments—Overall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and Measurement of Financial Assets and Financial Liabilities </w:t>
      </w:r>
      <w:r>
        <w:rPr>
          <w:rFonts w:ascii="Arial" w:cs="Arial" w:eastAsia="Arial" w:hAnsi="Arial"/>
          <w:sz w:val="18"/>
          <w:szCs w:val="18"/>
          <w:color w:val="auto"/>
        </w:rPr>
        <w:t>(ASC 2018-03). The adoption of this guidance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did not have an impact on the Company’s consolidated financial statements.</w:t>
      </w:r>
    </w:p>
    <w:p>
      <w:pPr>
        <w:spacing w:after="0" w:line="87" w:lineRule="exact"/>
        <w:rPr>
          <w:sz w:val="20"/>
          <w:szCs w:val="20"/>
          <w:color w:val="auto"/>
        </w:rPr>
      </w:pPr>
    </w:p>
    <w:p>
      <w:pPr>
        <w:ind w:left="200" w:right="20"/>
        <w:spacing w:after="0" w:line="272"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Stock Compensation—Improvements to Employee Share-Based Payment Accounting</w:t>
      </w:r>
      <w:r>
        <w:rPr>
          <w:rFonts w:ascii="Arial" w:cs="Arial" w:eastAsia="Arial" w:hAnsi="Arial"/>
          <w:sz w:val="16"/>
          <w:szCs w:val="16"/>
          <w:color w:val="auto"/>
        </w:rPr>
        <w:t xml:space="preserve"> (ASU 2016-09). ASU 2016-09 was issued to simplify accounting guidance by identifying, evaluating, and improving areas for which cost and complexity can be reduced while maintaining or improving the usefulness of the information provided to users of financial statements. The areas affected by ASU 2016-09 include accounting for income taxes, classification of excess tax benefits on the statement of cash flows, minimum statutory tax withholding requirements, and classification of employee taxes paid on the statement of cash flows when an employer withholds shares for tax-withholding purposes. In addition, under this guidance, an entity can make an accounting policy election to either estimate the number of awards that are expected to vest or account for forfeitures when they occur. The adoption of this guidance during the year ended December 31, 2017 did not have a material impact on the Company’s consolidated financial statements.</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240" w:top="460" w:right="5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In August 2016, the FASB issued ASU No. 2016-18, </w:t>
      </w:r>
      <w:r>
        <w:rPr>
          <w:rFonts w:ascii="Arial" w:cs="Arial" w:eastAsia="Arial" w:hAnsi="Arial"/>
          <w:sz w:val="18"/>
          <w:szCs w:val="18"/>
          <w:i w:val="1"/>
          <w:iCs w:val="1"/>
          <w:color w:val="auto"/>
        </w:rPr>
        <w:t>Restricted Cash, Statement of Cash Flows (Topic 230): Restricted</w:t>
      </w:r>
    </w:p>
    <w:p>
      <w:pPr>
        <w:spacing w:after="0" w:line="1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ASU 2016-18 requires that a statement of cash flows explain the change during the period in the total of cash,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The adoption of this guidance during the year ended December 31, 2018 did not have a material impact on the Company’s consolidated financial statements.</w:t>
      </w:r>
    </w:p>
    <w:p>
      <w:pPr>
        <w:spacing w:after="0" w:line="85"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(ASU 2017-04). ASU 2017-04 simplifies the measurement of goodwill by eliminating step two of the two-step impairment test.</w:t>
      </w:r>
      <w:r>
        <w:rPr>
          <w:rFonts w:ascii="Arial" w:cs="Arial" w:eastAsia="Arial" w:hAnsi="Arial"/>
          <w:sz w:val="18"/>
          <w:szCs w:val="18"/>
          <w:i w:val="1"/>
          <w:iCs w:val="1"/>
          <w:color w:val="auto"/>
        </w:rPr>
        <w:t xml:space="preserve"> </w:t>
      </w:r>
      <w:r>
        <w:rPr>
          <w:rFonts w:ascii="Arial" w:cs="Arial" w:eastAsia="Arial" w:hAnsi="Arial"/>
          <w:sz w:val="18"/>
          <w:szCs w:val="18"/>
          <w:color w:val="auto"/>
        </w:rPr>
        <w:t>Step two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early adoption of this guidance during the year ended December 31, 2018 did not have an impact on the Company’s consolidated financial statements.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provides accounting guidance for both lessee and lessor accounting models. The principle of ASU 2016-02 is that a lessee should recognize the assets and liabilities that arise from leases. Lessees will need to recognize a right-of-use asset and a lease liability for virtually all of their leases (other than leases that meet the definition of a short-term lease). The liability will be equal to the present value of lease payments. The asset will be based on the liability. For income statement purposes, ASU 2016-02 requires leases to be classified as either operating or finance. Operating leases will result in straight-line expense while finance leases will result in a front-loaded expense pattern. ASU 2016-02 is applicable to the Company for the fiscal year beginning after December 15, 2019, and interim periods within fiscal years beginning after December 15, 2020. Early adoption is permitted. In July 2018, the FASB issued supplemental adoption guidance and clarification to ASC 842 within ASU 2018-10, </w:t>
      </w:r>
      <w:r>
        <w:rPr>
          <w:rFonts w:ascii="Arial" w:cs="Arial" w:eastAsia="Arial" w:hAnsi="Arial"/>
          <w:sz w:val="18"/>
          <w:szCs w:val="18"/>
          <w:i w:val="1"/>
          <w:iCs w:val="1"/>
          <w:color w:val="auto"/>
        </w:rPr>
        <w:t>Codification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 Leases</w:t>
      </w:r>
      <w:r>
        <w:rPr>
          <w:rFonts w:ascii="Arial" w:cs="Arial" w:eastAsia="Arial" w:hAnsi="Arial"/>
          <w:sz w:val="18"/>
          <w:szCs w:val="18"/>
          <w:color w:val="auto"/>
        </w:rPr>
        <w:t>, ASU 2018-11,</w:t>
      </w:r>
      <w:r>
        <w:rPr>
          <w:rFonts w:ascii="Arial" w:cs="Arial" w:eastAsia="Arial" w:hAnsi="Arial"/>
          <w:sz w:val="18"/>
          <w:szCs w:val="18"/>
          <w:i w:val="1"/>
          <w:iCs w:val="1"/>
          <w:color w:val="auto"/>
        </w:rPr>
        <w:t xml:space="preserve"> Leases (Topic 842): Targeted Improvements </w:t>
      </w:r>
      <w:r>
        <w:rPr>
          <w:rFonts w:ascii="Arial" w:cs="Arial" w:eastAsia="Arial" w:hAnsi="Arial"/>
          <w:sz w:val="18"/>
          <w:szCs w:val="18"/>
          <w:color w:val="auto"/>
        </w:rPr>
        <w:t>and ASU 2019-01,</w:t>
      </w:r>
      <w:r>
        <w:rPr>
          <w:rFonts w:ascii="Arial" w:cs="Arial" w:eastAsia="Arial" w:hAnsi="Arial"/>
          <w:sz w:val="18"/>
          <w:szCs w:val="18"/>
          <w:i w:val="1"/>
          <w:iCs w:val="1"/>
          <w:color w:val="auto"/>
        </w:rPr>
        <w:t xml:space="preserve"> Leases (Topic 842): Codification Improvements. </w:t>
      </w:r>
      <w:r>
        <w:rPr>
          <w:rFonts w:ascii="Arial" w:cs="Arial" w:eastAsia="Arial" w:hAnsi="Arial"/>
          <w:sz w:val="18"/>
          <w:szCs w:val="18"/>
          <w:color w:val="auto"/>
        </w:rPr>
        <w:t>ASU 2018-11 provides another transition method in addition to the existing modified retrospective transition method by</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entities to initially apply the new leasing standard at the adoption date and recognize a cumulative-effect adjustment to the opening balance of retained earnings in the period of adoption. The Company plans to adopt these ASUs on January 1, 2020. While the Company continues to review its current accounting policies and practices to identify potential differences that would result from applying the new guidance, the Company currently believes the most significant changes will be related to the recognition of new right-of-use assets and lease liabilities in the Company’s consolidated balance sheet for operating leases. The Company expects to elect transitional practical expedients such that the Company will not need to reassess whether contracts are leases and will retain lease classification and initial direct costs for leases existing prior to the adoption of the new lease standard.</w:t>
      </w:r>
    </w:p>
    <w:p>
      <w:pPr>
        <w:spacing w:after="0" w:line="92" w:lineRule="exact"/>
        <w:rPr>
          <w:sz w:val="20"/>
          <w:szCs w:val="20"/>
          <w:color w:val="auto"/>
        </w:rPr>
      </w:pPr>
    </w:p>
    <w:p>
      <w:pPr>
        <w:ind w:left="200" w:right="120"/>
        <w:spacing w:after="0" w:line="241"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requires the measurement and recognition of expected credit losses for financial assets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 xml:space="preserve">will result in earlier recognition of credit losses. In November 2018, the FASB issued ASU No. 2018-19, </w:t>
      </w:r>
      <w:r>
        <w:rPr>
          <w:rFonts w:ascii="Arial" w:cs="Arial" w:eastAsia="Arial" w:hAnsi="Arial"/>
          <w:sz w:val="18"/>
          <w:szCs w:val="18"/>
          <w:i w:val="1"/>
          <w:iCs w:val="1"/>
          <w:color w:val="auto"/>
        </w:rPr>
        <w:t>Codification Improvements to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326, Financial Instruments—Credit Losses </w:t>
      </w:r>
      <w:r>
        <w:rPr>
          <w:rFonts w:ascii="Arial" w:cs="Arial" w:eastAsia="Arial" w:hAnsi="Arial"/>
          <w:sz w:val="18"/>
          <w:szCs w:val="18"/>
          <w:color w:val="auto"/>
        </w:rPr>
        <w:t>(ASU 2018-19) which narrowed the scope and changed the effective date for non-public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ASU 2016-13. The FASB subsequently issued supplemental guidance within ASU No. 2019-05,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326): Targeted Transition Relief </w:t>
      </w:r>
      <w:r>
        <w:rPr>
          <w:rFonts w:ascii="Arial" w:cs="Arial" w:eastAsia="Arial" w:hAnsi="Arial"/>
          <w:sz w:val="18"/>
          <w:szCs w:val="18"/>
          <w:color w:val="auto"/>
        </w:rPr>
        <w:t>(ASU 2019-05). ASU 2019-05 provides an option to irrevocably elect the fair value option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previously measured at amortized cost basis. ASU 2016-13 is applicable to the Company for the fiscal year beginning after December 15, 2021. Early adoption is permitted. The Company is currently evaluating the impact the adoption of these ASUs will have on its consolidated financial statements and related disclosures.</w:t>
      </w:r>
    </w:p>
    <w:p>
      <w:pPr>
        <w:spacing w:after="0" w:line="8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 xml:space="preserve">Compensation—Stock Compensation (Topic 718): Improvements to Nonemployee Share-Based Payment Accounting </w:t>
      </w:r>
      <w:r>
        <w:rPr>
          <w:rFonts w:ascii="Arial" w:cs="Arial" w:eastAsia="Arial" w:hAnsi="Arial"/>
          <w:sz w:val="18"/>
          <w:szCs w:val="18"/>
          <w:color w:val="auto"/>
        </w:rPr>
        <w:t>(ASU 2018-07). ASU 2018-07 simplifies the accounting for share-based payments to nonemployees by aligning it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accounting for share-based payments to employees, with certain exceptions. ASU 2018-07 is applicable to the Company for the fiscal year beginning after December 15, 2019, and interim periods within fiscal years beginning after December 15, 2020. Early adoption is permitted. The Company is currently evaluating the impact the adoption of this ASU will have on its consolidated financial statements and related disclosures.</w:t>
      </w:r>
    </w:p>
    <w:p>
      <w:pPr>
        <w:spacing w:after="0" w:line="87" w:lineRule="exact"/>
        <w:rPr>
          <w:sz w:val="20"/>
          <w:szCs w:val="20"/>
          <w:color w:val="auto"/>
        </w:rPr>
      </w:pPr>
    </w:p>
    <w:p>
      <w:pPr>
        <w:ind w:left="200" w:right="140"/>
        <w:spacing w:after="0" w:line="241"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w:t>
      </w:r>
      <w:r>
        <w:rPr>
          <w:rFonts w:ascii="Arial" w:cs="Arial" w:eastAsia="Arial" w:hAnsi="Arial"/>
          <w:sz w:val="18"/>
          <w:szCs w:val="18"/>
          <w:color w:val="auto"/>
        </w:rPr>
        <w:t xml:space="preserve"> (ASU 2018-13). ASU 2018-13 is part of a broader disclosure framework project by the FASB to improve the effectiveness of disclosures by more clearly communicating the information to the user. ASU 2018-13 is applicable to the Company for the fiscal year beginning after December 15, 2019. Early adoption is permitted. The Company is currently evaluating the impact the adoption of this ASU will have on its consolidated financial statement disclosures.</w:t>
      </w:r>
    </w:p>
    <w:p>
      <w:pPr>
        <w:spacing w:after="0" w:line="82"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aligns the requirements for capitalizing implementation costs incurred in a cloud computing arrangement that is a service contract with the requirements for capitalizing implementation costs incurred to develop or obtain internal-use-software. This ASU is effective for the Company for the fiscal year beginning after December 31, 2020, and interim periods within fiscal years beginning after December 31, 2021. The Company is currently evaluating the impact of this ASU on the Company’s consolidated financial statements.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3. Fair value measurements</w:t>
      </w:r>
    </w:p>
    <w:p>
      <w:pPr>
        <w:spacing w:after="0" w:line="134"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The following table presents information about the Company’s financial assets that are measured at fair value and indicates the fair value hierarchy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December 31, 2017</w:t>
            </w: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7"/>
              </w:rPr>
              <w:t>Total</w:t>
            </w: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Level 1</w:t>
            </w: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Level 2</w:t>
            </w:r>
          </w:p>
        </w:tc>
        <w:tc>
          <w:tcPr>
            <w:tcW w:w="9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Level 3</w:t>
            </w:r>
          </w:p>
        </w:tc>
      </w:tr>
      <w:tr>
        <w:trPr>
          <w:trHeight w:val="226"/>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98"/>
              </w:rPr>
              <w:t>(in thousands)</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4540" w:type="dxa"/>
            <w:vAlign w:val="bottom"/>
            <w:gridSpan w:val="2"/>
          </w:tcPr>
          <w:p>
            <w:pPr>
              <w:spacing w:after="0"/>
              <w:rPr>
                <w:sz w:val="3"/>
                <w:szCs w:val="3"/>
                <w:color w:val="auto"/>
              </w:rPr>
            </w:pPr>
          </w:p>
        </w:tc>
        <w:tc>
          <w:tcPr>
            <w:tcW w:w="2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funds(1)</w:t>
            </w:r>
          </w:p>
        </w:tc>
        <w:tc>
          <w:tcPr>
            <w:tcW w:w="3500" w:type="dxa"/>
            <w:vAlign w:val="bottom"/>
            <w:gridSpan w:val="2"/>
            <w:shd w:val="clear" w:color="auto" w:fill="CCEEFF"/>
          </w:tcPr>
          <w:p>
            <w:pPr>
              <w:jc w:val="center"/>
              <w:ind w:left="2392"/>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9,054</w:t>
            </w:r>
          </w:p>
        </w:tc>
        <w:tc>
          <w:tcPr>
            <w:tcW w:w="1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$ 9,054</w:t>
            </w:r>
          </w:p>
        </w:tc>
        <w:tc>
          <w:tcPr>
            <w:tcW w:w="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Total</w:t>
            </w:r>
          </w:p>
        </w:tc>
        <w:tc>
          <w:tcPr>
            <w:tcW w:w="3500" w:type="dxa"/>
            <w:vAlign w:val="bottom"/>
            <w:gridSpan w:val="2"/>
          </w:tcPr>
          <w:p>
            <w:pPr>
              <w:jc w:val="center"/>
              <w:ind w:left="2392"/>
              <w:spacing w:after="0"/>
              <w:rPr>
                <w:sz w:val="20"/>
                <w:szCs w:val="20"/>
                <w:color w:val="auto"/>
              </w:rPr>
            </w:pPr>
            <w:r>
              <w:rPr>
                <w:rFonts w:ascii="Arial" w:cs="Arial" w:eastAsia="Arial" w:hAnsi="Arial"/>
                <w:sz w:val="18"/>
                <w:szCs w:val="18"/>
                <w:color w:val="auto"/>
                <w:w w:val="98"/>
              </w:rPr>
              <w:t>$9,054</w:t>
            </w:r>
          </w:p>
        </w:tc>
        <w:tc>
          <w:tcPr>
            <w:tcW w:w="1040" w:type="dxa"/>
            <w:vAlign w:val="bottom"/>
          </w:tcPr>
          <w:p>
            <w:pPr>
              <w:ind w:left="220"/>
              <w:spacing w:after="0"/>
              <w:rPr>
                <w:sz w:val="20"/>
                <w:szCs w:val="20"/>
                <w:color w:val="auto"/>
              </w:rPr>
            </w:pPr>
            <w:r>
              <w:rPr>
                <w:rFonts w:ascii="Arial" w:cs="Arial" w:eastAsia="Arial" w:hAnsi="Arial"/>
                <w:sz w:val="18"/>
                <w:szCs w:val="18"/>
                <w:color w:val="auto"/>
              </w:rPr>
              <w:t>$ 9,054</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123"/>
        </w:trPr>
        <w:tc>
          <w:tcPr>
            <w:tcW w:w="20" w:type="dxa"/>
            <w:vAlign w:val="bottom"/>
          </w:tcPr>
          <w:p>
            <w:pPr>
              <w:spacing w:after="0"/>
              <w:rPr>
                <w:sz w:val="10"/>
                <w:szCs w:val="10"/>
                <w:color w:val="auto"/>
              </w:rPr>
            </w:pPr>
          </w:p>
        </w:tc>
        <w:tc>
          <w:tcPr>
            <w:tcW w:w="4520" w:type="dxa"/>
            <w:vAlign w:val="bottom"/>
            <w:tcBorders>
              <w:top w:val="single" w:sz="8" w:color="auto"/>
              <w:bottom w:val="single" w:sz="8" w:color="auto"/>
            </w:tcBorders>
          </w:tcPr>
          <w:p>
            <w:pPr>
              <w:spacing w:after="0"/>
              <w:rPr>
                <w:sz w:val="10"/>
                <w:szCs w:val="10"/>
                <w:color w:val="auto"/>
              </w:rPr>
            </w:pPr>
          </w:p>
        </w:tc>
        <w:tc>
          <w:tcPr>
            <w:tcW w:w="272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December 31, 2018</w:t>
            </w: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Level 1</w:t>
            </w:r>
          </w:p>
        </w:tc>
        <w:tc>
          <w:tcPr>
            <w:tcW w:w="9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Level 2</w:t>
            </w:r>
          </w:p>
        </w:tc>
        <w:tc>
          <w:tcPr>
            <w:tcW w:w="8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26"/>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4460" w:type="dxa"/>
            <w:vAlign w:val="bottom"/>
            <w:gridSpan w:val="2"/>
          </w:tcPr>
          <w:p>
            <w:pPr>
              <w:spacing w:after="0"/>
              <w:rPr>
                <w:sz w:val="3"/>
                <w:szCs w:val="3"/>
                <w:color w:val="auto"/>
              </w:rPr>
            </w:pPr>
          </w:p>
        </w:tc>
        <w:tc>
          <w:tcPr>
            <w:tcW w:w="2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funds(1)</w:t>
            </w:r>
          </w:p>
        </w:tc>
        <w:tc>
          <w:tcPr>
            <w:tcW w:w="3760" w:type="dxa"/>
            <w:vAlign w:val="bottom"/>
            <w:gridSpan w:val="2"/>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$69,353</w:t>
            </w: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$69,353</w:t>
            </w:r>
          </w:p>
        </w:tc>
        <w:tc>
          <w:tcPr>
            <w:tcW w:w="6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7"/>
        </w:trPr>
        <w:tc>
          <w:tcPr>
            <w:tcW w:w="4460" w:type="dxa"/>
            <w:vAlign w:val="bottom"/>
            <w:gridSpan w:val="2"/>
          </w:tcPr>
          <w:p>
            <w:pPr>
              <w:spacing w:after="0"/>
              <w:rPr>
                <w:sz w:val="20"/>
                <w:szCs w:val="20"/>
                <w:color w:val="auto"/>
              </w:rPr>
            </w:pPr>
            <w:r>
              <w:rPr>
                <w:rFonts w:ascii="Arial" w:cs="Arial" w:eastAsia="Arial" w:hAnsi="Arial"/>
                <w:sz w:val="18"/>
                <w:szCs w:val="18"/>
                <w:color w:val="auto"/>
              </w:rPr>
              <w:t>Contingently returnable consideration asset(2)</w:t>
            </w:r>
          </w:p>
        </w:tc>
        <w:tc>
          <w:tcPr>
            <w:tcW w:w="2960" w:type="dxa"/>
            <w:vAlign w:val="bottom"/>
          </w:tcPr>
          <w:p>
            <w:pPr>
              <w:spacing w:after="0"/>
              <w:rPr>
                <w:sz w:val="24"/>
                <w:szCs w:val="2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310</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3760" w:type="dxa"/>
            <w:vAlign w:val="bottom"/>
            <w:gridSpan w:val="2"/>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$69,663</w:t>
            </w: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$69,353</w:t>
            </w:r>
          </w:p>
        </w:tc>
        <w:tc>
          <w:tcPr>
            <w:tcW w:w="6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760" w:type="dxa"/>
            <w:vAlign w:val="bottom"/>
            <w:gridSpan w:val="2"/>
          </w:tcPr>
          <w:p>
            <w:pPr>
              <w:jc w:val="right"/>
              <w:ind w:right="2432"/>
              <w:spacing w:after="0"/>
              <w:rPr>
                <w:sz w:val="20"/>
                <w:szCs w:val="20"/>
                <w:color w:val="auto"/>
              </w:rPr>
            </w:pPr>
            <w:r>
              <w:rPr>
                <w:rFonts w:ascii="Arial" w:cs="Arial" w:eastAsia="Arial" w:hAnsi="Arial"/>
                <w:sz w:val="18"/>
                <w:szCs w:val="18"/>
                <w:color w:val="auto"/>
              </w:rPr>
              <w:t>F-16</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hanging="316"/>
        <w:spacing w:after="0"/>
        <w:tabs>
          <w:tab w:leader="none" w:pos="5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Included in cash and cash equivalents on the consolidated balance sheets.</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Included in prepaid expenses and other current assets on the consolidated balance sheets.</w:t>
      </w:r>
    </w:p>
    <w:p>
      <w:pPr>
        <w:spacing w:after="0" w:line="45"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Money market funds are measured at fair value on a recurring basis using quoted prices. The contingently returnable consideration asset relates to the fair value of the Warp Drive acquisition holdback, which was determined using an income-based approach. The key assumptions in determining the fair value are the discount rate and the probability assigned to the potential holdback. There were no transfers between Levels 1, 2 or 3 for any of the periods presented. There were no changes in the fair value of the contingently returnable consideration asset between the date of the Warp Drive acquisition and December 31, 2018.</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4. Consolidated balance sheet components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net consists of the following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gridSpan w:val="2"/>
          </w:tcPr>
          <w:p>
            <w:pPr>
              <w:jc w:val="center"/>
              <w:ind w:left="352"/>
              <w:spacing w:after="0"/>
              <w:rPr>
                <w:sz w:val="20"/>
                <w:szCs w:val="20"/>
                <w:color w:val="auto"/>
              </w:rPr>
            </w:pPr>
            <w:r>
              <w:rPr>
                <w:rFonts w:ascii="Arial" w:cs="Arial" w:eastAsia="Arial" w:hAnsi="Arial"/>
                <w:sz w:val="18"/>
                <w:szCs w:val="18"/>
                <w:b w:val="1"/>
                <w:bCs w:val="1"/>
                <w:color w:val="auto"/>
                <w:w w:val="96"/>
              </w:rPr>
              <w:t>Weighted-</w:t>
            </w: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gridSpan w:val="2"/>
          </w:tcPr>
          <w:p>
            <w:pPr>
              <w:jc w:val="center"/>
              <w:ind w:left="372"/>
              <w:spacing w:after="0" w:line="202" w:lineRule="exact"/>
              <w:rPr>
                <w:sz w:val="20"/>
                <w:szCs w:val="20"/>
                <w:color w:val="auto"/>
              </w:rPr>
            </w:pPr>
            <w:r>
              <w:rPr>
                <w:rFonts w:ascii="Arial" w:cs="Arial" w:eastAsia="Arial" w:hAnsi="Arial"/>
                <w:sz w:val="18"/>
                <w:szCs w:val="18"/>
                <w:b w:val="1"/>
                <w:bCs w:val="1"/>
                <w:color w:val="auto"/>
                <w:w w:val="96"/>
              </w:rPr>
              <w:t>average</w:t>
            </w: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auto"/>
              </w:rPr>
              <w:t>Accumulated</w:t>
            </w:r>
          </w:p>
        </w:tc>
        <w:tc>
          <w:tcPr>
            <w:tcW w:w="460" w:type="dxa"/>
            <w:vAlign w:val="bottom"/>
          </w:tcPr>
          <w:p>
            <w:pPr>
              <w:spacing w:after="0"/>
              <w:rPr>
                <w:sz w:val="17"/>
                <w:szCs w:val="17"/>
                <w:color w:val="auto"/>
              </w:rPr>
            </w:pPr>
          </w:p>
        </w:tc>
        <w:tc>
          <w:tcPr>
            <w:tcW w:w="7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Net</w:t>
            </w:r>
          </w:p>
        </w:tc>
        <w:tc>
          <w:tcPr>
            <w:tcW w:w="1440" w:type="dxa"/>
            <w:vAlign w:val="bottom"/>
            <w:gridSpan w:val="2"/>
          </w:tcPr>
          <w:p>
            <w:pPr>
              <w:jc w:val="center"/>
              <w:ind w:left="352"/>
              <w:spacing w:after="0" w:line="202" w:lineRule="exact"/>
              <w:rPr>
                <w:sz w:val="20"/>
                <w:szCs w:val="20"/>
                <w:color w:val="auto"/>
              </w:rPr>
            </w:pPr>
            <w:r>
              <w:rPr>
                <w:rFonts w:ascii="Arial" w:cs="Arial" w:eastAsia="Arial" w:hAnsi="Arial"/>
                <w:sz w:val="18"/>
                <w:szCs w:val="18"/>
                <w:b w:val="1"/>
                <w:bCs w:val="1"/>
                <w:color w:val="auto"/>
                <w:w w:val="97"/>
              </w:rPr>
              <w:t>remaining</w:t>
            </w:r>
          </w:p>
        </w:tc>
      </w:tr>
      <w:tr>
        <w:trPr>
          <w:trHeight w:val="221"/>
        </w:trPr>
        <w:tc>
          <w:tcPr>
            <w:tcW w:w="20" w:type="dxa"/>
            <w:vAlign w:val="bottom"/>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Gross value</w:t>
            </w: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amortization</w:t>
            </w:r>
          </w:p>
        </w:tc>
        <w:tc>
          <w:tcPr>
            <w:tcW w:w="11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95"/>
              </w:rPr>
              <w:t>book value</w:t>
            </w:r>
          </w:p>
        </w:tc>
        <w:tc>
          <w:tcPr>
            <w:tcW w:w="144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18"/>
                <w:szCs w:val="18"/>
                <w:b w:val="1"/>
                <w:bCs w:val="1"/>
                <w:color w:val="auto"/>
                <w:w w:val="97"/>
              </w:rPr>
              <w:t>useful life</w:t>
            </w: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96"/>
              </w:rPr>
              <w:t>(in thousands)</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gridSpan w:val="2"/>
          </w:tcPr>
          <w:p>
            <w:pPr>
              <w:jc w:val="center"/>
              <w:ind w:left="372"/>
              <w:spacing w:after="0" w:line="196" w:lineRule="exact"/>
              <w:rPr>
                <w:sz w:val="20"/>
                <w:szCs w:val="20"/>
                <w:color w:val="auto"/>
              </w:rPr>
            </w:pPr>
            <w:r>
              <w:rPr>
                <w:rFonts w:ascii="Arial" w:cs="Arial" w:eastAsia="Arial" w:hAnsi="Arial"/>
                <w:sz w:val="18"/>
                <w:szCs w:val="18"/>
                <w:b w:val="1"/>
                <w:bCs w:val="1"/>
                <w:color w:val="auto"/>
                <w:w w:val="97"/>
              </w:rPr>
              <w:t>(in years)</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8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55,800</w:t>
            </w:r>
          </w:p>
        </w:tc>
        <w:tc>
          <w:tcPr>
            <w:tcW w:w="7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55,800</w:t>
            </w:r>
          </w:p>
        </w:tc>
        <w:tc>
          <w:tcPr>
            <w:tcW w:w="1440" w:type="dxa"/>
            <w:vAlign w:val="bottom"/>
            <w:gridSpan w:val="2"/>
            <w:shd w:val="clear" w:color="auto" w:fill="CCEEFF"/>
          </w:tcPr>
          <w:p>
            <w:pPr>
              <w:ind w:left="1120"/>
              <w:spacing w:after="0" w:line="202" w:lineRule="exact"/>
              <w:rPr>
                <w:sz w:val="20"/>
                <w:szCs w:val="20"/>
                <w:color w:val="auto"/>
              </w:rPr>
            </w:pPr>
            <w:r>
              <w:rPr>
                <w:rFonts w:ascii="Arial" w:cs="Arial" w:eastAsia="Arial" w:hAnsi="Arial"/>
                <w:sz w:val="18"/>
                <w:szCs w:val="18"/>
                <w:color w:val="auto"/>
              </w:rPr>
              <w:t>n/a</w:t>
            </w:r>
          </w:p>
        </w:tc>
      </w:tr>
      <w:tr>
        <w:trPr>
          <w:trHeight w:val="210"/>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Developed technology—tri-complex platform</w:t>
            </w: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7,480</w:t>
            </w: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(198)</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7,282</w:t>
            </w:r>
          </w:p>
        </w:tc>
        <w:tc>
          <w:tcPr>
            <w:tcW w:w="1380" w:type="dxa"/>
            <w:vAlign w:val="bottom"/>
          </w:tcPr>
          <w:p>
            <w:pPr>
              <w:ind w:left="1120"/>
              <w:spacing w:after="0" w:line="202" w:lineRule="exact"/>
              <w:rPr>
                <w:sz w:val="20"/>
                <w:szCs w:val="20"/>
                <w:color w:val="auto"/>
              </w:rPr>
            </w:pPr>
            <w:r>
              <w:rPr>
                <w:rFonts w:ascii="Arial" w:cs="Arial" w:eastAsia="Arial" w:hAnsi="Arial"/>
                <w:sz w:val="18"/>
                <w:szCs w:val="18"/>
                <w:color w:val="auto"/>
                <w:w w:val="95"/>
              </w:rPr>
              <w:t>6.8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63,280</w:t>
            </w:r>
          </w:p>
        </w:tc>
        <w:tc>
          <w:tcPr>
            <w:tcW w:w="7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(198)</w:t>
            </w:r>
          </w:p>
        </w:tc>
        <w:tc>
          <w:tcPr>
            <w:tcW w:w="4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63,082</w:t>
            </w: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The Company had no intangible assets as of December 31, 2017. See Note 7, “Acquisition of Warp Drive,” for a description of the assets acquired as part of the Warp Drive acquisition. Amortization expense for the year ended December 31, 2018 was $0.2 million. There was no amortization expense for the year ended December 31, 2017.</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expected future amortization related to intangible assets as of December 31,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196"/>
        </w:trPr>
        <w:tc>
          <w:tcPr>
            <w:tcW w:w="20" w:type="dxa"/>
            <w:vAlign w:val="bottom"/>
          </w:tcPr>
          <w:p>
            <w:pPr>
              <w:spacing w:after="0"/>
              <w:rPr>
                <w:sz w:val="17"/>
                <w:szCs w:val="17"/>
                <w:color w:val="auto"/>
              </w:rPr>
            </w:pPr>
          </w:p>
        </w:tc>
        <w:tc>
          <w:tcPr>
            <w:tcW w:w="3960" w:type="dxa"/>
            <w:vAlign w:val="bottom"/>
            <w:tcBorders>
              <w:top w:val="single" w:sz="8" w:color="auto"/>
            </w:tcBorders>
          </w:tcPr>
          <w:p>
            <w:pPr>
              <w:spacing w:after="0"/>
              <w:rPr>
                <w:sz w:val="17"/>
                <w:szCs w:val="17"/>
                <w:color w:val="auto"/>
              </w:rPr>
            </w:pPr>
          </w:p>
        </w:tc>
        <w:tc>
          <w:tcPr>
            <w:tcW w:w="4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4"/>
          </w:tcPr>
          <w:p>
            <w:pPr>
              <w:ind w:left="4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jc w:val="right"/>
              <w:ind w:right="3492"/>
              <w:spacing w:after="0" w:line="202" w:lineRule="exact"/>
              <w:rPr>
                <w:sz w:val="20"/>
                <w:szCs w:val="20"/>
                <w:color w:val="auto"/>
              </w:rPr>
            </w:pPr>
            <w:r>
              <w:rPr>
                <w:rFonts w:ascii="Arial" w:cs="Arial" w:eastAsia="Arial" w:hAnsi="Arial"/>
                <w:sz w:val="18"/>
                <w:szCs w:val="18"/>
                <w:color w:val="auto"/>
                <w:w w:val="89"/>
              </w:rPr>
              <w:t>2019</w:t>
            </w: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7"/>
                <w:szCs w:val="17"/>
                <w:color w:val="auto"/>
              </w:rPr>
            </w:pPr>
          </w:p>
        </w:tc>
      </w:tr>
      <w:tr>
        <w:trPr>
          <w:trHeight w:val="203"/>
        </w:trPr>
        <w:tc>
          <w:tcPr>
            <w:tcW w:w="3980" w:type="dxa"/>
            <w:vAlign w:val="bottom"/>
            <w:gridSpan w:val="2"/>
          </w:tcPr>
          <w:p>
            <w:pPr>
              <w:jc w:val="right"/>
              <w:ind w:right="3492"/>
              <w:spacing w:after="0" w:line="202" w:lineRule="exact"/>
              <w:rPr>
                <w:sz w:val="20"/>
                <w:szCs w:val="20"/>
                <w:color w:val="auto"/>
              </w:rPr>
            </w:pPr>
            <w:r>
              <w:rPr>
                <w:rFonts w:ascii="Arial" w:cs="Arial" w:eastAsia="Arial" w:hAnsi="Arial"/>
                <w:sz w:val="18"/>
                <w:szCs w:val="18"/>
                <w:color w:val="auto"/>
                <w:w w:val="94"/>
              </w:rPr>
              <w:t>2020</w:t>
            </w: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jc w:val="right"/>
              <w:ind w:right="3492"/>
              <w:spacing w:after="0" w:line="202" w:lineRule="exact"/>
              <w:rPr>
                <w:sz w:val="20"/>
                <w:szCs w:val="20"/>
                <w:color w:val="auto"/>
              </w:rPr>
            </w:pPr>
            <w:r>
              <w:rPr>
                <w:rFonts w:ascii="Arial" w:cs="Arial" w:eastAsia="Arial" w:hAnsi="Arial"/>
                <w:sz w:val="18"/>
                <w:szCs w:val="18"/>
                <w:color w:val="auto"/>
                <w:w w:val="89"/>
              </w:rPr>
              <w:t>2021</w:t>
            </w: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7"/>
                <w:szCs w:val="17"/>
                <w:color w:val="auto"/>
              </w:rPr>
            </w:pPr>
          </w:p>
        </w:tc>
      </w:tr>
      <w:tr>
        <w:trPr>
          <w:trHeight w:val="203"/>
        </w:trPr>
        <w:tc>
          <w:tcPr>
            <w:tcW w:w="3980" w:type="dxa"/>
            <w:vAlign w:val="bottom"/>
            <w:gridSpan w:val="2"/>
          </w:tcPr>
          <w:p>
            <w:pPr>
              <w:jc w:val="right"/>
              <w:ind w:right="3492"/>
              <w:spacing w:after="0" w:line="202" w:lineRule="exact"/>
              <w:rPr>
                <w:sz w:val="20"/>
                <w:szCs w:val="20"/>
                <w:color w:val="auto"/>
              </w:rPr>
            </w:pPr>
            <w:r>
              <w:rPr>
                <w:rFonts w:ascii="Arial" w:cs="Arial" w:eastAsia="Arial" w:hAnsi="Arial"/>
                <w:sz w:val="18"/>
                <w:szCs w:val="18"/>
                <w:color w:val="auto"/>
                <w:w w:val="94"/>
              </w:rPr>
              <w:t>2022</w:t>
            </w: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jc w:val="right"/>
              <w:ind w:right="3492"/>
              <w:spacing w:after="0" w:line="202" w:lineRule="exact"/>
              <w:rPr>
                <w:sz w:val="20"/>
                <w:szCs w:val="20"/>
                <w:color w:val="auto"/>
              </w:rPr>
            </w:pPr>
            <w:r>
              <w:rPr>
                <w:rFonts w:ascii="Arial" w:cs="Arial" w:eastAsia="Arial" w:hAnsi="Arial"/>
                <w:sz w:val="18"/>
                <w:szCs w:val="18"/>
                <w:color w:val="auto"/>
                <w:w w:val="89"/>
              </w:rPr>
              <w:t>2023</w:t>
            </w: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7"/>
                <w:szCs w:val="17"/>
                <w:color w:val="auto"/>
              </w:rPr>
            </w:pPr>
          </w:p>
        </w:tc>
      </w:tr>
      <w:tr>
        <w:trPr>
          <w:trHeight w:val="210"/>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1,937</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7,282</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7"/>
        </w:trPr>
        <w:tc>
          <w:tcPr>
            <w:tcW w:w="3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w:t>
            </w: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3980" w:type="dxa"/>
            <w:vAlign w:val="bottom"/>
            <w:gridSpan w:val="2"/>
          </w:tcPr>
          <w:p>
            <w:pPr>
              <w:spacing w:after="0"/>
              <w:rPr>
                <w:sz w:val="20"/>
                <w:szCs w:val="20"/>
                <w:color w:val="auto"/>
              </w:rPr>
            </w:pPr>
            <w:r>
              <w:rPr>
                <w:rFonts w:ascii="Arial" w:cs="Arial" w:eastAsia="Arial" w:hAnsi="Arial"/>
                <w:sz w:val="18"/>
                <w:szCs w:val="18"/>
                <w:color w:val="auto"/>
              </w:rPr>
              <w:t>Goodwill consists of the following:</w:t>
            </w: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gridSpan w:val="6"/>
          </w:tcPr>
          <w:p>
            <w:pPr>
              <w:spacing w:after="0"/>
              <w:rPr>
                <w:sz w:val="10"/>
                <w:szCs w:val="10"/>
                <w:color w:val="auto"/>
              </w:rPr>
            </w:pPr>
          </w:p>
        </w:tc>
      </w:tr>
      <w:tr>
        <w:trPr>
          <w:trHeight w:val="243"/>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7"/>
              </w:rPr>
              <w:t>Year ended December 31,</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2017</w:t>
            </w:r>
          </w:p>
        </w:tc>
        <w:tc>
          <w:tcPr>
            <w:tcW w:w="8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80" w:type="dxa"/>
            <w:vAlign w:val="bottom"/>
            <w:gridSpan w:val="5"/>
          </w:tcPr>
          <w:p>
            <w:pPr>
              <w:jc w:val="center"/>
              <w:ind w:right="760"/>
              <w:spacing w:after="0" w:line="196" w:lineRule="exact"/>
              <w:rPr>
                <w:sz w:val="20"/>
                <w:szCs w:val="20"/>
                <w:color w:val="auto"/>
              </w:rPr>
            </w:pPr>
            <w:r>
              <w:rPr>
                <w:rFonts w:ascii="Arial" w:cs="Arial" w:eastAsia="Arial" w:hAnsi="Arial"/>
                <w:sz w:val="18"/>
                <w:szCs w:val="18"/>
                <w:b w:val="1"/>
                <w:bCs w:val="1"/>
                <w:color w:val="auto"/>
                <w:w w:val="98"/>
              </w:rPr>
              <w:t>(in thousands)</w:t>
            </w: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4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88"/>
              </w:rPr>
              <w:t>—</w:t>
            </w:r>
          </w:p>
        </w:tc>
        <w:tc>
          <w:tcPr>
            <w:tcW w:w="10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Goodwill acquired (Note 7)</w:t>
            </w:r>
          </w:p>
        </w:tc>
        <w:tc>
          <w:tcPr>
            <w:tcW w:w="4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80"/>
              <w:spacing w:after="0" w:line="202" w:lineRule="exact"/>
              <w:rPr>
                <w:sz w:val="20"/>
                <w:szCs w:val="20"/>
                <w:color w:val="auto"/>
              </w:rPr>
            </w:pPr>
            <w:r>
              <w:rPr>
                <w:rFonts w:ascii="Arial" w:cs="Arial" w:eastAsia="Arial" w:hAnsi="Arial"/>
                <w:sz w:val="18"/>
                <w:szCs w:val="18"/>
                <w:color w:val="auto"/>
                <w:w w:val="88"/>
              </w:rPr>
              <w:t>—</w:t>
            </w:r>
          </w:p>
        </w:tc>
        <w:tc>
          <w:tcPr>
            <w:tcW w:w="8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4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88"/>
              </w:rPr>
              <w:t>—</w:t>
            </w:r>
          </w:p>
        </w:tc>
        <w:tc>
          <w:tcPr>
            <w:tcW w:w="10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320" w:type="dxa"/>
            <w:vAlign w:val="bottom"/>
            <w:gridSpan w:val="2"/>
          </w:tcPr>
          <w:p>
            <w:pPr>
              <w:jc w:val="right"/>
              <w:ind w:right="2600"/>
              <w:spacing w:after="0"/>
              <w:rPr>
                <w:sz w:val="20"/>
                <w:szCs w:val="20"/>
                <w:color w:val="auto"/>
              </w:rPr>
            </w:pPr>
            <w:r>
              <w:rPr>
                <w:rFonts w:ascii="Arial" w:cs="Arial" w:eastAsia="Arial" w:hAnsi="Arial"/>
                <w:sz w:val="18"/>
                <w:szCs w:val="18"/>
                <w:color w:val="auto"/>
              </w:rPr>
              <w:t>F-17</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78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900" w:type="dxa"/>
            <w:vAlign w:val="bottom"/>
            <w:gridSpan w:val="4"/>
          </w:tcPr>
          <w:p>
            <w:pPr>
              <w:jc w:val="right"/>
              <w:ind w:right="42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Laboratory equipment</w:t>
            </w:r>
          </w:p>
        </w:tc>
        <w:tc>
          <w:tcPr>
            <w:tcW w:w="356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$ 3,587</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6,181</w:t>
            </w:r>
          </w:p>
        </w:tc>
        <w:tc>
          <w:tcPr>
            <w:tcW w:w="120" w:type="dxa"/>
            <w:vAlign w:val="bottom"/>
            <w:shd w:val="clear" w:color="auto" w:fill="CCEEFF"/>
          </w:tcPr>
          <w:p>
            <w:pPr>
              <w:spacing w:after="0"/>
              <w:rPr>
                <w:sz w:val="17"/>
                <w:szCs w:val="17"/>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356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3,217</w:t>
            </w: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3,304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356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617</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7"/>
                <w:szCs w:val="17"/>
                <w:color w:val="auto"/>
              </w:rPr>
            </w:pPr>
          </w:p>
        </w:tc>
      </w:tr>
      <w:tr>
        <w:trPr>
          <w:trHeight w:val="210"/>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Furniture and fixtures</w:t>
            </w:r>
          </w:p>
        </w:tc>
        <w:tc>
          <w:tcPr>
            <w:tcW w:w="2660" w:type="dxa"/>
            <w:vAlign w:val="bottom"/>
          </w:tcPr>
          <w:p>
            <w:pPr>
              <w:spacing w:after="0"/>
              <w:rPr>
                <w:sz w:val="18"/>
                <w:szCs w:val="18"/>
                <w:color w:val="auto"/>
              </w:rPr>
            </w:pPr>
          </w:p>
        </w:tc>
        <w:tc>
          <w:tcPr>
            <w:tcW w:w="90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7,437</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10,495</w:t>
            </w:r>
          </w:p>
        </w:tc>
        <w:tc>
          <w:tcPr>
            <w:tcW w:w="120" w:type="dxa"/>
            <w:vAlign w:val="bottom"/>
            <w:shd w:val="clear" w:color="auto" w:fill="CCEEFF"/>
          </w:tcPr>
          <w:p>
            <w:pPr>
              <w:spacing w:after="0"/>
              <w:rPr>
                <w:sz w:val="17"/>
                <w:szCs w:val="17"/>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660" w:type="dxa"/>
            <w:vAlign w:val="bottom"/>
          </w:tcPr>
          <w:p>
            <w:pPr>
              <w:spacing w:after="0"/>
              <w:rPr>
                <w:sz w:val="17"/>
                <w:szCs w:val="17"/>
                <w:color w:val="auto"/>
              </w:rPr>
            </w:pPr>
          </w:p>
        </w:tc>
        <w:tc>
          <w:tcPr>
            <w:tcW w:w="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(2,184)</w:t>
            </w:r>
          </w:p>
        </w:tc>
        <w:tc>
          <w:tcPr>
            <w:tcW w:w="34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(3,623)</w:t>
            </w: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6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$ 5,253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6,872</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During the year ended December 31, 2018, the Company acquired $2.2 million of property and equipment as part of its acquisition of Warp Drive.</w:t>
      </w:r>
    </w:p>
    <w:p>
      <w:pPr>
        <w:spacing w:after="0" w:line="101" w:lineRule="exact"/>
        <w:rPr>
          <w:sz w:val="20"/>
          <w:szCs w:val="20"/>
          <w:color w:val="auto"/>
        </w:rPr>
      </w:pPr>
    </w:p>
    <w:p>
      <w:pPr>
        <w:ind w:left="200" w:right="1040"/>
        <w:spacing w:after="0" w:line="239" w:lineRule="auto"/>
        <w:rPr>
          <w:sz w:val="20"/>
          <w:szCs w:val="20"/>
          <w:color w:val="auto"/>
        </w:rPr>
      </w:pPr>
      <w:r>
        <w:rPr>
          <w:rFonts w:ascii="Arial" w:cs="Arial" w:eastAsia="Arial" w:hAnsi="Arial"/>
          <w:sz w:val="18"/>
          <w:szCs w:val="18"/>
          <w:color w:val="auto"/>
        </w:rPr>
        <w:t>Depreciation and amortization expense for property and equipment amounted to $1.2 million and $1.6 million for the years ended December 31, 2017 and 2018, respectively.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December 31,</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rPr>
              <w:t>2017</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40" w:type="dxa"/>
            <w:vAlign w:val="bottom"/>
            <w:gridSpan w:val="3"/>
          </w:tcPr>
          <w:p>
            <w:pPr>
              <w:jc w:val="center"/>
              <w:ind w:right="80"/>
              <w:spacing w:after="0" w:line="196" w:lineRule="exact"/>
              <w:rPr>
                <w:sz w:val="20"/>
                <w:szCs w:val="20"/>
                <w:color w:val="auto"/>
              </w:rPr>
            </w:pPr>
            <w:r>
              <w:rPr>
                <w:rFonts w:ascii="Arial" w:cs="Arial" w:eastAsia="Arial" w:hAnsi="Arial"/>
                <w:sz w:val="18"/>
                <w:szCs w:val="18"/>
                <w:b w:val="1"/>
                <w:bCs w:val="1"/>
                <w:color w:val="auto"/>
                <w:w w:val="98"/>
              </w:rPr>
              <w:t>(in thousands)</w:t>
            </w: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350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$1,468</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$4,861</w:t>
            </w:r>
          </w:p>
        </w:tc>
        <w:tc>
          <w:tcPr>
            <w:tcW w:w="60" w:type="dxa"/>
            <w:vAlign w:val="bottom"/>
            <w:shd w:val="clear" w:color="auto" w:fill="CCEEFF"/>
          </w:tcPr>
          <w:p>
            <w:pPr>
              <w:spacing w:after="0"/>
              <w:rPr>
                <w:sz w:val="17"/>
                <w:szCs w:val="17"/>
                <w:color w:val="auto"/>
              </w:rPr>
            </w:pPr>
          </w:p>
        </w:tc>
      </w:tr>
      <w:tr>
        <w:trPr>
          <w:trHeight w:val="203"/>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Accrued research and development</w:t>
            </w:r>
          </w:p>
        </w:tc>
        <w:tc>
          <w:tcPr>
            <w:tcW w:w="3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1,525</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2,016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current</w:t>
            </w:r>
          </w:p>
        </w:tc>
        <w:tc>
          <w:tcPr>
            <w:tcW w:w="350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496</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7"/>
                <w:szCs w:val="17"/>
                <w:color w:val="auto"/>
              </w:rPr>
            </w:pPr>
          </w:p>
        </w:tc>
      </w:tr>
      <w:tr>
        <w:trPr>
          <w:trHeight w:val="203"/>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3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173</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 current</w:t>
            </w:r>
          </w:p>
        </w:tc>
        <w:tc>
          <w:tcPr>
            <w:tcW w:w="27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7"/>
                <w:szCs w:val="17"/>
                <w:color w:val="auto"/>
              </w:rPr>
            </w:pPr>
          </w:p>
        </w:tc>
      </w:tr>
      <w:tr>
        <w:trPr>
          <w:trHeight w:val="210"/>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7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583</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646</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accrued expenses and other current liabilities</w:t>
            </w:r>
          </w:p>
        </w:tc>
        <w:tc>
          <w:tcPr>
            <w:tcW w:w="350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$4,245</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5. Commitments and contingencies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In January 2015, as amended in September 2016, the Company entered into a facility lease for office and laboratory space located in Redwood City, California (Redwood City Lease) which expires in April 2023. The landlord provided the Company with tenant improvement allowances of $3.4 million. The Company has assessed the tenant improvement allowance to be a lease incentive and has capitalized the full amount to property and equipment and recognized a corresponding lease financing obligation included in deferred rent on the consolidated balance sheets. The lease financing obligation is amortized as an offset to rent expense over the lease term in the consolidated statements of operations and comprehensive loss.</w:t>
      </w:r>
    </w:p>
    <w:p>
      <w:pPr>
        <w:spacing w:after="0" w:line="102"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In conjunction with the lease agreement, the Company paid a security deposit of $0.3 million which is included in other noncurrent assets on the consolidated balance sheets as of December 31, 2017 and 2018.</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59" w:right="4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20"/>
        <w:spacing w:after="0" w:line="237" w:lineRule="auto"/>
        <w:rPr>
          <w:sz w:val="20"/>
          <w:szCs w:val="20"/>
          <w:color w:val="auto"/>
        </w:rPr>
      </w:pPr>
      <w:r>
        <w:rPr>
          <w:rFonts w:ascii="Arial" w:cs="Arial" w:eastAsia="Arial" w:hAnsi="Arial"/>
          <w:sz w:val="18"/>
          <w:szCs w:val="18"/>
          <w:color w:val="auto"/>
        </w:rPr>
        <w:t>In July 2015, as amended in March 2016 and September 2016, the Company subleased a portion of the Redwood City Lease to Pliant Therapeutics, Inc., a related party, which expired in June 2018. Sublease income of $0.9 million and $0.5 million for the years ended December 31, 2017 and 2018, respectively, was recorded as an offset to rent expense in the consolidated statements of operations and comprehensive loss.</w:t>
      </w:r>
    </w:p>
    <w:p>
      <w:pPr>
        <w:spacing w:after="0" w:line="101" w:lineRule="exact"/>
        <w:rPr>
          <w:sz w:val="20"/>
          <w:szCs w:val="20"/>
          <w:color w:val="auto"/>
        </w:rPr>
      </w:pPr>
    </w:p>
    <w:p>
      <w:pPr>
        <w:ind w:left="200" w:right="100"/>
        <w:spacing w:after="0" w:line="271" w:lineRule="auto"/>
        <w:rPr>
          <w:sz w:val="20"/>
          <w:szCs w:val="20"/>
          <w:color w:val="auto"/>
        </w:rPr>
      </w:pPr>
      <w:r>
        <w:rPr>
          <w:rFonts w:ascii="Arial" w:cs="Arial" w:eastAsia="Arial" w:hAnsi="Arial"/>
          <w:sz w:val="16"/>
          <w:szCs w:val="16"/>
          <w:color w:val="auto"/>
        </w:rPr>
        <w:t>As part of the Warp Drive acquisition in October 2018, the Company assumed a facility lease for office and laboratory space located in Cambridge, Massachusetts (Cambridge Lease) which expires in February 2023. In March 2019, the Company fully subleased the Cambridge Lease to Casma Therapeutics, Inc. (Casma), a related party, on financial terms substantially the same as the original lease. The sublease term with Casma is through the remainder of the Cambridge Lease term. The sublease by Casma and related sublease payments by Casma to the Company are fully guaranteed by Third Rock Ventures, LLC, a related party. In conjunction with the Cambridge Lease, the Company issued a letter of credit for $0.2 million, which is included in restricted cash on the consolidated balance sheet as of December 31, 2018.</w:t>
      </w:r>
    </w:p>
    <w:p>
      <w:pPr>
        <w:spacing w:after="0" w:line="7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Rent expense for the years ended December 31, 2017 and 2018 was $0.7 million and $1.5 million, respectively, net of sublease income and tenant improvement allowance credits. The terms of the facility leases provide for rental payments on a graduated scale; however, rent expense is recognized on a straight-line basis over the lease term. At December 31, 2017 and 2018, $3.3 million and $2.8 million was included as deferred rent, respectively, which includes the deferred tenant improvement allowance and straight-line rent. The current portion of deferred rent is included in accrued expenses and other current liabilities and the noncurrent portion of deferred rent is included in deferred rent, noncurrent on the consolidated balance sheets.</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2018, future minimum payments under the Company’s operating and capital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4700" w:type="dxa"/>
            <w:vAlign w:val="bottom"/>
            <w:gridSpan w:val="4"/>
          </w:tcPr>
          <w:p>
            <w:pPr>
              <w:ind w:left="3420"/>
              <w:spacing w:after="0"/>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jc w:val="right"/>
              <w:ind w:right="5852"/>
              <w:spacing w:after="0" w:line="202" w:lineRule="exact"/>
              <w:rPr>
                <w:sz w:val="20"/>
                <w:szCs w:val="20"/>
                <w:color w:val="auto"/>
              </w:rPr>
            </w:pPr>
            <w:r>
              <w:rPr>
                <w:rFonts w:ascii="Arial" w:cs="Arial" w:eastAsia="Arial" w:hAnsi="Arial"/>
                <w:sz w:val="18"/>
                <w:szCs w:val="18"/>
                <w:color w:val="auto"/>
                <w:w w:val="89"/>
              </w:rPr>
              <w:t>2019</w:t>
            </w:r>
          </w:p>
        </w:tc>
        <w:tc>
          <w:tcPr>
            <w:tcW w:w="3800" w:type="dxa"/>
            <w:vAlign w:val="bottom"/>
            <w:gridSpan w:val="2"/>
            <w:shd w:val="clear" w:color="auto" w:fill="CCEEFF"/>
          </w:tcPr>
          <w:p>
            <w:pPr>
              <w:ind w:left="34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3,714</w:t>
            </w:r>
          </w:p>
        </w:tc>
        <w:tc>
          <w:tcPr>
            <w:tcW w:w="60" w:type="dxa"/>
            <w:vAlign w:val="bottom"/>
            <w:shd w:val="clear" w:color="auto" w:fill="CCEEFF"/>
          </w:tcPr>
          <w:p>
            <w:pPr>
              <w:spacing w:after="0"/>
              <w:rPr>
                <w:sz w:val="17"/>
                <w:szCs w:val="17"/>
                <w:color w:val="auto"/>
              </w:rPr>
            </w:pPr>
          </w:p>
        </w:tc>
      </w:tr>
      <w:tr>
        <w:trPr>
          <w:trHeight w:val="203"/>
        </w:trPr>
        <w:tc>
          <w:tcPr>
            <w:tcW w:w="6340" w:type="dxa"/>
            <w:vAlign w:val="bottom"/>
            <w:gridSpan w:val="2"/>
          </w:tcPr>
          <w:p>
            <w:pPr>
              <w:jc w:val="right"/>
              <w:ind w:right="5852"/>
              <w:spacing w:after="0" w:line="202" w:lineRule="exact"/>
              <w:rPr>
                <w:sz w:val="20"/>
                <w:szCs w:val="20"/>
                <w:color w:val="auto"/>
              </w:rPr>
            </w:pPr>
            <w:r>
              <w:rPr>
                <w:rFonts w:ascii="Arial" w:cs="Arial" w:eastAsia="Arial" w:hAnsi="Arial"/>
                <w:sz w:val="18"/>
                <w:szCs w:val="18"/>
                <w:color w:val="auto"/>
                <w:w w:val="94"/>
              </w:rPr>
              <w:t>2020</w:t>
            </w:r>
          </w:p>
        </w:tc>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3,820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jc w:val="right"/>
              <w:ind w:right="5852"/>
              <w:spacing w:after="0" w:line="202" w:lineRule="exact"/>
              <w:rPr>
                <w:sz w:val="20"/>
                <w:szCs w:val="20"/>
                <w:color w:val="auto"/>
              </w:rPr>
            </w:pPr>
            <w:r>
              <w:rPr>
                <w:rFonts w:ascii="Arial" w:cs="Arial" w:eastAsia="Arial" w:hAnsi="Arial"/>
                <w:sz w:val="18"/>
                <w:szCs w:val="18"/>
                <w:color w:val="auto"/>
                <w:w w:val="89"/>
              </w:rPr>
              <w:t>2021</w:t>
            </w:r>
          </w:p>
        </w:tc>
        <w:tc>
          <w:tcPr>
            <w:tcW w:w="3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3,786</w:t>
            </w:r>
          </w:p>
        </w:tc>
        <w:tc>
          <w:tcPr>
            <w:tcW w:w="60" w:type="dxa"/>
            <w:vAlign w:val="bottom"/>
            <w:shd w:val="clear" w:color="auto" w:fill="CCEEFF"/>
          </w:tcPr>
          <w:p>
            <w:pPr>
              <w:spacing w:after="0"/>
              <w:rPr>
                <w:sz w:val="17"/>
                <w:szCs w:val="17"/>
                <w:color w:val="auto"/>
              </w:rPr>
            </w:pPr>
          </w:p>
        </w:tc>
      </w:tr>
      <w:tr>
        <w:trPr>
          <w:trHeight w:val="203"/>
        </w:trPr>
        <w:tc>
          <w:tcPr>
            <w:tcW w:w="6340" w:type="dxa"/>
            <w:vAlign w:val="bottom"/>
            <w:gridSpan w:val="2"/>
          </w:tcPr>
          <w:p>
            <w:pPr>
              <w:jc w:val="right"/>
              <w:ind w:right="5852"/>
              <w:spacing w:after="0" w:line="202" w:lineRule="exact"/>
              <w:rPr>
                <w:sz w:val="20"/>
                <w:szCs w:val="20"/>
                <w:color w:val="auto"/>
              </w:rPr>
            </w:pPr>
            <w:r>
              <w:rPr>
                <w:rFonts w:ascii="Arial" w:cs="Arial" w:eastAsia="Arial" w:hAnsi="Arial"/>
                <w:sz w:val="18"/>
                <w:szCs w:val="18"/>
                <w:color w:val="auto"/>
                <w:w w:val="94"/>
              </w:rPr>
              <w:t>2022</w:t>
            </w:r>
          </w:p>
        </w:tc>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3,886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jc w:val="right"/>
              <w:ind w:right="5852"/>
              <w:spacing w:after="0" w:line="202" w:lineRule="exact"/>
              <w:rPr>
                <w:sz w:val="20"/>
                <w:szCs w:val="20"/>
                <w:color w:val="auto"/>
              </w:rPr>
            </w:pPr>
            <w:r>
              <w:rPr>
                <w:rFonts w:ascii="Arial" w:cs="Arial" w:eastAsia="Arial" w:hAnsi="Arial"/>
                <w:sz w:val="18"/>
                <w:szCs w:val="18"/>
                <w:color w:val="auto"/>
                <w:w w:val="89"/>
              </w:rPr>
              <w:t>2023</w:t>
            </w:r>
          </w:p>
        </w:tc>
        <w:tc>
          <w:tcPr>
            <w:tcW w:w="34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1,003</w:t>
            </w:r>
          </w:p>
        </w:tc>
        <w:tc>
          <w:tcPr>
            <w:tcW w:w="60" w:type="dxa"/>
            <w:vAlign w:val="bottom"/>
            <w:shd w:val="clear" w:color="auto" w:fill="CCEEFF"/>
          </w:tcPr>
          <w:p>
            <w:pPr>
              <w:spacing w:after="0"/>
              <w:rPr>
                <w:sz w:val="17"/>
                <w:szCs w:val="17"/>
                <w:color w:val="auto"/>
              </w:rPr>
            </w:pPr>
          </w:p>
        </w:tc>
      </w:tr>
      <w:tr>
        <w:trPr>
          <w:trHeight w:val="222"/>
        </w:trPr>
        <w:tc>
          <w:tcPr>
            <w:tcW w:w="6340" w:type="dxa"/>
            <w:vAlign w:val="bottom"/>
            <w:tcBorders>
              <w:bottom w:val="single" w:sz="8" w:color="auto"/>
            </w:tcBorders>
            <w:gridSpan w:val="2"/>
          </w:tcPr>
          <w:p>
            <w:pPr>
              <w:jc w:val="right"/>
              <w:ind w:right="3332"/>
              <w:spacing w:after="0"/>
              <w:rPr>
                <w:sz w:val="20"/>
                <w:szCs w:val="20"/>
                <w:color w:val="auto"/>
              </w:rPr>
            </w:pPr>
            <w:r>
              <w:rPr>
                <w:rFonts w:ascii="Arial" w:cs="Arial" w:eastAsia="Arial" w:hAnsi="Arial"/>
                <w:sz w:val="18"/>
                <w:szCs w:val="18"/>
                <w:color w:val="auto"/>
                <w:w w:val="96"/>
              </w:rPr>
              <w:t>Total future minimum lease payments</w:t>
            </w:r>
          </w:p>
        </w:tc>
        <w:tc>
          <w:tcPr>
            <w:tcW w:w="3800" w:type="dxa"/>
            <w:vAlign w:val="bottom"/>
            <w:tcBorders>
              <w:bottom w:val="single" w:sz="8" w:color="auto"/>
            </w:tcBorders>
            <w:gridSpan w:val="2"/>
          </w:tcPr>
          <w:p>
            <w:pPr>
              <w:ind w:left="34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16,209</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Included in the amounts above are $0.3 million of capital lease obligations.</w:t>
      </w:r>
    </w:p>
    <w:p>
      <w:pPr>
        <w:spacing w:after="0" w:line="104"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The amounts reflected in the table above incorporate the Company’s lease payments for the Cambridge Lease, but do not reflect any offset for the sublease payments the Company will receive from Casma.</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matters</w:t>
      </w:r>
    </w:p>
    <w:p>
      <w:pPr>
        <w:spacing w:after="0" w:line="124" w:lineRule="exact"/>
        <w:rPr>
          <w:sz w:val="20"/>
          <w:szCs w:val="20"/>
          <w:color w:val="auto"/>
        </w:rPr>
      </w:pPr>
    </w:p>
    <w:p>
      <w:pPr>
        <w:ind w:left="200" w:right="220"/>
        <w:spacing w:after="0" w:line="275" w:lineRule="auto"/>
        <w:rPr>
          <w:sz w:val="20"/>
          <w:szCs w:val="20"/>
          <w:color w:val="auto"/>
        </w:rPr>
      </w:pPr>
      <w:r>
        <w:rPr>
          <w:rFonts w:ascii="Arial" w:cs="Arial" w:eastAsia="Arial" w:hAnsi="Arial"/>
          <w:sz w:val="16"/>
          <w:szCs w:val="16"/>
          <w:color w:val="auto"/>
        </w:rPr>
        <w:t>From time to time, the Company may be involved in litigation related to claims that arise in the ordinary course of its business activities. The Company accrues for these matters when it is probable that future expenditures will be made and these expenditures can be reasonably estimated. As of December 31, 2017 and December 31, 2018, the Company does not believe that any such matters, individually or in the aggregate, will have a material adverse effect on the Company’s financial position, results of operations or cash flows.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4"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The Company enters into standard indemnification arrangements in the ordinary course of business. Pursuant to these arrangements, the Company indemnifies, holds harmless and agrees to reimburse the indemnified</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60" w:right="4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fair value of these agreements is minimal.</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6. Sanofi collaboration agreement</w:t>
      </w:r>
    </w:p>
    <w:p>
      <w:pPr>
        <w:spacing w:after="0" w:line="13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In June 2018, the Company entered into a collaborative research, development and commercialization agreement with Aventis, Inc. (an affiliate of Sanofi), or the Sanofi Agreement, to research and develop SHP2 inhibitors, including RMC-4630 for any indications. Pursuant to the Sanofi Agreement, the Company granted Sanofi a worldwide, exclusive, sublicensable (subject to the Company’s consent in certain circumstances) license under certain of the Company’s patents and know-how to research, develop, manufacture, use, sell, offer for sale, import and otherwise commercialize SHP2 inhibitors, including RMC-4630, for any and all uses, subject to the Company’s exercise of rights and performance obligations under the Sanofi Agreement.</w:t>
      </w:r>
    </w:p>
    <w:p>
      <w:pPr>
        <w:spacing w:after="0" w:line="102" w:lineRule="exact"/>
        <w:rPr>
          <w:sz w:val="20"/>
          <w:szCs w:val="20"/>
          <w:color w:val="auto"/>
        </w:rPr>
      </w:pPr>
    </w:p>
    <w:p>
      <w:pPr>
        <w:ind w:left="200" w:right="300"/>
        <w:spacing w:after="0" w:line="238" w:lineRule="auto"/>
        <w:rPr>
          <w:sz w:val="20"/>
          <w:szCs w:val="20"/>
          <w:color w:val="auto"/>
        </w:rPr>
      </w:pPr>
      <w:r>
        <w:rPr>
          <w:rFonts w:ascii="Arial" w:cs="Arial" w:eastAsia="Arial" w:hAnsi="Arial"/>
          <w:sz w:val="18"/>
          <w:szCs w:val="18"/>
          <w:color w:val="auto"/>
        </w:rPr>
        <w:t>In October 2018, the Company acquired Warp Drive in exchange for the Company’s Series B redeemable convertible preferred stock and cash. Sanofi was a stockholder of Warp Drive and received the Company’s Series B redeemable convertible preferred stock during the transaction and accordingly became an investor and related party of the Company.</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Under the Sanofi Agreement, the Company received a non-refundable, upfront cash payment of $50 million in July 2018 and could also receive up to $520 million in development and regulatory milestone payments, including up to $235 million upon the achievement of specified development milestones and up to $285 million upon the achievement of certain marketing approval milestones. Sanofi also agreed to reimburse the Company for 80% of all internal and external research costs and expenses incurred under the research plan for 2019 and 2020, and for all other internal and external costs and expenses incurred to perform activities under the research and development plans for the SHP2 program. The Company is responsible for 20% of all internal and external research costs incurred under the research plan for 2019 and 2020. In the United States, the Company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the Company tiered royalties on annual net sales of each product outside the United States ranging from high single digit to mid-teen percentages.</w:t>
      </w:r>
    </w:p>
    <w:p>
      <w:pPr>
        <w:spacing w:after="0" w:line="107"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The Company has primary responsibility for early clinical development of RMC-4630 pursuant to an initial development plan and also has primary responsibility for the manufacture of SHP2 inhibitors for Phase 1 and Phase 2 non-registrational clinical trials, while Sanofi is responsible for manufacturing SHP2 inhibitors for all other clinical trials and commercial supply.</w:t>
      </w:r>
    </w:p>
    <w:p>
      <w:pPr>
        <w:spacing w:after="0" w:line="100"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Unless terminated earlier, the Sanofi Agreement will continue in effect until the later of the expiration of all of Sanofi’s milestone and royalty payment obligations and the expiration of the profit/loss share agreement. Sanofi may terminate the Sanofi Agreement in its entirety or on a country-by-country or product-by-product basis for any reason or for significant safety concerns, upon prior notice to the Company. Sanofi may terminate the Sanofi Agreement in its entirety upon a change of control in the Company, with prior notice. Either party may terminate the Sanofi Agreement if an undisputed material breach by the other party is not cured within a defined period of time, or immediately upon notice for insolvency-related events of the other party. The Company may terminate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60"/>
          </w:cols>
          <w:pgMar w:left="240" w:top="460" w:right="49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Sanofi Agreement after a certain number of years if Sanofi develops a competing program without commencing a registrational clinical trial for a SHP2 inhibitor product candidate, and subject to certain other conditions. The Company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the Company.</w:t>
      </w:r>
    </w:p>
    <w:p>
      <w:pPr>
        <w:spacing w:after="0" w:line="10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Company identified the following promises in the agreement (1) the license related to SHP2 inhibitors, (2) the performance of research and development services for Phase 1 clinical studies and Phase 2 clinical trials that are non-registrational clinical trials and (3) the performance of manufacturing services for the non-registrational clinical trials. The Company determined that the license is not distinct from the services within the context of the agreement because the research, development and manufacturing significantly increase the utility of the intellectual property. The intellectual property (IP) related to SHP2 inhibitors, which is proprietary to the Company, is the foundation for the research and development activities. The manufacturing services are a necessary and integral part of the research and development services as they could only be conducted utilizing the outcomes of these services. Given the research and development services under the Sanofi Agreement are expected to involve significant further development of the initial IP, the Company has concluded that the research, development and manufacturing services are not distinct from the license, and thus the license, research and development services and manufacturing services are combined into a single performance obligation.</w:t>
      </w:r>
    </w:p>
    <w:p>
      <w:pPr>
        <w:spacing w:after="0" w:line="107" w:lineRule="exact"/>
        <w:rPr>
          <w:sz w:val="20"/>
          <w:szCs w:val="20"/>
          <w:color w:val="auto"/>
        </w:rPr>
      </w:pPr>
    </w:p>
    <w:p>
      <w:pPr>
        <w:ind w:left="200" w:right="300"/>
        <w:spacing w:after="0" w:line="275" w:lineRule="auto"/>
        <w:rPr>
          <w:sz w:val="20"/>
          <w:szCs w:val="20"/>
          <w:color w:val="auto"/>
        </w:rPr>
      </w:pPr>
      <w:r>
        <w:rPr>
          <w:rFonts w:ascii="Arial" w:cs="Arial" w:eastAsia="Arial" w:hAnsi="Arial"/>
          <w:sz w:val="16"/>
          <w:szCs w:val="16"/>
          <w:color w:val="auto"/>
        </w:rPr>
        <w:t>For revenue recognition purposes, the Company determined that the duration of the contract begins on the effective date of the Sanofi Agreement in July 2018 and ends upon completion of the non-registrational clinical trials. The contract duration is defined as the period in which parties to the contract have present enforceable rights and obligations. The Company analyzed the impact of Sanofi terminating the agreement prior to the completion of these trials and determined that there were significant economic costs to Sanofi for doing so.</w:t>
      </w:r>
    </w:p>
    <w:p>
      <w:pPr>
        <w:spacing w:after="0" w:line="75"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Company determined that the transaction price of the Sanofi Agreement was $197.2 million as of December 31, 2018. In order to determine the transaction price, the Company evaluated all the payments to be received during the duration of the contract. The Company determined that the $50.0 million upfront payment and $147.2 million of estimated variable consideration for expense reimbursements from Sanofi for agreed upon research and development services as of December 31, 2018 constituted consideration to be included in the transaction price, which is to be allocated to the combined performance obligation. Development and regulatory milestones under the Sanofi Agreement were considered but not included in the transaction price, as it is probable that a significant revenue reversal could occur if they were included. The Company will re-evaluate the transaction price in each reporting period and as uncertain events are resolved or other changes in circumstances occur.</w:t>
      </w:r>
    </w:p>
    <w:p>
      <w:pPr>
        <w:spacing w:after="0" w:line="100"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license, research, development and manufacturing services are combined as one performance obligation that will be performed over the duration of the contract, which is from the effective date of the Sanofi Agreement through to the completion of studies. The Company concluded that it will utilize a cost-based input method to measure proportional performance and to calculate the corresponding amount of revenue to recognize. In applying the cost-based input method of revenue recognition, the Company uses actual costs incurred relative to estimated costs to fulfill the combined performance obligation. These costs consist primarily of internal full-time equivalent efforts and third-party costs. Revenue is recognized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80"/>
          </w:cols>
          <w:pgMar w:left="240" w:top="460"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year ended December 31, 2018, the Company recognized $19.4 million of collaboration revenue associated with this agreement.</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of December 31, 2018, $16.8 million of deferred revenue, related party is classified as current and $28.4 million is classified as noncurrent.</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7. Acquisition of Warp Drive</w:t>
      </w:r>
    </w:p>
    <w:p>
      <w:pPr>
        <w:spacing w:after="0" w:line="134" w:lineRule="exact"/>
        <w:rPr>
          <w:sz w:val="20"/>
          <w:szCs w:val="20"/>
          <w:color w:val="auto"/>
        </w:rPr>
      </w:pPr>
    </w:p>
    <w:p>
      <w:pPr>
        <w:jc w:val="both"/>
        <w:ind w:left="200" w:right="300"/>
        <w:spacing w:after="0" w:line="238" w:lineRule="auto"/>
        <w:rPr>
          <w:sz w:val="20"/>
          <w:szCs w:val="20"/>
          <w:color w:val="auto"/>
        </w:rPr>
      </w:pPr>
      <w:r>
        <w:rPr>
          <w:rFonts w:ascii="Arial" w:cs="Arial" w:eastAsia="Arial" w:hAnsi="Arial"/>
          <w:sz w:val="18"/>
          <w:szCs w:val="18"/>
          <w:color w:val="auto"/>
        </w:rPr>
        <w:t>In October 2018, the Company acquired all outstanding shares of Warp Drive in exchange for issuing 6,797,915 shares of the Company’s Series B redeemable convertible preferred stock and $0.9 million in other consideration, for total consideration of $69.0 million. Warp Drive was a privately held biotechnology company based in Cambridge, Massachusetts.</w:t>
      </w:r>
    </w:p>
    <w:p>
      <w:pPr>
        <w:spacing w:after="0" w:line="100" w:lineRule="exact"/>
        <w:rPr>
          <w:sz w:val="20"/>
          <w:szCs w:val="20"/>
          <w:color w:val="auto"/>
        </w:rPr>
      </w:pPr>
    </w:p>
    <w:p>
      <w:pPr>
        <w:jc w:val="both"/>
        <w:ind w:left="200" w:right="260"/>
        <w:spacing w:after="0" w:line="238" w:lineRule="auto"/>
        <w:rPr>
          <w:sz w:val="20"/>
          <w:szCs w:val="20"/>
          <w:color w:val="auto"/>
        </w:rPr>
      </w:pPr>
      <w:r>
        <w:rPr>
          <w:rFonts w:ascii="Arial" w:cs="Arial" w:eastAsia="Arial" w:hAnsi="Arial"/>
          <w:sz w:val="18"/>
          <w:szCs w:val="18"/>
          <w:color w:val="auto"/>
        </w:rPr>
        <w:t>Warp Drive’s RAS programs include compounds targeting various cancer indications, while its tri-complex platform is targeted at identifying presenter proteins for binding with small molecules and a target. Additionally, Warp Drive had a genome mining platform that is subject to a collaboration agreement with Hoffman-La Roche Ltd. (Roche) involving research in the area of neomorph antibiotics.</w:t>
      </w:r>
    </w:p>
    <w:p>
      <w:pPr>
        <w:spacing w:after="0" w:line="82" w:lineRule="exact"/>
        <w:rPr>
          <w:sz w:val="20"/>
          <w:szCs w:val="20"/>
          <w:color w:val="auto"/>
        </w:rPr>
      </w:pPr>
    </w:p>
    <w:p>
      <w:pPr>
        <w:jc w:val="both"/>
        <w:ind w:left="200" w:right="260"/>
        <w:spacing w:after="0" w:line="322" w:lineRule="auto"/>
        <w:rPr>
          <w:sz w:val="20"/>
          <w:szCs w:val="20"/>
          <w:color w:val="auto"/>
        </w:rPr>
      </w:pPr>
      <w:r>
        <w:rPr>
          <w:rFonts w:ascii="Arial" w:cs="Arial" w:eastAsia="Arial" w:hAnsi="Arial"/>
          <w:sz w:val="16"/>
          <w:szCs w:val="16"/>
          <w:color w:val="auto"/>
        </w:rPr>
        <w:t xml:space="preserve">Pursuant to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transaction was determined to be a business combination and was accounted for using the acquisition method of accounting. The following table presents a summary of the purchase price consideration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30480</wp:posOffset>
            </wp:positionV>
            <wp:extent cx="699770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4300" w:type="dxa"/>
            <w:vAlign w:val="bottom"/>
            <w:gridSpan w:val="4"/>
          </w:tcPr>
          <w:p>
            <w:pPr>
              <w:ind w:left="2960"/>
              <w:spacing w:after="0"/>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redeemable convertible preferred stock</w:t>
            </w:r>
          </w:p>
        </w:tc>
        <w:tc>
          <w:tcPr>
            <w:tcW w:w="3340" w:type="dxa"/>
            <w:vAlign w:val="bottom"/>
            <w:gridSpan w:val="2"/>
            <w:shd w:val="clear" w:color="auto" w:fill="CCEEFF"/>
          </w:tcPr>
          <w:p>
            <w:pPr>
              <w:ind w:left="29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68,144</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Cash</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1,172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Contingently returnable consideration asset</w:t>
            </w:r>
          </w:p>
        </w:tc>
        <w:tc>
          <w:tcPr>
            <w:tcW w:w="2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(310)</w:t>
            </w:r>
          </w:p>
        </w:tc>
      </w:tr>
      <w:tr>
        <w:trPr>
          <w:trHeight w:val="222"/>
        </w:trPr>
        <w:tc>
          <w:tcPr>
            <w:tcW w:w="20" w:type="dxa"/>
            <w:vAlign w:val="bottom"/>
          </w:tcPr>
          <w:p>
            <w:pPr>
              <w:spacing w:after="0"/>
              <w:rPr>
                <w:sz w:val="19"/>
                <w:szCs w:val="19"/>
                <w:color w:val="auto"/>
              </w:rPr>
            </w:pPr>
          </w:p>
        </w:tc>
        <w:tc>
          <w:tcPr>
            <w:tcW w:w="6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consideration</w:t>
            </w:r>
          </w:p>
        </w:tc>
        <w:tc>
          <w:tcPr>
            <w:tcW w:w="296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69,006</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The fair value of $10.03 per share of Series B redeemable convertible preferred stock was determined using a discounted cash flow model to estimate the value of the Company’s equity, and subsequently allocated to the Series B redeemable convertible preferred stock using an option pricing method.</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shares and cash issued as part of the transaction include 494,771 shares and less than $0.1 million of cash subject to a holdback based on certain events associated with Warp Drive’s agreement with Roche. The shares and cash subject to the holdback were issued on closing of the acquisition, but would be required to be returned to the Company if the holdback events did not occur. On the acquisition date, the Company determined the fair value of the holdback provision was $0.3 million and recorded it as a contingently returnable consideration asset on its consolidated balance sheet. The shares subject to the holdback retained their voting rights. In March 2019, the events subject to the holdback occurred and the issued shares and cash were no longer subject to the holdback provision. See Note 3, “Fair value measurements,” for a description of the determination of the fair value of the contingently returnable consideration asset.</w:t>
      </w:r>
    </w:p>
    <w:p>
      <w:pPr>
        <w:spacing w:after="0" w:line="101"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During the year ended December 31, 2018, the Company incurred $0.4 million of acquisition-related costs as a result of the Warp Drive acquisition, which were recorded as general and administrative expenses in the consolidated statements of operations and comprehensive loss. The Company also paid $0.6 million in transaction costs incurred by Warp Drive related to Warp Drive’s advisors, which was included as part of the purchase price consideration.</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59" w:right="4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acquisition date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920" w:type="dxa"/>
            <w:vAlign w:val="bottom"/>
            <w:gridSpan w:val="4"/>
          </w:tcPr>
          <w:p>
            <w:pPr>
              <w:ind w:left="2640"/>
              <w:spacing w:after="0"/>
              <w:rPr>
                <w:sz w:val="20"/>
                <w:szCs w:val="20"/>
                <w:color w:val="auto"/>
              </w:rPr>
            </w:pPr>
            <w:r>
              <w:rPr>
                <w:rFonts w:ascii="Arial" w:cs="Arial" w:eastAsia="Arial" w:hAnsi="Arial"/>
                <w:sz w:val="18"/>
                <w:szCs w:val="18"/>
                <w:b w:val="1"/>
                <w:bCs w:val="1"/>
                <w:color w:val="auto"/>
              </w:rPr>
              <w:t>(in thousands)</w:t>
            </w:r>
          </w:p>
        </w:tc>
      </w:tr>
      <w:tr>
        <w:trPr>
          <w:trHeight w:val="56"/>
        </w:trPr>
        <w:tc>
          <w:tcPr>
            <w:tcW w:w="7120" w:type="dxa"/>
            <w:vAlign w:val="bottom"/>
            <w:gridSpan w:val="2"/>
          </w:tcPr>
          <w:p>
            <w:pPr>
              <w:spacing w:after="0"/>
              <w:rPr>
                <w:sz w:val="4"/>
                <w:szCs w:val="4"/>
                <w:color w:val="auto"/>
              </w:rPr>
            </w:pPr>
          </w:p>
        </w:tc>
        <w:tc>
          <w:tcPr>
            <w:tcW w:w="2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Cash and other current assets</w:t>
            </w:r>
          </w:p>
        </w:tc>
        <w:tc>
          <w:tcPr>
            <w:tcW w:w="3020" w:type="dxa"/>
            <w:vAlign w:val="bottom"/>
            <w:gridSpan w:val="2"/>
          </w:tcPr>
          <w:p>
            <w:pPr>
              <w:ind w:left="26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1,594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55,800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technology—tri-complex platform</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Developed technology—genome mining platform</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assets acquired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73,125</w:t>
            </w:r>
          </w:p>
        </w:tc>
        <w:tc>
          <w:tcPr>
            <w:tcW w:w="60" w:type="dxa"/>
            <w:vAlign w:val="bottom"/>
            <w:shd w:val="clear" w:color="auto" w:fill="CCEEFF"/>
          </w:tcPr>
          <w:p>
            <w:pPr>
              <w:spacing w:after="0"/>
              <w:rPr>
                <w:sz w:val="17"/>
                <w:szCs w:val="17"/>
                <w:color w:val="auto"/>
              </w:rPr>
            </w:pPr>
          </w:p>
        </w:tc>
      </w:tr>
      <w:tr>
        <w:trPr>
          <w:trHeight w:val="270"/>
        </w:trPr>
        <w:tc>
          <w:tcPr>
            <w:tcW w:w="712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 and other accrued liabilities</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Convertible note payable, related party</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Deferred tax liability</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12,192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 assumed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18,727</w:t>
            </w:r>
          </w:p>
        </w:tc>
        <w:tc>
          <w:tcPr>
            <w:tcW w:w="60" w:type="dxa"/>
            <w:vAlign w:val="bottom"/>
            <w:shd w:val="clear" w:color="auto" w:fill="CCEEFF"/>
          </w:tcPr>
          <w:p>
            <w:pPr>
              <w:spacing w:after="0"/>
              <w:rPr>
                <w:sz w:val="17"/>
                <w:szCs w:val="17"/>
                <w:color w:val="auto"/>
              </w:rPr>
            </w:pPr>
          </w:p>
        </w:tc>
      </w:tr>
      <w:tr>
        <w:trPr>
          <w:trHeight w:val="210"/>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ind w:left="26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69,006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valuations of the IPR&amp;D—RAS programs and developed technology—genome mining platform were determined using the income approach, which discounts expected future cash flows to present value. The discount rates used were between 13% and 14%. The projected cash flows were based on key assumptions such as: estimates of revenues and operating profits related to each program or platform considering its stage of development on the acquisition date; the time and resources needed to complete the development and approval of product candidates; the life of the potential commercialized products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01"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Intangible assets associated with acquired IPR&amp;D relate to the RAS programs. Management determined that the estimated acquisition-date fair value of the intangible asset related to IPR&amp;D was $55.8 million, which was comprised of $44.1 million related to the KRAS</w:t>
      </w:r>
      <w:r>
        <w:rPr>
          <w:rFonts w:ascii="Arial" w:cs="Arial" w:eastAsia="Arial" w:hAnsi="Arial"/>
          <w:sz w:val="11"/>
          <w:szCs w:val="11"/>
          <w:color w:val="auto"/>
        </w:rPr>
        <w:t>G12C</w:t>
      </w:r>
      <w:r>
        <w:rPr>
          <w:rFonts w:ascii="Arial" w:cs="Arial" w:eastAsia="Arial" w:hAnsi="Arial"/>
          <w:sz w:val="18"/>
          <w:szCs w:val="18"/>
          <w:color w:val="auto"/>
        </w:rPr>
        <w:t xml:space="preserve"> program and $11.7 million related to the KRAS</w:t>
      </w:r>
      <w:r>
        <w:rPr>
          <w:rFonts w:ascii="Arial" w:cs="Arial" w:eastAsia="Arial" w:hAnsi="Arial"/>
          <w:sz w:val="11"/>
          <w:szCs w:val="11"/>
          <w:color w:val="auto"/>
        </w:rPr>
        <w:t>G12D</w:t>
      </w:r>
      <w:r>
        <w:rPr>
          <w:rFonts w:ascii="Arial" w:cs="Arial" w:eastAsia="Arial" w:hAnsi="Arial"/>
          <w:sz w:val="18"/>
          <w:szCs w:val="18"/>
          <w:color w:val="auto"/>
        </w:rPr>
        <w:t xml:space="preserve"> program. The KRAS</w:t>
      </w:r>
      <w:r>
        <w:rPr>
          <w:rFonts w:ascii="Arial" w:cs="Arial" w:eastAsia="Arial" w:hAnsi="Arial"/>
          <w:sz w:val="11"/>
          <w:szCs w:val="11"/>
          <w:color w:val="auto"/>
        </w:rPr>
        <w:t>G12C</w:t>
      </w:r>
      <w:r>
        <w:rPr>
          <w:rFonts w:ascii="Arial" w:cs="Arial" w:eastAsia="Arial" w:hAnsi="Arial"/>
          <w:sz w:val="18"/>
          <w:szCs w:val="18"/>
          <w:color w:val="auto"/>
        </w:rPr>
        <w:t xml:space="preserve"> and the KRAS</w:t>
      </w:r>
      <w:r>
        <w:rPr>
          <w:rFonts w:ascii="Arial" w:cs="Arial" w:eastAsia="Arial" w:hAnsi="Arial"/>
          <w:sz w:val="11"/>
          <w:szCs w:val="11"/>
          <w:color w:val="auto"/>
        </w:rPr>
        <w:t>G12D</w:t>
      </w:r>
      <w:r>
        <w:rPr>
          <w:rFonts w:ascii="Arial" w:cs="Arial" w:eastAsia="Arial" w:hAnsi="Arial"/>
          <w:sz w:val="18"/>
          <w:szCs w:val="18"/>
          <w:color w:val="auto"/>
        </w:rPr>
        <w:t xml:space="preserve"> programs are each focused on developing inhibitors which target specific mutations of KRAS(ON) proteins. The acquired IPR&amp;D is considered to be an indefinite-lived asset until the completion or abandonment of the research and development efforts. The acquired IPR&amp;D will not be amortized until completion of the related products, which is determined by when the underlying programs reach technological feasibility and commence commercial production. Upon completion, the acquired IPR&amp;D will be amortized over its useful life.</w:t>
      </w:r>
    </w:p>
    <w:p>
      <w:pPr>
        <w:spacing w:after="0" w:line="10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The valuation of the developed technology—tri-complex platform was based on a replacement cost approach as the Company’s management intends to leverage the platform internally, but does not have the ability to assign a specific income stream to the asset. The tri-complex platform was accounted for as developed technology and is being amortized over 7 years. Amortization expense for the year ended December 31, 2018 was $0.2 million.</w:t>
      </w:r>
    </w:p>
    <w:p>
      <w:pPr>
        <w:spacing w:after="0" w:line="101" w:lineRule="exact"/>
        <w:rPr>
          <w:sz w:val="20"/>
          <w:szCs w:val="20"/>
          <w:color w:val="auto"/>
        </w:rPr>
      </w:pPr>
    </w:p>
    <w:p>
      <w:pPr>
        <w:ind w:left="200" w:right="720"/>
        <w:spacing w:after="0" w:line="239" w:lineRule="auto"/>
        <w:rPr>
          <w:sz w:val="20"/>
          <w:szCs w:val="20"/>
          <w:color w:val="auto"/>
        </w:rPr>
      </w:pPr>
      <w:r>
        <w:rPr>
          <w:rFonts w:ascii="Arial" w:cs="Arial" w:eastAsia="Arial" w:hAnsi="Arial"/>
          <w:sz w:val="18"/>
          <w:szCs w:val="18"/>
          <w:color w:val="auto"/>
        </w:rPr>
        <w:t>The genome mining platform, including the associated Roche collaboration agreement, was accounted for as held for sale developed technology and was divested in January 2019.</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The Company assumed a convertible promissory note (Convertible Note) as part of the Company’s acquisition of Warp Drive. See Note 13, “Related party relationships.”</w:t>
      </w:r>
    </w:p>
    <w:p>
      <w:pPr>
        <w:spacing w:after="0" w:line="101"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Deferred revenue consists of the remaining estimated cost obligations, including mark-up, associated with the collaboration with Roche. The entire amount was recognized as revenue during the year ended December 31, 2018 and included under collaboration revenue, other in the consolidated statements of operations and comprehensive loss.</w:t>
      </w:r>
    </w:p>
    <w:p>
      <w:pPr>
        <w:spacing w:after="0" w:line="100"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Company recorded $14.6 million in goodwill associated with this acquisition, which relates to the establishment of a deferred tax liability for the non-deductible in-process research and development intangible assets acquired and synergies resulting from the acquisition. Goodwill will not be amortized but will be tested at least annually for impairment. No impairment has been recognized as of December 31, 2018. Goodwill recorded is not deductible for income tax purposes.</w:t>
      </w:r>
    </w:p>
    <w:p>
      <w:pPr>
        <w:spacing w:after="0" w:line="101" w:lineRule="exact"/>
        <w:rPr>
          <w:sz w:val="20"/>
          <w:szCs w:val="20"/>
          <w:color w:val="auto"/>
        </w:rPr>
      </w:pPr>
    </w:p>
    <w:p>
      <w:pPr>
        <w:ind w:left="200" w:right="580"/>
        <w:spacing w:after="0" w:line="239" w:lineRule="auto"/>
        <w:rPr>
          <w:sz w:val="20"/>
          <w:szCs w:val="20"/>
          <w:color w:val="auto"/>
        </w:rPr>
      </w:pPr>
      <w:r>
        <w:rPr>
          <w:rFonts w:ascii="Arial" w:cs="Arial" w:eastAsia="Arial" w:hAnsi="Arial"/>
          <w:sz w:val="18"/>
          <w:szCs w:val="18"/>
          <w:color w:val="auto"/>
        </w:rPr>
        <w:t>Subsequent to the acquisition, the Company recorded $1.4 million of severance costs during the year ended December 31, 2018 in the consolidated statement of operations and comprehensive loss.</w:t>
      </w:r>
    </w:p>
    <w:p>
      <w:pPr>
        <w:spacing w:after="0" w:line="101" w:lineRule="exact"/>
        <w:rPr>
          <w:sz w:val="20"/>
          <w:szCs w:val="20"/>
          <w:color w:val="auto"/>
        </w:rPr>
      </w:pPr>
    </w:p>
    <w:p>
      <w:pPr>
        <w:ind w:left="200" w:right="80"/>
        <w:spacing w:after="0" w:line="264" w:lineRule="auto"/>
        <w:rPr>
          <w:sz w:val="20"/>
          <w:szCs w:val="20"/>
          <w:color w:val="auto"/>
        </w:rPr>
      </w:pPr>
      <w:r>
        <w:rPr>
          <w:rFonts w:ascii="Arial" w:cs="Arial" w:eastAsia="Arial" w:hAnsi="Arial"/>
          <w:sz w:val="16"/>
          <w:szCs w:val="16"/>
          <w:color w:val="auto"/>
        </w:rPr>
        <w:t>The acquisition is considered a material business combination and accordingly unaudited pro forma information presented below for the year ended December 31, 2018, includes the effects of pro forma adjustments as if the acquisition of Warp Drive occurred on January 1, 2017, the beginning of the comparable prior annual reporting period. The unaudited pro forma results include adjustments related to the following: (i) amortization expense related to the fair value of identifiable intangible assets acquired, (ii) impact of the genome mining deposition,</w:t>
      </w:r>
    </w:p>
    <w:p>
      <w:pPr>
        <w:spacing w:after="0" w:line="1" w:lineRule="exact"/>
        <w:rPr>
          <w:sz w:val="20"/>
          <w:szCs w:val="20"/>
          <w:color w:val="auto"/>
        </w:rPr>
      </w:pPr>
    </w:p>
    <w:p>
      <w:pPr>
        <w:ind w:left="200" w:right="220" w:firstLine="4"/>
        <w:spacing w:after="0" w:line="264" w:lineRule="auto"/>
        <w:tabs>
          <w:tab w:leader="none" w:pos="48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alignment of Warp Drive’s revenue recognition policy to the Company’s adoption method and adoption date of ASC 606, (iv) inclusion of incurred acquisition-related and severance costs as of the earliest period presented, (v) elimination of interest expense and gain related to Warp Drive’s convertible note payable, which was converted into Warp Drive common stock immediately prior to the acquisition and subsequently converted into the Company’s Series B redeemable convertible preferred stock in connection with the acquisition, and</w:t>
      </w:r>
    </w:p>
    <w:p>
      <w:pPr>
        <w:ind w:left="500" w:hanging="296"/>
        <w:spacing w:after="0"/>
        <w:tabs>
          <w:tab w:leader="none" w:pos="5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adjustment of depreciation expense related to the estimated useful lives of property and equipment acquired.</w:t>
      </w:r>
    </w:p>
    <w:p>
      <w:pPr>
        <w:spacing w:after="0" w:line="104"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pro forma financial information presented below is not necessarily indicative of the results of operations that would have been achieved if the acquisition occurred at the beginning of the earliest period presented, nor is it intended to be a projection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7"/>
              </w:rPr>
              <w:t>Year ended December 31,</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jc w:val="right"/>
              <w:ind w:right="260"/>
              <w:spacing w:after="0" w:line="196" w:lineRule="exact"/>
              <w:rPr>
                <w:sz w:val="20"/>
                <w:szCs w:val="20"/>
                <w:color w:val="auto"/>
              </w:rPr>
            </w:pPr>
            <w:r>
              <w:rPr>
                <w:rFonts w:ascii="Arial" w:cs="Arial" w:eastAsia="Arial" w:hAnsi="Arial"/>
                <w:sz w:val="18"/>
                <w:szCs w:val="18"/>
                <w:b w:val="1"/>
                <w:bCs w:val="1"/>
                <w:color w:val="auto"/>
                <w:w w:val="97"/>
              </w:rPr>
              <w:t>(unaudited, in thousands)</w:t>
            </w: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3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13,318</w:t>
            </w:r>
          </w:p>
        </w:tc>
        <w:tc>
          <w:tcPr>
            <w:tcW w:w="4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20,302</w:t>
            </w:r>
          </w:p>
        </w:tc>
        <w:tc>
          <w:tcPr>
            <w:tcW w:w="120" w:type="dxa"/>
            <w:vAlign w:val="bottom"/>
            <w:shd w:val="clear" w:color="auto" w:fill="CCEEFF"/>
          </w:tcPr>
          <w:p>
            <w:pPr>
              <w:spacing w:after="0"/>
              <w:rPr>
                <w:sz w:val="17"/>
                <w:szCs w:val="17"/>
                <w:color w:val="auto"/>
              </w:rPr>
            </w:pPr>
          </w:p>
        </w:tc>
      </w:tr>
      <w:tr>
        <w:trPr>
          <w:trHeight w:val="215"/>
        </w:trPr>
        <w:tc>
          <w:tcPr>
            <w:tcW w:w="4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(49,887)</w:t>
            </w: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(57,151)</w:t>
            </w:r>
          </w:p>
        </w:tc>
      </w:tr>
      <w:tr>
        <w:trPr>
          <w:trHeight w:val="20"/>
        </w:trPr>
        <w:tc>
          <w:tcPr>
            <w:tcW w:w="20" w:type="dxa"/>
            <w:vAlign w:val="bottom"/>
            <w:shd w:val="clear" w:color="auto" w:fill="000000"/>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color w:val="auto"/>
        </w:rPr>
        <w:t>Revenues associated with Warp Drive included in the Company’s consolidated statement of operations and comprehensive loss were $0.7 million for the period from acquisition date to December 31, 2018. Net loss associated with Warp Drive included in the Company’s consolidated statement of operations and comprehensive loss was $4.2 million for the period from the acquisition date to December 31, 2018.</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8. Redeemable convertible preferred stock</w:t>
      </w:r>
    </w:p>
    <w:p>
      <w:pPr>
        <w:spacing w:after="0" w:line="13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From December 2014 to May 2017, the Company issued a total of 14,430,799 shares of Series A redeemable convertible preferred stock at a price per share of $4.87 for proceeds of $70.1 million, net of issuance costs. In March and June 2018, the Company issued a total of 7,731,155 shares of Series B redeemable convertible preferred stock at a price per share of $7.30 for proceeds of $56.2 million, net of issuance costs. In October</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60" w:right="4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75" w:lineRule="auto"/>
        <w:rPr>
          <w:sz w:val="20"/>
          <w:szCs w:val="20"/>
          <w:color w:val="auto"/>
        </w:rPr>
      </w:pPr>
      <w:r>
        <w:rPr>
          <w:rFonts w:ascii="Arial" w:cs="Arial" w:eastAsia="Arial" w:hAnsi="Arial"/>
          <w:sz w:val="16"/>
          <w:szCs w:val="16"/>
          <w:color w:val="auto"/>
        </w:rPr>
        <w:t>2018, the Company issued 6,797,915 shares of Series B redeemable convertible preferred stock in conjunction with acquiring Warp Drive. As part of the Warp Drive acquisition, the Company assumed $2.0 million in convertible notes payable, which was fully converted into 200,493 shares of Series B redeemable convertible preferred stock in October 2018. In November 2018, the Company issued 435,547 shares of Series B redeemable convertible preferred stock at a price per share of $10.03 for proceeds of $4.3 million, net of issuance costs.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Redeemable convertible preferred stock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8"/>
                <w:szCs w:val="18"/>
                <w:b w:val="1"/>
                <w:bCs w:val="1"/>
                <w:color w:val="auto"/>
              </w:rPr>
              <w:t>As of December 31, 2017</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80" w:type="dxa"/>
            <w:vAlign w:val="bottom"/>
          </w:tcPr>
          <w:p>
            <w:pPr>
              <w:jc w:val="right"/>
              <w:ind w:right="52"/>
              <w:spacing w:after="0" w:line="177" w:lineRule="exact"/>
              <w:rPr>
                <w:sz w:val="20"/>
                <w:szCs w:val="20"/>
                <w:color w:val="auto"/>
              </w:rPr>
            </w:pPr>
            <w:r>
              <w:rPr>
                <w:rFonts w:ascii="Arial" w:cs="Arial" w:eastAsia="Arial" w:hAnsi="Arial"/>
                <w:sz w:val="18"/>
                <w:szCs w:val="18"/>
                <w:b w:val="1"/>
                <w:bCs w:val="1"/>
                <w:color w:val="auto"/>
              </w:rPr>
              <w:t>Shares issued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gridSpan w:val="2"/>
          </w:tcPr>
          <w:p>
            <w:pPr>
              <w:ind w:left="80"/>
              <w:spacing w:after="0" w:line="177" w:lineRule="exact"/>
              <w:rPr>
                <w:sz w:val="20"/>
                <w:szCs w:val="20"/>
                <w:color w:val="auto"/>
              </w:rPr>
            </w:pPr>
            <w:r>
              <w:rPr>
                <w:rFonts w:ascii="Arial" w:cs="Arial" w:eastAsia="Arial" w:hAnsi="Arial"/>
                <w:sz w:val="18"/>
                <w:szCs w:val="18"/>
                <w:b w:val="1"/>
                <w:bCs w:val="1"/>
                <w:color w:val="auto"/>
                <w:w w:val="98"/>
              </w:rPr>
              <w:t>Aggregate</w:t>
            </w: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Shares</w:t>
            </w:r>
          </w:p>
        </w:tc>
        <w:tc>
          <w:tcPr>
            <w:tcW w:w="1580" w:type="dxa"/>
            <w:vAlign w:val="bottom"/>
          </w:tcPr>
          <w:p>
            <w:pPr>
              <w:jc w:val="center"/>
              <w:ind w:left="12"/>
              <w:spacing w:after="0" w:line="202" w:lineRule="exact"/>
              <w:rPr>
                <w:sz w:val="20"/>
                <w:szCs w:val="20"/>
                <w:color w:val="auto"/>
              </w:rPr>
            </w:pPr>
            <w:r>
              <w:rPr>
                <w:rFonts w:ascii="Arial" w:cs="Arial" w:eastAsia="Arial" w:hAnsi="Arial"/>
                <w:sz w:val="18"/>
                <w:szCs w:val="18"/>
                <w:b w:val="1"/>
                <w:bCs w:val="1"/>
                <w:color w:val="auto"/>
                <w:w w:val="99"/>
              </w:rPr>
              <w:t>and</w:t>
            </w:r>
          </w:p>
        </w:tc>
        <w:tc>
          <w:tcPr>
            <w:tcW w:w="136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Net carrying</w:t>
            </w:r>
          </w:p>
        </w:tc>
        <w:tc>
          <w:tcPr>
            <w:tcW w:w="1040" w:type="dxa"/>
            <w:vAlign w:val="bottom"/>
            <w:gridSpan w:val="3"/>
          </w:tcPr>
          <w:p>
            <w:pPr>
              <w:ind w:left="80"/>
              <w:spacing w:after="0" w:line="202" w:lineRule="exact"/>
              <w:rPr>
                <w:sz w:val="20"/>
                <w:szCs w:val="20"/>
                <w:color w:val="auto"/>
              </w:rPr>
            </w:pPr>
            <w:r>
              <w:rPr>
                <w:rFonts w:ascii="Arial" w:cs="Arial" w:eastAsia="Arial" w:hAnsi="Arial"/>
                <w:sz w:val="18"/>
                <w:szCs w:val="18"/>
                <w:b w:val="1"/>
                <w:bCs w:val="1"/>
                <w:color w:val="auto"/>
              </w:rPr>
              <w:t>liquidation</w:t>
            </w:r>
          </w:p>
        </w:tc>
      </w:tr>
      <w:tr>
        <w:trPr>
          <w:trHeight w:val="221"/>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authorized</w:t>
            </w:r>
          </w:p>
        </w:tc>
        <w:tc>
          <w:tcPr>
            <w:tcW w:w="15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7"/>
              </w:rPr>
              <w:t>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value</w:t>
            </w: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preference</w:t>
            </w:r>
          </w:p>
        </w:tc>
      </w:tr>
      <w:tr>
        <w:trPr>
          <w:trHeight w:val="196"/>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9"/>
              </w:rPr>
              <w:t>(in thousands, except share data)</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jc w:val="right"/>
              <w:ind w:right="5252"/>
              <w:spacing w:after="0" w:line="202" w:lineRule="exact"/>
              <w:rPr>
                <w:sz w:val="20"/>
                <w:szCs w:val="20"/>
                <w:color w:val="auto"/>
              </w:rPr>
            </w:pPr>
            <w:r>
              <w:rPr>
                <w:rFonts w:ascii="Arial" w:cs="Arial" w:eastAsia="Arial" w:hAnsi="Arial"/>
                <w:sz w:val="18"/>
                <w:szCs w:val="18"/>
                <w:color w:val="auto"/>
                <w:w w:val="91"/>
              </w:rPr>
              <w:t>Series A</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70,221,732</w:t>
            </w:r>
          </w:p>
        </w:tc>
        <w:tc>
          <w:tcPr>
            <w:tcW w:w="158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14,430,799</w:t>
            </w:r>
          </w:p>
        </w:tc>
        <w:tc>
          <w:tcPr>
            <w:tcW w:w="320" w:type="dxa"/>
            <w:vAlign w:val="bottom"/>
            <w:tcBorders>
              <w:bottom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72,248</w:t>
            </w:r>
          </w:p>
        </w:tc>
        <w:tc>
          <w:tcPr>
            <w:tcW w:w="240" w:type="dxa"/>
            <w:vAlign w:val="bottom"/>
            <w:tcBorders>
              <w:bottom w:val="single" w:sz="8" w:color="auto"/>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181,760</w:t>
            </w:r>
          </w:p>
        </w:tc>
        <w:tc>
          <w:tcPr>
            <w:tcW w:w="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70,221,732</w:t>
            </w: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14,430,799</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72,248</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181,760</w:t>
            </w:r>
          </w:p>
        </w:tc>
        <w:tc>
          <w:tcPr>
            <w:tcW w:w="60" w:type="dxa"/>
            <w:vAlign w:val="bottom"/>
          </w:tcPr>
          <w:p>
            <w:pPr>
              <w:spacing w:after="0"/>
              <w:rPr>
                <w:sz w:val="19"/>
                <w:szCs w:val="19"/>
                <w:color w:val="auto"/>
              </w:rPr>
            </w:pPr>
          </w:p>
        </w:tc>
      </w:tr>
      <w:tr>
        <w:trPr>
          <w:trHeight w:val="123"/>
        </w:trPr>
        <w:tc>
          <w:tcPr>
            <w:tcW w:w="20" w:type="dxa"/>
            <w:vAlign w:val="bottom"/>
          </w:tcPr>
          <w:p>
            <w:pPr>
              <w:spacing w:after="0"/>
              <w:rPr>
                <w:sz w:val="10"/>
                <w:szCs w:val="10"/>
                <w:color w:val="auto"/>
              </w:rPr>
            </w:pPr>
          </w:p>
        </w:tc>
        <w:tc>
          <w:tcPr>
            <w:tcW w:w="5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gridSpan w:val="3"/>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r>
        <w:trPr>
          <w:trHeight w:val="243"/>
        </w:trPr>
        <w:tc>
          <w:tcPr>
            <w:tcW w:w="2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rPr>
              <w:t>As of December 31, 2018</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77"/>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80" w:type="dxa"/>
            <w:vAlign w:val="bottom"/>
          </w:tcPr>
          <w:p>
            <w:pPr>
              <w:jc w:val="right"/>
              <w:ind w:right="52"/>
              <w:spacing w:after="0" w:line="177" w:lineRule="exact"/>
              <w:rPr>
                <w:sz w:val="20"/>
                <w:szCs w:val="20"/>
                <w:color w:val="auto"/>
              </w:rPr>
            </w:pPr>
            <w:r>
              <w:rPr>
                <w:rFonts w:ascii="Arial" w:cs="Arial" w:eastAsia="Arial" w:hAnsi="Arial"/>
                <w:sz w:val="18"/>
                <w:szCs w:val="18"/>
                <w:b w:val="1"/>
                <w:bCs w:val="1"/>
                <w:color w:val="auto"/>
              </w:rPr>
              <w:t>Shares issued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gridSpan w:val="2"/>
          </w:tcPr>
          <w:p>
            <w:pPr>
              <w:ind w:left="80"/>
              <w:spacing w:after="0" w:line="177" w:lineRule="exact"/>
              <w:rPr>
                <w:sz w:val="20"/>
                <w:szCs w:val="20"/>
                <w:color w:val="auto"/>
              </w:rPr>
            </w:pPr>
            <w:r>
              <w:rPr>
                <w:rFonts w:ascii="Arial" w:cs="Arial" w:eastAsia="Arial" w:hAnsi="Arial"/>
                <w:sz w:val="18"/>
                <w:szCs w:val="18"/>
                <w:b w:val="1"/>
                <w:bCs w:val="1"/>
                <w:color w:val="auto"/>
                <w:w w:val="98"/>
              </w:rPr>
              <w:t>Aggregate</w:t>
            </w: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Shares</w:t>
            </w:r>
          </w:p>
        </w:tc>
        <w:tc>
          <w:tcPr>
            <w:tcW w:w="1580" w:type="dxa"/>
            <w:vAlign w:val="bottom"/>
          </w:tcPr>
          <w:p>
            <w:pPr>
              <w:jc w:val="center"/>
              <w:ind w:left="12"/>
              <w:spacing w:after="0" w:line="202" w:lineRule="exact"/>
              <w:rPr>
                <w:sz w:val="20"/>
                <w:szCs w:val="20"/>
                <w:color w:val="auto"/>
              </w:rPr>
            </w:pPr>
            <w:r>
              <w:rPr>
                <w:rFonts w:ascii="Arial" w:cs="Arial" w:eastAsia="Arial" w:hAnsi="Arial"/>
                <w:sz w:val="18"/>
                <w:szCs w:val="18"/>
                <w:b w:val="1"/>
                <w:bCs w:val="1"/>
                <w:color w:val="auto"/>
                <w:w w:val="99"/>
              </w:rPr>
              <w:t>and</w:t>
            </w:r>
          </w:p>
        </w:tc>
        <w:tc>
          <w:tcPr>
            <w:tcW w:w="136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Net carrying</w:t>
            </w:r>
          </w:p>
        </w:tc>
        <w:tc>
          <w:tcPr>
            <w:tcW w:w="1040" w:type="dxa"/>
            <w:vAlign w:val="bottom"/>
            <w:gridSpan w:val="3"/>
          </w:tcPr>
          <w:p>
            <w:pPr>
              <w:ind w:left="80"/>
              <w:spacing w:after="0" w:line="202" w:lineRule="exact"/>
              <w:rPr>
                <w:sz w:val="20"/>
                <w:szCs w:val="20"/>
                <w:color w:val="auto"/>
              </w:rPr>
            </w:pPr>
            <w:r>
              <w:rPr>
                <w:rFonts w:ascii="Arial" w:cs="Arial" w:eastAsia="Arial" w:hAnsi="Arial"/>
                <w:sz w:val="18"/>
                <w:szCs w:val="18"/>
                <w:b w:val="1"/>
                <w:bCs w:val="1"/>
                <w:color w:val="auto"/>
              </w:rPr>
              <w:t>liquidation</w:t>
            </w:r>
          </w:p>
        </w:tc>
      </w:tr>
      <w:tr>
        <w:trPr>
          <w:trHeight w:val="221"/>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authorized</w:t>
            </w:r>
          </w:p>
        </w:tc>
        <w:tc>
          <w:tcPr>
            <w:tcW w:w="15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7"/>
              </w:rPr>
              <w:t>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value</w:t>
            </w: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preference</w:t>
            </w:r>
          </w:p>
        </w:tc>
      </w:tr>
      <w:tr>
        <w:trPr>
          <w:trHeight w:val="196"/>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gridSpan w:val="3"/>
          </w:tcPr>
          <w:p>
            <w:pPr>
              <w:jc w:val="right"/>
              <w:ind w:right="32"/>
              <w:spacing w:after="0" w:line="196" w:lineRule="exact"/>
              <w:rPr>
                <w:sz w:val="20"/>
                <w:szCs w:val="20"/>
                <w:color w:val="auto"/>
              </w:rPr>
            </w:pPr>
            <w:r>
              <w:rPr>
                <w:rFonts w:ascii="Arial" w:cs="Arial" w:eastAsia="Arial" w:hAnsi="Arial"/>
                <w:sz w:val="18"/>
                <w:szCs w:val="18"/>
                <w:b w:val="1"/>
                <w:bCs w:val="1"/>
                <w:color w:val="auto"/>
                <w:w w:val="97"/>
              </w:rPr>
              <w:t>(in thousands, except share data)</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jc w:val="right"/>
              <w:ind w:right="5252"/>
              <w:spacing w:after="0" w:line="202" w:lineRule="exact"/>
              <w:rPr>
                <w:sz w:val="20"/>
                <w:szCs w:val="20"/>
                <w:color w:val="auto"/>
              </w:rPr>
            </w:pPr>
            <w:r>
              <w:rPr>
                <w:rFonts w:ascii="Arial" w:cs="Arial" w:eastAsia="Arial" w:hAnsi="Arial"/>
                <w:sz w:val="18"/>
                <w:szCs w:val="18"/>
                <w:color w:val="auto"/>
                <w:w w:val="91"/>
              </w:rPr>
              <w:t>Series A</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70,221,732</w:t>
            </w:r>
          </w:p>
        </w:tc>
        <w:tc>
          <w:tcPr>
            <w:tcW w:w="15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14,430,799</w:t>
            </w:r>
          </w:p>
        </w:tc>
        <w:tc>
          <w:tcPr>
            <w:tcW w:w="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72,248</w:t>
            </w:r>
          </w:p>
        </w:tc>
        <w:tc>
          <w:tcPr>
            <w:tcW w:w="2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80,641</w:t>
            </w:r>
          </w:p>
        </w:tc>
        <w:tc>
          <w:tcPr>
            <w:tcW w:w="60" w:type="dxa"/>
            <w:vAlign w:val="bottom"/>
            <w:shd w:val="clear" w:color="auto" w:fill="CCEEFF"/>
          </w:tcPr>
          <w:p>
            <w:pPr>
              <w:spacing w:after="0"/>
              <w:rPr>
                <w:sz w:val="17"/>
                <w:szCs w:val="17"/>
                <w:color w:val="auto"/>
              </w:rPr>
            </w:pPr>
          </w:p>
        </w:tc>
      </w:tr>
      <w:tr>
        <w:trPr>
          <w:trHeight w:val="210"/>
        </w:trPr>
        <w:tc>
          <w:tcPr>
            <w:tcW w:w="6000" w:type="dxa"/>
            <w:vAlign w:val="bottom"/>
            <w:gridSpan w:val="2"/>
          </w:tcPr>
          <w:p>
            <w:pPr>
              <w:jc w:val="right"/>
              <w:ind w:right="5252"/>
              <w:spacing w:after="0" w:line="202" w:lineRule="exact"/>
              <w:rPr>
                <w:sz w:val="20"/>
                <w:szCs w:val="20"/>
                <w:color w:val="auto"/>
              </w:rPr>
            </w:pPr>
            <w:r>
              <w:rPr>
                <w:rFonts w:ascii="Arial" w:cs="Arial" w:eastAsia="Arial" w:hAnsi="Arial"/>
                <w:sz w:val="18"/>
                <w:szCs w:val="18"/>
                <w:color w:val="auto"/>
                <w:w w:val="94"/>
              </w:rPr>
              <w:t>Series B</w:t>
            </w: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76,000,000</w:t>
            </w:r>
          </w:p>
        </w:tc>
        <w:tc>
          <w:tcPr>
            <w:tcW w:w="15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15,165,110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132,833</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113,492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146,221,732</w:t>
            </w:r>
          </w:p>
        </w:tc>
        <w:tc>
          <w:tcPr>
            <w:tcW w:w="15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29,595,909</w:t>
            </w:r>
          </w:p>
        </w:tc>
        <w:tc>
          <w:tcPr>
            <w:tcW w:w="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205,081</w:t>
            </w:r>
          </w:p>
        </w:tc>
        <w:tc>
          <w:tcPr>
            <w:tcW w:w="2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194,133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100"/>
        <w:spacing w:after="0" w:line="273" w:lineRule="auto"/>
        <w:rPr>
          <w:sz w:val="20"/>
          <w:szCs w:val="20"/>
          <w:color w:val="auto"/>
        </w:rPr>
      </w:pPr>
      <w:r>
        <w:rPr>
          <w:rFonts w:ascii="Arial" w:cs="Arial" w:eastAsia="Arial" w:hAnsi="Arial"/>
          <w:sz w:val="16"/>
          <w:szCs w:val="16"/>
          <w:color w:val="auto"/>
        </w:rPr>
        <w:t>The net carrying value of Series A redeemable convertible preferred stock as of December 31, 2017 and 2018 includes $2.2 million of accretion of the redemption value and cumulative dividends on convertible preferred stock prior to January 1, 2017. No accretion of the redemption value was recorded for the years ended December 31, 2017 and 2018 as the redemption provisions were changed on December 1, 2016. The net carrying value of Series B redeemable convertible preferred stock as of December 31, 2018 includes $2.1 million related to the change in the fair value of the redeemable convertible preferred stock tranche liability during the year ended December 31, 2018.</w:t>
      </w:r>
    </w:p>
    <w:p>
      <w:pPr>
        <w:spacing w:after="0" w:line="75" w:lineRule="exact"/>
        <w:rPr>
          <w:sz w:val="20"/>
          <w:szCs w:val="20"/>
          <w:color w:val="auto"/>
        </w:rPr>
      </w:pPr>
    </w:p>
    <w:p>
      <w:pPr>
        <w:ind w:left="200" w:right="280"/>
        <w:spacing w:after="0" w:line="281" w:lineRule="auto"/>
        <w:rPr>
          <w:sz w:val="20"/>
          <w:szCs w:val="20"/>
          <w:color w:val="auto"/>
        </w:rPr>
      </w:pPr>
      <w:r>
        <w:rPr>
          <w:rFonts w:ascii="Arial" w:cs="Arial" w:eastAsia="Arial" w:hAnsi="Arial"/>
          <w:sz w:val="16"/>
          <w:szCs w:val="16"/>
          <w:color w:val="auto"/>
        </w:rPr>
        <w:t>The redeemable convertible preferred stock is recorded outside of permanent equity because while it is not mandatorily redeemable, it will become redeemable upon the occurrence of certain liquidation events that are considered not solely within the Company’s control. Accordingly, the redeemable convertible preferred stock has been presented in the mezzanine section on the consolidated balance sheets.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holders of the Company’s redeemable convertible preferred stock have various rights, preferences, and privileges as follows: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Each share of redeemable convertible preferred stock shall be convertible, at the option of the holder, into such number of fully paid shares of common stock as is determined by dividing the original issue price by the conversion price in effect at the time of conversion. As of December 31, 2017 and 2018, the initial conversion price per share of redeemable convertible preferred stock is equivalent to the original issue price. The original issuance price was $4.87 per share for the Series A redeemable convertible preferred stock and $7.30 per share for the Series B redeemable convertible preferred stock.</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The respective applicable conversion price is subject to adjustment upon any future stock splits or stock combinations, reclassifications or exchanges of similar stock, upon a reorganization, recapitalization, merger or consolidation of the Company, or upon the issuance or sale by the Company of common stock for consideration less than the applicable conversion price.</w:t>
      </w:r>
    </w:p>
    <w:p>
      <w:pPr>
        <w:spacing w:after="0" w:line="100"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Each share of Series A and B redeemable convertible preferred stock automatically converts into the number of shares of common stock determined in accordance with the conversion rate upon the earlier of (a) written consent of a majority of the then outstanding shares of Series A and B redeemable convertible preferred stock, voting together as a single class or (b) the closing of a public offering in which the gross cash proceeds are at least $50.0 million. See Note 14, “Subsequent events.”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The holders of the outstanding shares of each series of redeemable convertible preferred stock are entitled to receive, when and if declared by the Board of Directors, a cumulative cash dividend at the rate of 6% of the applicable original issue price per annum on each outstanding share of redeemable convertible preferred stock. Such dividends are payable in preference to any dividends for common stock declared by the Board of Directors. In the case of a dividend on common stock, the dividend per share of redeemable convertible preferred stock would also include the dividend payable on each share determined, if applicable, as if all redeemable convertible preferred stock had been converted to common stock. No dividends had been declared or paid to holders of redeemable convertible preferred stock as of December 31, 2018.</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the event of any liquidation, dissolution, winding up, or deemed liquidation event of the Company, either voluntary or involuntary, the holders of redeemable convertible preferred stock shall be entitled to receive pro rata, prior and in preference to any distribution to the holders of the common stock, an amount equal to the original issuance prices of each series (in each case, as adjusted for stock splits, stock dividends or distributions, recapitalizations, and similar events) and all declared but unpaid dividends, if any. If the assets and funds to be distributed among the holders of redeemable convertible preferred stock are insufficient to permit the payment to such holders, then the entire assets and funds of the Company legally available for distribution will be distributed ratably among the holders of redeemable convertible preferred stock in proportion to the preferential amount each such holder is otherwise entitled to receive.</w:t>
      </w:r>
    </w:p>
    <w:p>
      <w:pPr>
        <w:spacing w:after="0" w:line="101"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Upon the payment of the full liquidation preference of redeemable convertible preferred stock, the remaining assets of the Company, if any, shall be distributed ratably to the holders of common stock.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Each share of redeemable convertible preferred stock has a number of votes equal to the number of shares of common stock into which it is convertible. The holders of Series A redeemable convertible preferred stock have the right to elect two members of the Company’s Board of Directors. The holders of Series B redeemable convertible preferred stock have the right to elect one member of the Company’s Board of Directors. The holders of common stock have the right to elect one member of the Company’s Board of Directors. The holders of common stock and redeemable convertible preferred stock, voting together as a single class on an as-converted basis, are entitled to elect one member of the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9. Common stock</w:t>
      </w:r>
    </w:p>
    <w:p>
      <w:pPr>
        <w:spacing w:after="0" w:line="134"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As of December 31, 2017 and December 31, 2018, the Company’s certificate of incorporation authorized the Company to issue 94,695,000 and 172,000,000 shares of common stock, respectively, at a par value of</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60"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00"/>
        <w:spacing w:after="0" w:line="236" w:lineRule="auto"/>
        <w:rPr>
          <w:sz w:val="20"/>
          <w:szCs w:val="20"/>
          <w:color w:val="auto"/>
        </w:rPr>
      </w:pPr>
      <w:r>
        <w:rPr>
          <w:rFonts w:ascii="Arial" w:cs="Arial" w:eastAsia="Arial" w:hAnsi="Arial"/>
          <w:sz w:val="18"/>
          <w:szCs w:val="18"/>
          <w:color w:val="auto"/>
        </w:rPr>
        <w:t>$0.0001 per share. As of December 31, 2018, the Company has reserved shares of common stock for issuance upon conversion of redeemable convertible preferred stock and exercise of stock options. Each share of common stock is entitled to one vote. The holders of common stock are also entitled to receive dividends whenever funds are legally available and when declared by the Board of Directors, subject to prior rights of the redeemable convertible preferred stockholders. As of December 31, 2018, no dividends have been declared to date.</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has reserved shares of common stock, on an as-converted basis, for future issuance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2540" w:type="dxa"/>
            <w:vAlign w:val="bottom"/>
            <w:gridSpan w:val="3"/>
          </w:tcPr>
          <w:p>
            <w:pPr>
              <w:ind w:left="6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134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14,430,799</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29,595,909</w:t>
            </w:r>
          </w:p>
        </w:tc>
        <w:tc>
          <w:tcPr>
            <w:tcW w:w="100" w:type="dxa"/>
            <w:vAlign w:val="bottom"/>
            <w:shd w:val="clear" w:color="auto" w:fill="CCEEFF"/>
          </w:tcPr>
          <w:p>
            <w:pPr>
              <w:spacing w:after="0"/>
              <w:rPr>
                <w:sz w:val="17"/>
                <w:szCs w:val="17"/>
                <w:color w:val="auto"/>
              </w:rPr>
            </w:pPr>
          </w:p>
        </w:tc>
      </w:tr>
      <w:tr>
        <w:trPr>
          <w:trHeight w:val="203"/>
        </w:trPr>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Outstanding options to purchase common stock</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981,176</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1,632,797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Available for future issuance under the 2014 Equity Incentive Plan</w:t>
            </w:r>
          </w:p>
        </w:tc>
        <w:tc>
          <w:tcPr>
            <w:tcW w:w="134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149,667</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401,447</w:t>
            </w:r>
          </w:p>
        </w:tc>
        <w:tc>
          <w:tcPr>
            <w:tcW w:w="10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8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15,561,642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31,630,153</w:t>
            </w:r>
          </w:p>
        </w:tc>
        <w:tc>
          <w:tcPr>
            <w:tcW w:w="100" w:type="dxa"/>
            <w:vAlign w:val="bottom"/>
          </w:tcPr>
          <w:p>
            <w:pPr>
              <w:spacing w:after="0"/>
              <w:rPr>
                <w:sz w:val="19"/>
                <w:szCs w:val="19"/>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10. Stock-based compensation</w:t>
      </w:r>
    </w:p>
    <w:p>
      <w:pPr>
        <w:spacing w:after="0" w:line="134"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In December 2014, the Company adopted the 2014 Equity Incentive Plan (2014 Plan). The 2014 Plan provides for the Company to issue restricted common stock, or to grant incentive stock options or nonqualified stock options for the purchase of common stock, to employees, members of the Board of Directors and consultants of the Company under terms and provisions established by the Board of Directors. The Company generally grants stock-based awards with service-based vesting conditions only. Options granted typically vest over a four-year period but may be granted with different vesting terms.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summarizes option activity under the 2014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average</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1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6"/>
              </w:rPr>
              <w:t>Number</w:t>
            </w:r>
          </w:p>
        </w:tc>
        <w:tc>
          <w:tcPr>
            <w:tcW w:w="360" w:type="dxa"/>
            <w:vAlign w:val="bottom"/>
          </w:tcPr>
          <w:p>
            <w:pPr>
              <w:spacing w:after="0"/>
              <w:rPr>
                <w:sz w:val="17"/>
                <w:szCs w:val="17"/>
                <w:color w:val="auto"/>
              </w:rPr>
            </w:pPr>
          </w:p>
        </w:tc>
        <w:tc>
          <w:tcPr>
            <w:tcW w:w="128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w w:val="98"/>
              </w:rPr>
              <w:t>Weighted-</w:t>
            </w: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remaining</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1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3"/>
              </w:rPr>
              <w:t>of</w:t>
            </w:r>
          </w:p>
        </w:tc>
        <w:tc>
          <w:tcPr>
            <w:tcW w:w="360" w:type="dxa"/>
            <w:vAlign w:val="bottom"/>
          </w:tcPr>
          <w:p>
            <w:pPr>
              <w:spacing w:after="0"/>
              <w:rPr>
                <w:sz w:val="17"/>
                <w:szCs w:val="17"/>
                <w:color w:val="auto"/>
              </w:rPr>
            </w:pPr>
          </w:p>
        </w:tc>
        <w:tc>
          <w:tcPr>
            <w:tcW w:w="1280" w:type="dxa"/>
            <w:vAlign w:val="bottom"/>
          </w:tcPr>
          <w:p>
            <w:pPr>
              <w:jc w:val="right"/>
              <w:ind w:right="412"/>
              <w:spacing w:after="0" w:line="202" w:lineRule="exact"/>
              <w:rPr>
                <w:sz w:val="20"/>
                <w:szCs w:val="20"/>
                <w:color w:val="auto"/>
              </w:rPr>
            </w:pPr>
            <w:r>
              <w:rPr>
                <w:rFonts w:ascii="Arial" w:cs="Arial" w:eastAsia="Arial" w:hAnsi="Arial"/>
                <w:sz w:val="18"/>
                <w:szCs w:val="18"/>
                <w:b w:val="1"/>
                <w:bCs w:val="1"/>
                <w:color w:val="auto"/>
              </w:rPr>
              <w:t>average</w:t>
            </w: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contractual</w:t>
            </w:r>
          </w:p>
        </w:tc>
        <w:tc>
          <w:tcPr>
            <w:tcW w:w="380" w:type="dxa"/>
            <w:vAlign w:val="bottom"/>
          </w:tcPr>
          <w:p>
            <w:pPr>
              <w:spacing w:after="0"/>
              <w:rPr>
                <w:sz w:val="17"/>
                <w:szCs w:val="17"/>
                <w:color w:val="auto"/>
              </w:rPr>
            </w:pPr>
          </w:p>
        </w:tc>
        <w:tc>
          <w:tcPr>
            <w:tcW w:w="114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21"/>
        </w:trPr>
        <w:tc>
          <w:tcPr>
            <w:tcW w:w="20" w:type="dxa"/>
            <w:vAlign w:val="bottom"/>
          </w:tcPr>
          <w:p>
            <w:pPr>
              <w:spacing w:after="0"/>
              <w:rPr>
                <w:sz w:val="19"/>
                <w:szCs w:val="19"/>
                <w:color w:val="auto"/>
              </w:rPr>
            </w:pPr>
          </w:p>
        </w:tc>
        <w:tc>
          <w:tcPr>
            <w:tcW w:w="5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8"/>
              </w:rPr>
              <w:t>options</w:t>
            </w:r>
          </w:p>
        </w:tc>
        <w:tc>
          <w:tcPr>
            <w:tcW w:w="16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exercise price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term</w:t>
            </w:r>
          </w:p>
        </w:tc>
        <w:tc>
          <w:tcPr>
            <w:tcW w:w="15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intrinsic value</w:t>
            </w:r>
          </w:p>
        </w:tc>
      </w:tr>
      <w:tr>
        <w:trPr>
          <w:trHeight w:val="196"/>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7"/>
              </w:rPr>
              <w:t>(in years)</w:t>
            </w:r>
          </w:p>
        </w:tc>
        <w:tc>
          <w:tcPr>
            <w:tcW w:w="152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2017</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521,749</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0.39</w:t>
            </w: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1,079,285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0.49</w:t>
            </w: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Options exercised</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(577,646)</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0.47</w:t>
            </w: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Options cancelled</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(42,212)</w:t>
            </w:r>
          </w:p>
        </w:tc>
        <w:tc>
          <w:tcPr>
            <w:tcW w:w="360" w:type="dxa"/>
            <w:vAlign w:val="bottom"/>
          </w:tcPr>
          <w:p>
            <w:pPr>
              <w:spacing w:after="0"/>
              <w:rPr>
                <w:sz w:val="18"/>
                <w:szCs w:val="18"/>
                <w:color w:val="auto"/>
              </w:rPr>
            </w:pPr>
          </w:p>
        </w:tc>
        <w:tc>
          <w:tcPr>
            <w:tcW w:w="12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0.42</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2017</w:t>
            </w: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981,176</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0.45</w:t>
            </w:r>
          </w:p>
        </w:tc>
        <w:tc>
          <w:tcPr>
            <w:tcW w:w="14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8.94</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1,439,800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1.18</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Options exercised</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(653,796)</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0.64</w:t>
            </w: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Options cancelled</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(134,383)</w:t>
            </w:r>
          </w:p>
        </w:tc>
        <w:tc>
          <w:tcPr>
            <w:tcW w:w="360" w:type="dxa"/>
            <w:vAlign w:val="bottom"/>
          </w:tcPr>
          <w:p>
            <w:pPr>
              <w:spacing w:after="0"/>
              <w:rPr>
                <w:sz w:val="18"/>
                <w:szCs w:val="18"/>
                <w:color w:val="auto"/>
              </w:rPr>
            </w:pPr>
          </w:p>
        </w:tc>
        <w:tc>
          <w:tcPr>
            <w:tcW w:w="12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0.92</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2018</w:t>
            </w: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1,632,797</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0.98</w:t>
            </w:r>
          </w:p>
        </w:tc>
        <w:tc>
          <w:tcPr>
            <w:tcW w:w="14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8.76</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5,085</w:t>
            </w:r>
          </w:p>
        </w:tc>
        <w:tc>
          <w:tcPr>
            <w:tcW w:w="60" w:type="dxa"/>
            <w:vAlign w:val="bottom"/>
            <w:shd w:val="clear" w:color="auto" w:fill="CCEEFF"/>
          </w:tcPr>
          <w:p>
            <w:pPr>
              <w:spacing w:after="0"/>
              <w:rPr>
                <w:sz w:val="17"/>
                <w:szCs w:val="17"/>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8"/>
                <w:szCs w:val="18"/>
                <w:color w:val="auto"/>
              </w:rPr>
              <w:t>Options vested and expected to vest as of December 31,</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53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2018</w:t>
            </w: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w w:val="99"/>
              </w:rPr>
              <w:t>1,632,797</w:t>
            </w:r>
          </w:p>
        </w:tc>
        <w:tc>
          <w:tcPr>
            <w:tcW w:w="300" w:type="dxa"/>
            <w:vAlign w:val="bottom"/>
          </w:tcPr>
          <w:p>
            <w:pPr>
              <w:spacing w:after="0"/>
              <w:rPr>
                <w:sz w:val="17"/>
                <w:szCs w:val="17"/>
                <w:color w:val="auto"/>
              </w:rPr>
            </w:pPr>
          </w:p>
        </w:tc>
        <w:tc>
          <w:tcPr>
            <w:tcW w:w="360" w:type="dxa"/>
            <w:vAlign w:val="bottom"/>
          </w:tcPr>
          <w:p>
            <w:pPr>
              <w:ind w:left="220"/>
              <w:spacing w:after="0" w:line="200"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0.98</w:t>
            </w:r>
          </w:p>
        </w:tc>
        <w:tc>
          <w:tcPr>
            <w:tcW w:w="14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8.76</w:t>
            </w:r>
          </w:p>
        </w:tc>
        <w:tc>
          <w:tcPr>
            <w:tcW w:w="380" w:type="dxa"/>
            <w:vAlign w:val="bottom"/>
          </w:tcPr>
          <w:p>
            <w:pPr>
              <w:ind w:left="240"/>
              <w:spacing w:after="0" w:line="200"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5,085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vested and exercisable as of December 31, 2018</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486,397</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0.54</w:t>
            </w:r>
          </w:p>
        </w:tc>
        <w:tc>
          <w:tcPr>
            <w:tcW w:w="14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8.10</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59" w:right="4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common stock, as determined by the Board of Directors. The intrinsic value of options exercised for the years ended December 31, 2017 and 2018 was less than $0.1 million and $0.4 million, respectively.</w:t>
      </w:r>
    </w:p>
    <w:p>
      <w:pPr>
        <w:spacing w:after="0" w:line="101"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During the years ended December 31, 2017 and 2018, the weighted-average grant-date fair value of options granted was $0.34 and $1.90 per share, respectively. As of December 31, 2018, there was $2.1 million of unrecognized stock-based compensation expense related to unvested stock options that is expected to be recognized over a weighted-average period of 2.7 years.</w:t>
      </w:r>
    </w:p>
    <w:p>
      <w:pPr>
        <w:spacing w:after="0" w:line="100"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The total fair value of options vested for the years ended December 31, 2017 and December 31, 2018 was $0.1 million and $0.7 million, respectively.</w:t>
      </w:r>
    </w:p>
    <w:p>
      <w:pPr>
        <w:spacing w:after="0" w:line="101"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The fair value of employee and director stock option awards was estimated at the date of grant using a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2017</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2018</w:t>
            </w: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5–6</w:t>
            </w: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5–6</w:t>
            </w:r>
          </w:p>
        </w:tc>
      </w:tr>
      <w:tr>
        <w:trPr>
          <w:trHeight w:val="203"/>
        </w:trPr>
        <w:tc>
          <w:tcPr>
            <w:tcW w:w="870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7"/>
              </w:rPr>
              <w:t>79%–81%</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7"/>
              </w:rPr>
              <w:t>79%–81%</w:t>
            </w: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1.8%–2.2%</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2.5%–3.0%</w:t>
            </w:r>
          </w:p>
        </w:tc>
      </w:tr>
      <w:tr>
        <w:trPr>
          <w:trHeight w:val="215"/>
        </w:trPr>
        <w:tc>
          <w:tcPr>
            <w:tcW w:w="8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Dividend yield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bl>
    <w:p>
      <w:pPr>
        <w:spacing w:after="0" w:line="111" w:lineRule="exact"/>
        <w:rPr>
          <w:sz w:val="20"/>
          <w:szCs w:val="20"/>
          <w:color w:val="auto"/>
        </w:rPr>
      </w:pPr>
    </w:p>
    <w:p>
      <w:pPr>
        <w:jc w:val="both"/>
        <w:ind w:left="200" w:right="120"/>
        <w:spacing w:after="0" w:line="239" w:lineRule="auto"/>
        <w:rPr>
          <w:sz w:val="20"/>
          <w:szCs w:val="20"/>
          <w:color w:val="auto"/>
        </w:rPr>
      </w:pPr>
      <w:r>
        <w:rPr>
          <w:rFonts w:ascii="Arial" w:cs="Arial" w:eastAsia="Arial" w:hAnsi="Arial"/>
          <w:sz w:val="18"/>
          <w:szCs w:val="18"/>
          <w:color w:val="auto"/>
        </w:rPr>
        <w:t>Non-employee stock option awards were measured at fair value at each reporting period using a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2017</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2018</w:t>
            </w: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8–10</w:t>
            </w: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7–10</w:t>
            </w:r>
          </w:p>
        </w:tc>
      </w:tr>
      <w:tr>
        <w:trPr>
          <w:trHeight w:val="203"/>
        </w:trPr>
        <w:tc>
          <w:tcPr>
            <w:tcW w:w="870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7"/>
              </w:rPr>
              <w:t>79%–81%</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80%</w:t>
            </w: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2.0%–2.4%</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2.9%–3.0%</w:t>
            </w:r>
          </w:p>
        </w:tc>
      </w:tr>
      <w:tr>
        <w:trPr>
          <w:trHeight w:val="215"/>
        </w:trPr>
        <w:tc>
          <w:tcPr>
            <w:tcW w:w="8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Dividend yield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bl>
    <w:p>
      <w:pPr>
        <w:spacing w:after="0" w:line="111" w:lineRule="exact"/>
        <w:rPr>
          <w:sz w:val="20"/>
          <w:szCs w:val="20"/>
          <w:color w:val="auto"/>
        </w:rPr>
      </w:pPr>
    </w:p>
    <w:p>
      <w:pPr>
        <w:ind w:left="200" w:right="80"/>
        <w:spacing w:after="0" w:line="271" w:lineRule="auto"/>
        <w:rPr>
          <w:sz w:val="20"/>
          <w:szCs w:val="20"/>
          <w:color w:val="auto"/>
        </w:rPr>
      </w:pPr>
      <w:r>
        <w:rPr>
          <w:rFonts w:ascii="Arial" w:cs="Arial" w:eastAsia="Arial" w:hAnsi="Arial"/>
          <w:sz w:val="16"/>
          <w:szCs w:val="16"/>
          <w:color w:val="auto"/>
        </w:rPr>
        <w:t>The fair value of the shares of common stock underlying stock options has historically been determined by the Company’s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redeemable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Black-Scholes model assumptions that determine the fair value of stock-based awards include:</w:t>
      </w:r>
    </w:p>
    <w:p>
      <w:pPr>
        <w:spacing w:after="0" w:line="86" w:lineRule="exact"/>
        <w:rPr>
          <w:sz w:val="20"/>
          <w:szCs w:val="20"/>
          <w:color w:val="auto"/>
        </w:rPr>
      </w:pPr>
    </w:p>
    <w:p>
      <w:pPr>
        <w:jc w:val="both"/>
        <w:ind w:left="420" w:right="140"/>
        <w:spacing w:after="0" w:line="24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weighted-average period the stock options are expected to remain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options’ vesting terms, contractual terms and industry peers, as the Company did not have sufficient historical information to develop reasonable expectations about future exercise patterns and post-vesting employment termination behavior.</w:t>
      </w:r>
    </w:p>
    <w:p>
      <w:pPr>
        <w:spacing w:after="0" w:line="77" w:lineRule="exact"/>
        <w:rPr>
          <w:sz w:val="20"/>
          <w:szCs w:val="20"/>
          <w:color w:val="auto"/>
        </w:rPr>
      </w:pPr>
    </w:p>
    <w:p>
      <w:pPr>
        <w:ind w:left="420" w:right="40"/>
        <w:spacing w:after="0" w:line="24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is privately held and does not have any trading history for its common stock,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estimated based on the average volatility for comparable publicly traded biotechnology companies over a period equal to the expected term of the stock option grants. The comparable companies were chosen based on their similar size, stage in the life cycle or area of specialty.</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 w:right="20"/>
        <w:spacing w:after="0" w:line="260"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Expected dividend</w:t>
      </w:r>
      <w:r>
        <w:rPr>
          <w:rFonts w:ascii="Arial" w:cs="Arial" w:eastAsia="Arial" w:hAnsi="Arial"/>
          <w:sz w:val="16"/>
          <w:szCs w:val="16"/>
          <w:color w:val="auto"/>
        </w:rPr>
        <w:t>—The Company has never paid dividends on its common stock and has no plans to pay dividends on its common stock.</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Therefore, the Company used an expected dividend yield of zero.</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stock-based compensation expense by function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p>
      <w:pPr>
        <w:jc w:val="center"/>
        <w:ind w:left="952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95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-4445</wp:posOffset>
            </wp:positionV>
            <wp:extent cx="89217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46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$ 107</w:t>
            </w: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w:t>
            </w:r>
          </w:p>
        </w:tc>
        <w:tc>
          <w:tcPr>
            <w:tcW w:w="60" w:type="dxa"/>
            <w:vAlign w:val="bottom"/>
            <w:shd w:val="clear" w:color="auto" w:fill="CCEEFF"/>
          </w:tcPr>
          <w:p>
            <w:pPr>
              <w:spacing w:after="0"/>
              <w:rPr>
                <w:sz w:val="17"/>
                <w:szCs w:val="17"/>
                <w:color w:val="auto"/>
              </w:rPr>
            </w:pPr>
          </w:p>
        </w:tc>
      </w:tr>
      <w:tr>
        <w:trPr>
          <w:trHeight w:val="210"/>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w:t>
            </w:r>
          </w:p>
        </w:tc>
        <w:tc>
          <w:tcPr>
            <w:tcW w:w="3720" w:type="dxa"/>
            <w:vAlign w:val="bottom"/>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$ 141</w:t>
            </w: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Stock-based compensation related to options granted to non-employees was less than $0.1 million and $0.3 million for the years ended December 31, 2017 and 2018, respectively.</w:t>
      </w:r>
    </w:p>
    <w:p>
      <w:pPr>
        <w:spacing w:after="0" w:line="101"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Company allows its employees, non-employees and directors to exercise options granted under the 2014 Plan prior to vesting. The shares related to early exercised stock options are subject to the Company’s lapsing repurchase right upon termination of employment at the original purchase price. In order to vest, the holders are required to provide continued service to the Company. The proceeds are initially recorded in other noncurrent liabilities and are reclassified to common stock and additional paid-in capital as the repurchase right lapses. As of December 31, 2017 and 2018, there were 541,476 and 615,742 shares, respectively, and $0.3 million and $0.3 million, respectively, recorded in other noncurrent liabilities, related to early exercised shares that were subject to repurchase.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24"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In 2014, the Company issued restricted stock awards to employees and directors under the 2014 Plan at a purchase price of $0.0001 per share. The shares related to restricted stock awards vest over a four-year period and are subject to a lapsing repurchase right upon termination of employment at the original purchase price. Recipients of restricted stock awards have voting and dividend rights with respect to such shares upon grant without regard to vesting.</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restricted stock activity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Number of</w:t>
            </w:r>
          </w:p>
        </w:tc>
      </w:tr>
      <w:tr>
        <w:trPr>
          <w:trHeight w:val="203"/>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4480" w:type="dxa"/>
            <w:vAlign w:val="bottom"/>
            <w:gridSpan w:val="3"/>
          </w:tcPr>
          <w:p>
            <w:pPr>
              <w:jc w:val="center"/>
              <w:ind w:left="2732"/>
              <w:spacing w:after="0" w:line="202" w:lineRule="exact"/>
              <w:rPr>
                <w:sz w:val="20"/>
                <w:szCs w:val="20"/>
                <w:color w:val="auto"/>
              </w:rPr>
            </w:pPr>
            <w:r>
              <w:rPr>
                <w:rFonts w:ascii="Arial" w:cs="Arial" w:eastAsia="Arial" w:hAnsi="Arial"/>
                <w:sz w:val="18"/>
                <w:szCs w:val="18"/>
                <w:b w:val="1"/>
                <w:bCs w:val="1"/>
                <w:color w:val="auto"/>
                <w:w w:val="97"/>
              </w:rPr>
              <w:t>restricted shares</w:t>
            </w:r>
          </w:p>
        </w:tc>
      </w:tr>
      <w:tr>
        <w:trPr>
          <w:trHeight w:val="221"/>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7"/>
              </w:rPr>
              <w:t>outstanding</w:t>
            </w: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restricted stock, January 1, 2017</w:t>
            </w:r>
          </w:p>
        </w:tc>
        <w:tc>
          <w:tcPr>
            <w:tcW w:w="4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711,983</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Restricted stock vested</w:t>
            </w:r>
          </w:p>
        </w:tc>
        <w:tc>
          <w:tcPr>
            <w:tcW w:w="44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(259,554)</w:t>
            </w: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Unvested stock repurchased</w:t>
            </w:r>
          </w:p>
        </w:tc>
        <w:tc>
          <w:tcPr>
            <w:tcW w:w="29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(269,616)</w:t>
            </w: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Unvested restricted stock, December 31, 2017</w:t>
            </w:r>
          </w:p>
        </w:tc>
        <w:tc>
          <w:tcPr>
            <w:tcW w:w="294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182,813</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Restricted stock vested</w:t>
            </w:r>
          </w:p>
        </w:tc>
        <w:tc>
          <w:tcPr>
            <w:tcW w:w="29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(182,813)</w:t>
            </w:r>
          </w:p>
        </w:tc>
      </w:tr>
      <w:tr>
        <w:trPr>
          <w:trHeight w:val="222"/>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Unvested restricted stock, December 31, 2018</w:t>
            </w:r>
          </w:p>
        </w:tc>
        <w:tc>
          <w:tcPr>
            <w:tcW w:w="2940" w:type="dxa"/>
            <w:vAlign w:val="bottom"/>
            <w:tcBorders>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The total fair value of restricted stock vested during the years ended December 31, 2017 and 2018 was less than $0.1 million for both years presented. As of December 31, 2017 and 2018, the liability for unvested restricted stock that was subject to repurchase was less than $0.1 million and zero, respectively.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60" w:right="41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11. Income taxes</w:t>
      </w:r>
    </w:p>
    <w:p>
      <w:pPr>
        <w:spacing w:after="0" w:line="134"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No provision for income taxes was recorded for the years ended December 31, 2017 and 2018. The Company has incurred net pre-tax losses in the United States only for all periods presented. The Company has not reflected any benefit of such net operating loss carryforwards in the accompanying consolidated financial statements.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provision for income taxes differs from the amount expected by applying the federal statutory rate to the loss before taxes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p>
      <w:pPr>
        <w:jc w:val="center"/>
        <w:ind w:left="946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94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-4445</wp:posOffset>
            </wp:positionV>
            <wp:extent cx="84074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9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72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34.0%</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7"/>
                <w:szCs w:val="17"/>
                <w:color w:val="auto"/>
              </w:rPr>
            </w:pP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 rate, net of federal benefit</w:t>
            </w: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5.9</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(17.2)</w:t>
            </w: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tax credits</w:t>
            </w: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7"/>
                <w:szCs w:val="17"/>
                <w:color w:val="auto"/>
              </w:rPr>
            </w:pP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(17.0)</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w:t>
            </w: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permanent expenses</w:t>
            </w:r>
          </w:p>
        </w:tc>
        <w:tc>
          <w:tcPr>
            <w:tcW w:w="7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(0.2)</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Remeasurement of deferred tax due to tax law change</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(24.6)</w:t>
            </w: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(0.3)</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7"/>
                <w:szCs w:val="17"/>
                <w:color w:val="auto"/>
              </w:rPr>
            </w:pPr>
          </w:p>
        </w:tc>
      </w:tr>
      <w:tr>
        <w:trPr>
          <w:trHeight w:val="222"/>
        </w:trPr>
        <w:tc>
          <w:tcPr>
            <w:tcW w:w="9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r>
    </w:tbl>
    <w:p>
      <w:pPr>
        <w:spacing w:after="0" w:line="111" w:lineRule="exact"/>
        <w:rPr>
          <w:sz w:val="20"/>
          <w:szCs w:val="20"/>
          <w:color w:val="auto"/>
        </w:rPr>
      </w:pPr>
    </w:p>
    <w:p>
      <w:pPr>
        <w:ind w:left="200" w:right="160"/>
        <w:spacing w:after="0" w:line="235" w:lineRule="auto"/>
        <w:rPr>
          <w:sz w:val="20"/>
          <w:szCs w:val="20"/>
          <w:color w:val="auto"/>
        </w:rPr>
      </w:pPr>
      <w:r>
        <w:rPr>
          <w:rFonts w:ascii="Arial" w:cs="Arial" w:eastAsia="Arial" w:hAnsi="Arial"/>
          <w:sz w:val="18"/>
          <w:szCs w:val="18"/>
          <w:color w:val="auto"/>
        </w:rPr>
        <w:t>In December 2017, the U.S. government enacted comprehensive tax legislation through the Tax Cuts and Jobs Act (Tax Act). The Tax Act significantly revises the future ongoing U.S. corporate income tax by, among other things, lowering the U.S. corporate income tax rates and implementing a modified territorial tax system. The corporate tax rate was reduced from 34% to 21% for tax years beginning after December 31, 2017. Changes in tax law are accounted for in the period of enactment. As such, the Company’s consolidated financial statements as of December 31, 2017 reflect the impact of this Tax Act, which primarily consisted of remeasuring the Company’s deferred tax assets and valuation allowance using the newly enacted U.S. corporate tax rate. This rate change resulted in a $7.7 million reduction in the Company’s net deferred tax assets from the prior year with a corresponding offset to the valuation allowance. Under the Tax Act, net operating losses arising after December 31, 2017 do not expire and cannot be carried back. However, the Tax Act limits the amount of net operating losses that can be used annually to 80% of taxable income for periods beginning after December 31, 2017. Existing net operating losses arising in years ending on or before December 31, 2017 are not affected by these provisions.</w:t>
      </w:r>
    </w:p>
    <w:p>
      <w:pPr>
        <w:spacing w:after="0" w:line="107"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In December 2017, the SEC staff issued Staff Accounting Bulletin No. 118 (SAB 118), which provides guidance for the tax effects of the 2018 Tax Act. SAB 118 provides a measurement period that should not extend beyond one year from the Tax Act’s enactment date for companies to complete the accounting under ASC 740. In accordance with SAB 118, the Company must reflect the income tax effects of those aspects of the Tax Act for which the accounting under ASC 740 is complete. To the extent that the Company’s accounting for certain income tax effects of the Tax Act is incomplete, but is it able to determine a reasonable estimate, the Company must record a provisional estimate in its financial statements. If the Company cannot determine a provisional estimate to be included in its financial statements, it should continue to apply ASC 740 on the basis of the provisions of the tax laws that were in effect immediately before the enactment of the Tax Act. The amounts of the tax effects related to the Tax Act reflected in the Company’s consolidated financial statements as of December 31, 2017 represented the Company’s reasonable estimates and were provisional amounts within the meaning of SAB 118. The Company completed its analysis of the Tax Act’s income tax effects during the year ended December 31, 2018. There was no material impact to the consolidated financial statements as of and for the year ended December 31, 2018.</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Company has established a valuation allowance against its deferred tax assets due to the uncertainty surrounding the realization of such assets. Significant components of the Company’s deferred tax assets and liabilities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6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3"/>
          </w:tcPr>
          <w:p>
            <w:pPr>
              <w:jc w:val="right"/>
              <w:ind w:right="46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2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16,448</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$ 19,579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Accruals and reserves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1,331</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11,338</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 credits</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1,403</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6,707</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Fixed assets and finite-lived intangible assets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524</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35</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2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15</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7"/>
                <w:szCs w:val="17"/>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19,756</w:t>
            </w:r>
          </w:p>
        </w:tc>
        <w:tc>
          <w:tcPr>
            <w:tcW w:w="900" w:type="dxa"/>
            <w:vAlign w:val="bottom"/>
          </w:tcPr>
          <w:p>
            <w:pPr>
              <w:jc w:val="right"/>
              <w:spacing w:after="0"/>
              <w:rPr>
                <w:sz w:val="20"/>
                <w:szCs w:val="20"/>
                <w:color w:val="auto"/>
              </w:rPr>
            </w:pPr>
            <w:r>
              <w:rPr>
                <w:rFonts w:ascii="Arial" w:cs="Arial" w:eastAsia="Arial" w:hAnsi="Arial"/>
                <w:sz w:val="18"/>
                <w:szCs w:val="18"/>
                <w:color w:val="auto"/>
              </w:rPr>
              <w:t>37,784</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(19,756)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(34,870)</w:t>
            </w:r>
          </w:p>
        </w:tc>
      </w:tr>
      <w:tr>
        <w:trPr>
          <w:trHeight w:val="221"/>
        </w:trPr>
        <w:tc>
          <w:tcPr>
            <w:tcW w:w="64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20" w:type="dxa"/>
            <w:vAlign w:val="bottom"/>
          </w:tcPr>
          <w:p>
            <w:pPr>
              <w:spacing w:after="0"/>
              <w:rPr>
                <w:sz w:val="19"/>
                <w:szCs w:val="19"/>
                <w:color w:val="auto"/>
              </w:rPr>
            </w:pPr>
          </w:p>
        </w:tc>
      </w:tr>
      <w:tr>
        <w:trPr>
          <w:trHeight w:val="56"/>
        </w:trPr>
        <w:tc>
          <w:tcPr>
            <w:tcW w:w="6400" w:type="dxa"/>
            <w:vAlign w:val="bottom"/>
            <w:gridSpan w:val="2"/>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line="202" w:lineRule="exact"/>
              <w:rPr>
                <w:sz w:val="20"/>
                <w:szCs w:val="20"/>
                <w:color w:val="auto"/>
              </w:rPr>
            </w:pPr>
            <w:r>
              <w:rPr>
                <w:rFonts w:ascii="Arial" w:cs="Arial" w:eastAsia="Arial" w:hAnsi="Arial"/>
                <w:sz w:val="18"/>
                <w:szCs w:val="18"/>
                <w:color w:val="auto"/>
              </w:rPr>
              <w:t>Fixed assets and finite-lived intangible assets</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(2,914)</w:t>
            </w: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Indefinite-lived intangible asset</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(12,192)</w:t>
            </w:r>
          </w:p>
        </w:tc>
      </w:tr>
      <w:tr>
        <w:trPr>
          <w:trHeight w:val="20"/>
        </w:trPr>
        <w:tc>
          <w:tcPr>
            <w:tcW w:w="64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Gross deferred tax liabilities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(15,106)</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liability</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(12,192)</w:t>
            </w:r>
          </w:p>
        </w:tc>
      </w:tr>
      <w:tr>
        <w:trPr>
          <w:trHeight w:val="20"/>
        </w:trPr>
        <w:tc>
          <w:tcPr>
            <w:tcW w:w="20" w:type="dxa"/>
            <w:vAlign w:val="bottom"/>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realization of deferred tax assets is dependent upon future earnings, if any, the timing and amount of which are uncertain. Due to the lack of earnings history, the net deferred tax assets have been offset by a valuation allowance. The valuation allowance increased by $5.3 million and $15.1 million during the years ended December 31, 2017 and 2018, respectively.</w:t>
      </w:r>
    </w:p>
    <w:p>
      <w:pPr>
        <w:spacing w:after="0" w:line="100"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The net deferred tax liability represents the difference between the book and tax basis for in-process research and development acquired in connection with the acquisition of Warp Drive. See Note 7, “Acquisition of Warp Drive.”</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had net operating loss carryforwards for federal, California and Massachusetts income tax purposes of $93.2 million,</w:t>
      </w:r>
    </w:p>
    <w:p>
      <w:pPr>
        <w:ind w:left="200" w:right="20"/>
        <w:spacing w:after="0" w:line="273" w:lineRule="auto"/>
        <w:rPr>
          <w:sz w:val="20"/>
          <w:szCs w:val="20"/>
          <w:color w:val="auto"/>
        </w:rPr>
      </w:pPr>
      <w:r>
        <w:rPr>
          <w:rFonts w:ascii="Arial" w:cs="Arial" w:eastAsia="Arial" w:hAnsi="Arial"/>
          <w:sz w:val="16"/>
          <w:szCs w:val="16"/>
          <w:color w:val="auto"/>
        </w:rPr>
        <w:t>$58.8 million and $38.2 million, respectively, as of December 31, 2018. The federal and Massachusetts net operating loss carryforwards, if not utilized, will expire beginning in 2031. California net operating loss carryforwards, if not utilized, will expire beginning in 2034. Under the Tax Act, federal net operating losses arising after December 31, 2017 do not expire and cannot be carried back. However, the Tax Act limits the amount of federal net operating losses that can be used annually to 80% of taxable income for periods beginning after December 31, 2017. Existing federal net operating losses arising in years ending on or before December 31, 2017 are not affected by these provisions.</w:t>
      </w:r>
    </w:p>
    <w:p>
      <w:pPr>
        <w:spacing w:after="0" w:line="75"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The Company also had federal and state research and development credit carryforwards of $5.9 million and $3.9 million, respectively, as of December 31, 2018. The federal credits will expire starting in 2030 if not utilized and the state research credits will expire beginning in 2026, with the exception of $2.8 million in California research credits, which can be carried forward indefinitely.</w:t>
      </w:r>
    </w:p>
    <w:p>
      <w:pPr>
        <w:spacing w:after="0" w:line="100" w:lineRule="exact"/>
        <w:rPr>
          <w:sz w:val="20"/>
          <w:szCs w:val="20"/>
          <w:color w:val="auto"/>
        </w:rPr>
      </w:pPr>
    </w:p>
    <w:p>
      <w:pPr>
        <w:ind w:left="200" w:right="80"/>
        <w:spacing w:after="0" w:line="275" w:lineRule="auto"/>
        <w:rPr>
          <w:sz w:val="20"/>
          <w:szCs w:val="20"/>
          <w:color w:val="auto"/>
        </w:rPr>
      </w:pPr>
      <w:r>
        <w:rPr>
          <w:rFonts w:ascii="Arial" w:cs="Arial" w:eastAsia="Arial" w:hAnsi="Arial"/>
          <w:sz w:val="16"/>
          <w:szCs w:val="16"/>
          <w:color w:val="auto"/>
        </w:rPr>
        <w:t>Federal, California and Massachusetts tax laws impose significant restrictions on the utilization of net operating loss carryforwards in the event of a change in ownership of the Company, as defined by Internal Revenue Code Section 382 (Section 382). The Company performed a study in which it determined that it had experienced a change in ownership in June 2018 as defined by Section 382. No federal or state net operating losses are expected to expire unutilized as a result of the limitation. In addition, in the future the Company may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60" w:right="4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experience ownership changes, which may limit the utilization of net operating loss carryforwards or other tax attributes.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liability related to uncertain tax positions has been recorded in the consolidated financial statements.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December 31,</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80" w:type="dxa"/>
            <w:vAlign w:val="bottom"/>
            <w:gridSpan w:val="4"/>
          </w:tcPr>
          <w:p>
            <w:pPr>
              <w:jc w:val="center"/>
              <w:ind w:right="80"/>
              <w:spacing w:after="0" w:line="196" w:lineRule="exact"/>
              <w:rPr>
                <w:sz w:val="20"/>
                <w:szCs w:val="20"/>
                <w:color w:val="auto"/>
              </w:rPr>
            </w:pPr>
            <w:r>
              <w:rPr>
                <w:rFonts w:ascii="Arial" w:cs="Arial" w:eastAsia="Arial" w:hAnsi="Arial"/>
                <w:sz w:val="18"/>
                <w:szCs w:val="18"/>
                <w:b w:val="1"/>
                <w:bCs w:val="1"/>
                <w:color w:val="auto"/>
                <w:w w:val="98"/>
              </w:rPr>
              <w:t>(in thousands)</w:t>
            </w: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18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line="202" w:lineRule="exact"/>
              <w:rPr>
                <w:sz w:val="20"/>
                <w:szCs w:val="20"/>
                <w:color w:val="auto"/>
              </w:rPr>
            </w:pPr>
            <w:r>
              <w:rPr>
                <w:rFonts w:ascii="Arial" w:cs="Arial" w:eastAsia="Arial" w:hAnsi="Arial"/>
                <w:sz w:val="18"/>
                <w:szCs w:val="18"/>
                <w:color w:val="auto"/>
              </w:rPr>
              <w:t>Changes related to tax positions taken in the prior year</w:t>
            </w:r>
          </w:p>
        </w:tc>
        <w:tc>
          <w:tcPr>
            <w:tcW w:w="318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872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related to tax positions taken in current year</w:t>
            </w:r>
          </w:p>
        </w:tc>
        <w:tc>
          <w:tcPr>
            <w:tcW w:w="26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279</w:t>
            </w:r>
          </w:p>
        </w:tc>
        <w:tc>
          <w:tcPr>
            <w:tcW w:w="2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1,044</w:t>
            </w:r>
          </w:p>
        </w:tc>
        <w:tc>
          <w:tcPr>
            <w:tcW w:w="60" w:type="dxa"/>
            <w:vAlign w:val="bottom"/>
            <w:shd w:val="clear" w:color="auto" w:fill="CCEEFF"/>
          </w:tcPr>
          <w:p>
            <w:pPr>
              <w:spacing w:after="0"/>
              <w:rPr>
                <w:sz w:val="17"/>
                <w:szCs w:val="17"/>
                <w:color w:val="auto"/>
              </w:rPr>
            </w:pPr>
          </w:p>
        </w:tc>
      </w:tr>
      <w:tr>
        <w:trPr>
          <w:trHeight w:val="222"/>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Ending balance</w:t>
            </w:r>
          </w:p>
        </w:tc>
        <w:tc>
          <w:tcPr>
            <w:tcW w:w="31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$525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Company has unrecognized tax benefits of $0.5 million and $2.2 million as of December 31, 2017 and 2018, which would affect the effective tax rate if recognized; however, recognition would be in the form of a deferred tax attribute which would likely be offset by a valuation allowance.</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does not anticipate any significant changes to unrecognized tax benefits over the next 12 months.</w:t>
      </w:r>
    </w:p>
    <w:p>
      <w:pPr>
        <w:spacing w:after="0" w:line="104"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Income tax returns are filed in the United States, California and Massachusetts. The years 2010 through 2018 remain open to examination by the domestic taxing jurisdictions to which the Company is subject. Net operating losses generated on a tax return basis by the Company for 2010 through 2018 remain open to examination by the domestic taxing jurisdictions.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 Net loss per share attributable to common stockholders and unaudited pro forma net Loss per share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4"/>
          </w:tcPr>
          <w:p>
            <w:pPr>
              <w:jc w:val="center"/>
              <w:ind w:right="300"/>
              <w:spacing w:after="0" w:line="177" w:lineRule="exact"/>
              <w:rPr>
                <w:sz w:val="20"/>
                <w:szCs w:val="20"/>
                <w:color w:val="auto"/>
              </w:rPr>
            </w:pPr>
            <w:r>
              <w:rPr>
                <w:rFonts w:ascii="Arial" w:cs="Arial" w:eastAsia="Arial" w:hAnsi="Arial"/>
                <w:sz w:val="18"/>
                <w:szCs w:val="18"/>
                <w:b w:val="1"/>
                <w:bCs w:val="1"/>
                <w:color w:val="auto"/>
                <w:w w:val="97"/>
              </w:rPr>
              <w:t>(in thousands, except share</w:t>
            </w:r>
          </w:p>
        </w:tc>
      </w:tr>
      <w:tr>
        <w:trPr>
          <w:trHeight w:val="233"/>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7"/>
              </w:rPr>
              <w:t>and per share data)</w:t>
            </w:r>
          </w:p>
        </w:tc>
      </w:tr>
      <w:tr>
        <w:trPr>
          <w:trHeight w:val="56"/>
        </w:trPr>
        <w:tc>
          <w:tcPr>
            <w:tcW w:w="74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(31,127)</w:t>
            </w:r>
          </w:p>
        </w:tc>
        <w:tc>
          <w:tcPr>
            <w:tcW w:w="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(41,789)</w:t>
            </w: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dividends—undeclared and cumulative</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(3,763)</w:t>
            </w:r>
          </w:p>
        </w:tc>
        <w:tc>
          <w:tcPr>
            <w:tcW w:w="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(7,031)</w:t>
            </w:r>
          </w:p>
        </w:tc>
      </w:tr>
      <w:tr>
        <w:trPr>
          <w:trHeight w:val="20"/>
        </w:trPr>
        <w:tc>
          <w:tcPr>
            <w:tcW w:w="7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(34,890)</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(48,820)</w:t>
            </w:r>
          </w:p>
        </w:tc>
      </w:tr>
      <w:tr>
        <w:trPr>
          <w:trHeight w:val="75"/>
        </w:trPr>
        <w:tc>
          <w:tcPr>
            <w:tcW w:w="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shares outstanding</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2,469,805</w:t>
            </w: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3,140,848</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Weighted-average unvested restricted shares and shares subject to repurchase</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(746,418)</w:t>
            </w:r>
          </w:p>
        </w:tc>
        <w:tc>
          <w:tcPr>
            <w:tcW w:w="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(842,028)</w:t>
            </w:r>
          </w:p>
        </w:tc>
      </w:tr>
      <w:tr>
        <w:trPr>
          <w:trHeight w:val="213"/>
        </w:trPr>
        <w:tc>
          <w:tcPr>
            <w:tcW w:w="740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net loss per share attributable to common</w:t>
            </w:r>
          </w:p>
        </w:tc>
        <w:tc>
          <w:tcPr>
            <w:tcW w:w="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7380" w:type="dxa"/>
            <w:vAlign w:val="bottom"/>
          </w:tcPr>
          <w:p>
            <w:pPr>
              <w:ind w:left="200"/>
              <w:spacing w:after="0" w:line="200" w:lineRule="exact"/>
              <w:rPr>
                <w:sz w:val="20"/>
                <w:szCs w:val="20"/>
                <w:color w:val="auto"/>
              </w:rPr>
            </w:pPr>
            <w:r>
              <w:rPr>
                <w:rFonts w:ascii="Arial" w:cs="Arial" w:eastAsia="Arial" w:hAnsi="Arial"/>
                <w:sz w:val="18"/>
                <w:szCs w:val="18"/>
                <w:color w:val="auto"/>
              </w:rPr>
              <w:t>stockholders—basic and diluted</w:t>
            </w:r>
          </w:p>
        </w:tc>
        <w:tc>
          <w:tcPr>
            <w:tcW w:w="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52"/>
              <w:spacing w:after="0" w:line="200" w:lineRule="exact"/>
              <w:rPr>
                <w:sz w:val="20"/>
                <w:szCs w:val="20"/>
                <w:color w:val="auto"/>
              </w:rPr>
            </w:pPr>
            <w:r>
              <w:rPr>
                <w:rFonts w:ascii="Arial" w:cs="Arial" w:eastAsia="Arial" w:hAnsi="Arial"/>
                <w:sz w:val="18"/>
                <w:szCs w:val="18"/>
                <w:color w:val="auto"/>
              </w:rPr>
              <w:t>1,723,387</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2,298,820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(21.24)</w:t>
            </w:r>
          </w:p>
        </w:tc>
      </w:tr>
      <w:tr>
        <w:trPr>
          <w:trHeight w:val="20"/>
        </w:trPr>
        <w:tc>
          <w:tcPr>
            <w:tcW w:w="20" w:type="dxa"/>
            <w:vAlign w:val="bottom"/>
          </w:tcPr>
          <w:p>
            <w:pPr>
              <w:spacing w:after="0" w:line="20" w:lineRule="exact"/>
              <w:rPr>
                <w:sz w:val="1"/>
                <w:szCs w:val="1"/>
                <w:color w:val="auto"/>
              </w:rPr>
            </w:pPr>
          </w:p>
        </w:tc>
        <w:tc>
          <w:tcPr>
            <w:tcW w:w="7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7380" w:type="dxa"/>
            <w:vAlign w:val="bottom"/>
          </w:tcPr>
          <w:p>
            <w:pPr>
              <w:ind w:left="5320"/>
              <w:spacing w:after="0"/>
              <w:rPr>
                <w:sz w:val="20"/>
                <w:szCs w:val="20"/>
                <w:color w:val="auto"/>
              </w:rPr>
            </w:pPr>
            <w:r>
              <w:rPr>
                <w:rFonts w:ascii="Arial" w:cs="Arial" w:eastAsia="Arial" w:hAnsi="Arial"/>
                <w:sz w:val="18"/>
                <w:szCs w:val="18"/>
                <w:color w:val="auto"/>
              </w:rPr>
              <w:t>F-32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254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134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14,430,799</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29,595,909</w:t>
            </w:r>
          </w:p>
        </w:tc>
        <w:tc>
          <w:tcPr>
            <w:tcW w:w="100" w:type="dxa"/>
            <w:vAlign w:val="bottom"/>
            <w:shd w:val="clear" w:color="auto" w:fill="CCEEFF"/>
          </w:tcPr>
          <w:p>
            <w:pPr>
              <w:spacing w:after="0"/>
              <w:rPr>
                <w:sz w:val="17"/>
                <w:szCs w:val="17"/>
                <w:color w:val="auto"/>
              </w:rPr>
            </w:pPr>
          </w:p>
        </w:tc>
      </w:tr>
      <w:tr>
        <w:trPr>
          <w:trHeight w:val="203"/>
        </w:trPr>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981,176</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1,632,797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early exercised subject to future vesting</w:t>
            </w:r>
          </w:p>
        </w:tc>
        <w:tc>
          <w:tcPr>
            <w:tcW w:w="13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541,476</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615,742</w:t>
            </w:r>
          </w:p>
        </w:tc>
        <w:tc>
          <w:tcPr>
            <w:tcW w:w="100" w:type="dxa"/>
            <w:vAlign w:val="bottom"/>
            <w:shd w:val="clear" w:color="auto" w:fill="CCEEFF"/>
          </w:tcPr>
          <w:p>
            <w:pPr>
              <w:spacing w:after="0"/>
              <w:rPr>
                <w:sz w:val="17"/>
                <w:szCs w:val="17"/>
                <w:color w:val="auto"/>
              </w:rPr>
            </w:pPr>
          </w:p>
        </w:tc>
      </w:tr>
      <w:tr>
        <w:trPr>
          <w:trHeight w:val="210"/>
        </w:trPr>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Restricted stock subject to future vesting</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182,813</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16,136,264</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31,844,448</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24"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The following table sets forth the computation of unaudited pro forma basic and diluted net loss per share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w:t>
            </w:r>
          </w:p>
        </w:tc>
      </w:tr>
      <w:tr>
        <w:trPr>
          <w:trHeight w:val="221"/>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w w:val="96"/>
              </w:rPr>
              <w:t>(unaudited, in thousands,</w:t>
            </w:r>
          </w:p>
        </w:tc>
        <w:tc>
          <w:tcPr>
            <w:tcW w:w="1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7"/>
              </w:rPr>
              <w:t>except share and per</w:t>
            </w:r>
          </w:p>
        </w:tc>
      </w:tr>
      <w:tr>
        <w:trPr>
          <w:trHeight w:val="221"/>
        </w:trPr>
        <w:tc>
          <w:tcPr>
            <w:tcW w:w="20" w:type="dxa"/>
            <w:vAlign w:val="bottom"/>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7"/>
              </w:rPr>
              <w:t>share data)</w:t>
            </w:r>
          </w:p>
        </w:tc>
      </w:tr>
      <w:tr>
        <w:trPr>
          <w:trHeight w:val="48"/>
        </w:trPr>
        <w:tc>
          <w:tcPr>
            <w:tcW w:w="20" w:type="dxa"/>
            <w:vAlign w:val="bottom"/>
          </w:tcPr>
          <w:p>
            <w:pPr>
              <w:spacing w:after="0"/>
              <w:rPr>
                <w:sz w:val="4"/>
                <w:szCs w:val="4"/>
                <w:color w:val="auto"/>
              </w:rPr>
            </w:pPr>
          </w:p>
        </w:tc>
        <w:tc>
          <w:tcPr>
            <w:tcW w:w="7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9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(48,820)</w:t>
            </w: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Redeemable convertible preferred stock dividends—undeclared and cumulative</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7,031</w:t>
            </w:r>
          </w:p>
        </w:tc>
        <w:tc>
          <w:tcPr>
            <w:tcW w:w="120" w:type="dxa"/>
            <w:vAlign w:val="bottom"/>
            <w:shd w:val="clear" w:color="auto" w:fill="CCEEFF"/>
          </w:tcPr>
          <w:p>
            <w:pPr>
              <w:spacing w:after="0"/>
              <w:rPr>
                <w:sz w:val="17"/>
                <w:szCs w:val="17"/>
                <w:color w:val="auto"/>
              </w:rPr>
            </w:pPr>
          </w:p>
        </w:tc>
      </w:tr>
      <w:tr>
        <w:trPr>
          <w:trHeight w:val="210"/>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Adjust: Change in fair value of redeemable convertible preferred stock liability</w:t>
            </w:r>
          </w:p>
        </w:tc>
        <w:tc>
          <w:tcPr>
            <w:tcW w:w="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2,121</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w:t>
            </w:r>
          </w:p>
        </w:tc>
        <w:tc>
          <w:tcPr>
            <w:tcW w:w="9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(39,668)</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Denominator:</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 average shares used to compute net loss per share attributable to common</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stockholders—basic and diluted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2,298,820</w:t>
            </w:r>
          </w:p>
        </w:tc>
        <w:tc>
          <w:tcPr>
            <w:tcW w:w="120" w:type="dxa"/>
            <w:vAlign w:val="bottom"/>
            <w:shd w:val="clear" w:color="auto" w:fill="CCEEFF"/>
          </w:tcPr>
          <w:p>
            <w:pPr>
              <w:spacing w:after="0"/>
              <w:rPr>
                <w:sz w:val="17"/>
                <w:szCs w:val="17"/>
                <w:color w:val="auto"/>
              </w:rPr>
            </w:pPr>
          </w:p>
        </w:tc>
      </w:tr>
      <w:tr>
        <w:trPr>
          <w:trHeight w:val="210"/>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Pro forma adjustment to reflect conversion of redeemable convertible preferred stock</w:t>
            </w:r>
          </w:p>
        </w:tc>
        <w:tc>
          <w:tcPr>
            <w:tcW w:w="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20,864,440</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used in computing pro forma net loss per share—basic and diluted</w:t>
            </w:r>
          </w:p>
        </w:tc>
        <w:tc>
          <w:tcPr>
            <w:tcW w:w="7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23,163,260</w:t>
            </w:r>
          </w:p>
        </w:tc>
        <w:tc>
          <w:tcPr>
            <w:tcW w:w="120" w:type="dxa"/>
            <w:vAlign w:val="bottom"/>
            <w:shd w:val="clear" w:color="auto" w:fill="CCEEFF"/>
          </w:tcPr>
          <w:p>
            <w:pPr>
              <w:spacing w:after="0"/>
              <w:rPr>
                <w:sz w:val="17"/>
                <w:szCs w:val="17"/>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rPr>
              <w:t>Pro forma net loss per share—basic and diluted</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r>
      <w:tr>
        <w:trPr>
          <w:trHeight w:val="20"/>
        </w:trPr>
        <w:tc>
          <w:tcPr>
            <w:tcW w:w="20" w:type="dxa"/>
            <w:vAlign w:val="bottom"/>
            <w:shd w:val="clear" w:color="auto" w:fill="000000"/>
          </w:tcPr>
          <w:p>
            <w:pPr>
              <w:spacing w:after="0" w:line="20" w:lineRule="exact"/>
              <w:rPr>
                <w:sz w:val="1"/>
                <w:szCs w:val="1"/>
                <w:color w:val="auto"/>
              </w:rPr>
            </w:pPr>
          </w:p>
        </w:tc>
        <w:tc>
          <w:tcPr>
            <w:tcW w:w="79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13. Related party relationships</w:t>
      </w:r>
    </w:p>
    <w:p>
      <w:pPr>
        <w:spacing w:after="0" w:line="13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October 2018, the Company acquired all outstanding shares of Warp Drive Bio, Inc., or Warp Drive. In connection with the acquisition, the Company issued 6,797,915 shares of Series B redeemable convertible preferred stock (the Acquisition Shares). Of the Acquisition Shares, 1,708,824 shares of Series B redeemable convertible preferred stock were issued to entities affiliated with Third Rock Ventures, a related party. In addition, Alexis Borisy, who is currently a member of the Company’s board of directors and was a member of the Company’s board of directors at the time of the acquisition of Warp Drive, was then an affiliate of Third Rock Ventures. Of the Acquisition Shares, 3,363,050 shares of Series B redeemable convertible preferred stock were issued to Sanofi, which became a related party following the acquisition. See Note 6, “Sanofi collaboration agreement,” for a discussion of the Sanofi collaboration agreement.</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connection with the Company’s acquisition of Warp Drive, the Company assumed a Convertible Note issued by Warp Drive to an entity affiliated with Third Rock Ventures, dated October 8, 2018. The Convertible Note was issued in a principal amount of $2.0 million, with interest at an annual rate of 8% computed on the basis of a 360-day year. On October 30, 2018, at the Company’s election, the Company converted the Convertible Note into 200,493 shares of Series B redeemable convertible preferred stock which were issued to an entity affiliated with Third Rock Ventures pursuant to the terms of the Convertible Note.</w:t>
      </w:r>
    </w:p>
    <w:p>
      <w:pPr>
        <w:spacing w:after="0" w:line="103"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Following the Company’s acquisition of Warp Drive, in January 2019, the Company entered into a sublease agreement with Casma to sublease the Cambridge Lease. The sublease by Casma and related sublease payments by Casma to the Company are fully guaranteed by an affiliate of Third Rock Ventures.</w:t>
      </w:r>
    </w:p>
    <w:p>
      <w:pPr>
        <w:spacing w:after="0" w:line="100"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From July 2015 to June 2018, the Company subleased a portion of its Redwood City Lease to Pliant Therapeutics, Inc., an entity affiliated with Third Rock Ventures.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 Subsequent events</w:t>
      </w:r>
    </w:p>
    <w:p>
      <w:pPr>
        <w:spacing w:after="0" w:line="134"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Subsequent events have been evaluated through September 19, 2019, which is the date that these annual consolidated financial statements were available to be issued. The Company has also evaluated subsequent events through February 7, 2020 for the effects of the reverse stock split described in Note 2.</w:t>
      </w:r>
    </w:p>
    <w:p>
      <w:pPr>
        <w:spacing w:after="0" w:line="100"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color w:val="auto"/>
        </w:rPr>
        <w:t>During June and July 2019, the Company issued a total of 10,004,514 shares of Series C redeemable convertible preferred stock at a price of $10.03 per share for total proceeds of $100.0 million, net of issuance costs. The original issue price for the conversion and liquidation preference calculations described in Note 8, “Redeemable Convertible Preferred Stock” for the Series C redeemable convertible preferred stock is $10.03. The automatic conversion feature for all series of redeemable convertible preferred stock related to the closing of an IPO of common stock resulting in at least $50 million in gross proceeds, was adjusted to also require a minimum IPO price of $10.03 per share of common stock, subject to adjustment for stock dividends, stock splits, combinations or other similar recapitalizations.</w:t>
      </w:r>
    </w:p>
    <w:p>
      <w:pPr>
        <w:spacing w:after="0" w:line="77"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In March 2019, the Company granted options to purchase an aggregate of 1,212,639 shares of common stock with an exercise price of $4.09 per share. In August 2019, the Company granted options to purchase an aggregate of 2,020,048 shares of common stock with an exercise price of $4.73 per share.</w:t>
      </w:r>
    </w:p>
    <w:p>
      <w:pPr>
        <w:spacing w:after="0" w:line="100"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In January 2019, the Company sold the genome mining platform and related Roche collaboration agreement acquired during the Warp Drive acquisition to Gingko Bioworks (Gingko). The Company received $6.0 million in cash consideration from Gingko and Roche as part of the transaction, and is entitled to receive up to 25% of future milestones earned by Gingko under the collaboration agreement with Roche included as part of this sale. The Company recognized a loss on disposal of $0.6 million in 2019 as a result of this sale.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Subsequent to Original Issuance of Consolidated Financial Statements (unaudited)</w:t>
      </w:r>
    </w:p>
    <w:p>
      <w:pPr>
        <w:spacing w:after="0" w:line="126"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 November 2019, the Company entered into a clinical trial collaboration agreement with Amgen, Inc. (Amgen) to evaluate the combination of the Company’s SHP2 inhibitor, RMC-4630, with Amgen’s KRAS</w:t>
      </w:r>
      <w:r>
        <w:rPr>
          <w:rFonts w:ascii="Arial" w:cs="Arial" w:eastAsia="Arial" w:hAnsi="Arial"/>
          <w:sz w:val="11"/>
          <w:szCs w:val="11"/>
          <w:color w:val="auto"/>
        </w:rPr>
        <w:t>G12C</w:t>
      </w:r>
      <w:r>
        <w:rPr>
          <w:rFonts w:ascii="Arial" w:cs="Arial" w:eastAsia="Arial" w:hAnsi="Arial"/>
          <w:sz w:val="18"/>
          <w:szCs w:val="18"/>
          <w:color w:val="auto"/>
        </w:rPr>
        <w:t xml:space="preserve"> inhibitor, AMG 510, in a clinical study. Amgen will be responsible for conducting the clinical study at their cost. The Company will be responsible for providing Amgen with clinical supply of RMC-4630 for the planned study.</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December 2019, the Company granted options to purchase 277,012 shares of common stock with an exercise price of $7.50.</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Condensed consolidated balance sheets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and per share data)</w:t>
      </w:r>
    </w:p>
    <w:p>
      <w:pPr>
        <w:ind w:left="2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Pro forma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620" w:type="dxa"/>
            <w:vAlign w:val="bottom"/>
            <w:gridSpan w:val="4"/>
          </w:tcPr>
          <w:p>
            <w:pPr>
              <w:ind w:left="200"/>
              <w:spacing w:after="0" w:line="202" w:lineRule="exact"/>
              <w:rPr>
                <w:sz w:val="20"/>
                <w:szCs w:val="20"/>
                <w:color w:val="auto"/>
              </w:rPr>
            </w:pPr>
            <w:r>
              <w:rPr>
                <w:rFonts w:ascii="Arial" w:cs="Arial" w:eastAsia="Arial" w:hAnsi="Arial"/>
                <w:sz w:val="18"/>
                <w:szCs w:val="18"/>
                <w:b w:val="1"/>
                <w:bCs w:val="1"/>
                <w:color w:val="auto"/>
              </w:rPr>
              <w:t>December 31,</w:t>
            </w:r>
          </w:p>
        </w:tc>
        <w:tc>
          <w:tcPr>
            <w:tcW w:w="1660" w:type="dxa"/>
            <w:vAlign w:val="bottom"/>
            <w:gridSpan w:val="4"/>
          </w:tcPr>
          <w:p>
            <w:pPr>
              <w:ind w:left="200"/>
              <w:spacing w:after="0" w:line="202" w:lineRule="exact"/>
              <w:rPr>
                <w:sz w:val="20"/>
                <w:szCs w:val="20"/>
                <w:color w:val="auto"/>
              </w:rPr>
            </w:pPr>
            <w:r>
              <w:rPr>
                <w:rFonts w:ascii="Arial" w:cs="Arial" w:eastAsia="Arial" w:hAnsi="Arial"/>
                <w:sz w:val="18"/>
                <w:szCs w:val="18"/>
                <w:b w:val="1"/>
                <w:bCs w:val="1"/>
                <w:color w:val="auto"/>
              </w:rPr>
              <w:t>September 30,</w:t>
            </w:r>
          </w:p>
        </w:tc>
        <w:tc>
          <w:tcPr>
            <w:tcW w:w="1540" w:type="dxa"/>
            <w:vAlign w:val="bottom"/>
            <w:gridSpan w:val="4"/>
          </w:tcPr>
          <w:p>
            <w:pPr>
              <w:ind w:left="22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69,586</w:t>
            </w: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21,824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114,464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Receivable from related party</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8,950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1,945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3,879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Assets held for sale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85,431</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63,082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62,280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14,608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14,608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tcPr>
          <w:p>
            <w:pPr>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379</w:t>
            </w:r>
          </w:p>
        </w:tc>
        <w:tc>
          <w:tcPr>
            <w:tcW w:w="2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1,746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170,586</w:t>
            </w:r>
          </w:p>
        </w:tc>
        <w:tc>
          <w:tcPr>
            <w:tcW w:w="26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234,745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20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Liabilities, redeemable convertible preferred stock and stockholders’</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(deficit) equity</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5,236</w:t>
            </w: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8,486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13,118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revenue, related party, current</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16,830</w:t>
            </w:r>
          </w:p>
        </w:tc>
        <w:tc>
          <w:tcPr>
            <w:tcW w:w="2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19,509</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noncurrent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 related party, noncurrent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28,413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15,598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12,192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12,192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516</w:t>
            </w: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73,927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69,077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Redeemable convertible preferred stock, $0.0001 par value; 146,221,732 and</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192,904,770 shares authorized at December 31, 2018 and September 30,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2019, respectively; 29,595,909 and 39,600,423 shares issued and</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outstanding at December 31, 2018 and September 30, 2019, respectively;</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aggregate liquidation preference of $194,133 and $303,928 at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December 31, 2018 and September 30, 2019, respectively; no shares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issued and outstanding, September 30, 2019, pro forma</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205,081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305,114</w:t>
            </w:r>
          </w:p>
        </w:tc>
        <w:tc>
          <w:tcPr>
            <w:tcW w:w="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20" w:type="dxa"/>
            <w:vAlign w:val="bottom"/>
            <w:gridSpan w:val="2"/>
          </w:tcPr>
          <w:p>
            <w:pPr>
              <w:spacing w:after="0"/>
              <w:rPr>
                <w:sz w:val="20"/>
                <w:szCs w:val="20"/>
                <w:color w:val="auto"/>
              </w:rPr>
            </w:pPr>
            <w:r>
              <w:rPr>
                <w:rFonts w:ascii="Arial" w:cs="Arial" w:eastAsia="Arial" w:hAnsi="Arial"/>
                <w:sz w:val="18"/>
                <w:szCs w:val="18"/>
                <w:color w:val="auto"/>
              </w:rPr>
              <w:t>Stockholders’ (deficit) equity:</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Common stock, $0.0001 par value; 172,000,000 and 249,000,000 shares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authorized at December 31, 2018 and September 30, 2019,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respectively; 3,208,924 and 3,301,886 shares issued and outstanding at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December 31, 2018 and September 30, 3019, respectively; 42,902,309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0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shares issued and outstanding, September 30, 2019, pro forma</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3,290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308,400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(109,722)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(142,790)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(142,790)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(108,422)</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(139,446)</w:t>
            </w:r>
          </w:p>
        </w:tc>
        <w:tc>
          <w:tcPr>
            <w:tcW w:w="360" w:type="dxa"/>
            <w:vAlign w:val="bottom"/>
            <w:tcBorders>
              <w:top w:val="single" w:sz="8" w:color="auto"/>
              <w:bottom w:val="single" w:sz="8" w:color="auto"/>
            </w:tcBorders>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165,668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2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(deficit) equity</w:t>
            </w:r>
          </w:p>
        </w:tc>
        <w:tc>
          <w:tcPr>
            <w:tcW w:w="4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170,586</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234,745</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60" w:right="41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100"/>
        <w:spacing w:after="0" w:line="246" w:lineRule="auto"/>
        <w:rPr>
          <w:sz w:val="20"/>
          <w:szCs w:val="20"/>
          <w:color w:val="auto"/>
        </w:rPr>
      </w:pPr>
      <w:r>
        <w:rPr>
          <w:rFonts w:ascii="Arial" w:cs="Arial" w:eastAsia="Arial" w:hAnsi="Arial"/>
          <w:sz w:val="32"/>
          <w:szCs w:val="32"/>
          <w:b w:val="1"/>
          <w:bCs w:val="1"/>
          <w:color w:val="auto"/>
        </w:rPr>
        <w:t>Condensed consolidated statements of operations and comprehensive loss</w:t>
      </w:r>
    </w:p>
    <w:p>
      <w:pPr>
        <w:ind w:left="200"/>
        <w:spacing w:after="0" w:line="236" w:lineRule="auto"/>
        <w:rPr>
          <w:sz w:val="20"/>
          <w:szCs w:val="20"/>
          <w:color w:val="auto"/>
        </w:rPr>
      </w:pPr>
      <w:r>
        <w:rPr>
          <w:rFonts w:ascii="Arial" w:cs="Arial" w:eastAsia="Arial" w:hAnsi="Arial"/>
          <w:sz w:val="18"/>
          <w:szCs w:val="18"/>
          <w:b w:val="1"/>
          <w:bCs w:val="1"/>
          <w:color w:val="auto"/>
        </w:rPr>
        <w:t>(in thousands, except share and per share data)</w:t>
      </w:r>
    </w:p>
    <w:p>
      <w:pPr>
        <w:ind w:left="2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8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8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Collaboration revenue, related party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9,818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37,953</w:t>
            </w:r>
          </w:p>
        </w:tc>
        <w:tc>
          <w:tcPr>
            <w:tcW w:w="120" w:type="dxa"/>
            <w:vAlign w:val="bottom"/>
          </w:tcPr>
          <w:p>
            <w:pPr>
              <w:spacing w:after="0"/>
              <w:rPr>
                <w:sz w:val="18"/>
                <w:szCs w:val="18"/>
                <w:color w:val="auto"/>
              </w:rPr>
            </w:pPr>
          </w:p>
        </w:tc>
      </w:tr>
      <w:tr>
        <w:trPr>
          <w:trHeight w:val="56"/>
        </w:trPr>
        <w:tc>
          <w:tcPr>
            <w:tcW w:w="812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32,903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64,265</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5,575</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8,244</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38,478</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72,509</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(28,660)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(34,556)</w:t>
            </w:r>
          </w:p>
        </w:tc>
      </w:tr>
      <w:tr>
        <w:trPr>
          <w:trHeight w:val="270"/>
        </w:trPr>
        <w:tc>
          <w:tcPr>
            <w:tcW w:w="81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414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expense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(83)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w:t>
            </w: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(2,121)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(1,790)</w:t>
            </w: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(30,450)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(33,068)</w:t>
            </w:r>
          </w:p>
        </w:tc>
      </w:tr>
      <w:tr>
        <w:trPr>
          <w:trHeight w:val="270"/>
        </w:trPr>
        <w:tc>
          <w:tcPr>
            <w:tcW w:w="81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unrealized gains on marketable securities</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(30,450)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(33,014)</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dividends—undeclared and cumulative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(4,512)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(9,987)</w:t>
            </w:r>
          </w:p>
        </w:tc>
      </w:tr>
      <w:tr>
        <w:trPr>
          <w:trHeight w:val="20"/>
        </w:trPr>
        <w:tc>
          <w:tcPr>
            <w:tcW w:w="8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(34,962)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(43,055)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(15.77)</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(15.81)</w:t>
            </w:r>
          </w:p>
        </w:tc>
      </w:tr>
      <w:tr>
        <w:trPr>
          <w:trHeight w:val="213"/>
        </w:trPr>
        <w:tc>
          <w:tcPr>
            <w:tcW w:w="812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net loss per share attributable to common stockholders—</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8100" w:type="dxa"/>
            <w:vAlign w:val="bottom"/>
          </w:tcPr>
          <w:p>
            <w:pPr>
              <w:ind w:left="200"/>
              <w:spacing w:after="0" w:line="200" w:lineRule="exact"/>
              <w:rPr>
                <w:sz w:val="20"/>
                <w:szCs w:val="20"/>
                <w:color w:val="auto"/>
              </w:rPr>
            </w:pPr>
            <w:r>
              <w:rPr>
                <w:rFonts w:ascii="Arial" w:cs="Arial" w:eastAsia="Arial" w:hAnsi="Arial"/>
                <w:sz w:val="18"/>
                <w:szCs w:val="18"/>
                <w:color w:val="auto"/>
              </w:rPr>
              <w:t>basic and diluted</w:t>
            </w: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52"/>
              <w:spacing w:after="0" w:line="200" w:lineRule="exact"/>
              <w:rPr>
                <w:sz w:val="20"/>
                <w:szCs w:val="20"/>
                <w:color w:val="auto"/>
              </w:rPr>
            </w:pPr>
            <w:r>
              <w:rPr>
                <w:rFonts w:ascii="Arial" w:cs="Arial" w:eastAsia="Arial" w:hAnsi="Arial"/>
                <w:sz w:val="18"/>
                <w:szCs w:val="18"/>
                <w:color w:val="auto"/>
                <w:w w:val="97"/>
              </w:rPr>
              <w:t>2,217,159</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2,723,541</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(0.91)</w:t>
            </w:r>
          </w:p>
        </w:tc>
      </w:tr>
      <w:tr>
        <w:trPr>
          <w:trHeight w:val="222"/>
        </w:trPr>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Weighted-average shares used in computing pro forma net loss per share—basic and diluted</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36,473,121</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59" w:right="419" w:bottom="1440" w:gutter="0" w:footer="0" w:header="0"/>
        </w:sectPr>
      </w:pPr>
    </w:p>
    <w:bookmarkStart w:id="265" w:name="page266"/>
    <w:bookmarkEnd w:id="265"/>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1280"/>
        <w:spacing w:after="0" w:line="246" w:lineRule="auto"/>
        <w:rPr>
          <w:sz w:val="20"/>
          <w:szCs w:val="20"/>
          <w:color w:val="auto"/>
        </w:rPr>
      </w:pPr>
      <w:r>
        <w:rPr>
          <w:rFonts w:ascii="Arial" w:cs="Arial" w:eastAsia="Arial" w:hAnsi="Arial"/>
          <w:sz w:val="32"/>
          <w:szCs w:val="32"/>
          <w:b w:val="1"/>
          <w:bCs w:val="1"/>
          <w:color w:val="auto"/>
        </w:rPr>
        <w:t>Condensed consolidated statements of redeemable convertible preferred stock and stockholders’ deficit</w:t>
      </w:r>
    </w:p>
    <w:p>
      <w:pPr>
        <w:ind w:left="200"/>
        <w:spacing w:after="0" w:line="236" w:lineRule="auto"/>
        <w:rPr>
          <w:sz w:val="20"/>
          <w:szCs w:val="20"/>
          <w:color w:val="auto"/>
        </w:rPr>
      </w:pPr>
      <w:r>
        <w:rPr>
          <w:rFonts w:ascii="Arial" w:cs="Arial" w:eastAsia="Arial" w:hAnsi="Arial"/>
          <w:sz w:val="18"/>
          <w:szCs w:val="18"/>
          <w:b w:val="1"/>
          <w:bCs w:val="1"/>
          <w:color w:val="auto"/>
        </w:rPr>
        <w:t>(in thousands, except share data)</w:t>
      </w:r>
    </w:p>
    <w:p>
      <w:pPr>
        <w:ind w:left="200"/>
        <w:spacing w:after="0"/>
        <w:rPr>
          <w:sz w:val="20"/>
          <w:szCs w:val="20"/>
          <w:color w:val="auto"/>
        </w:rPr>
      </w:pPr>
      <w:r>
        <w:rPr>
          <w:rFonts w:ascii="Arial" w:cs="Arial" w:eastAsia="Arial" w:hAnsi="Arial"/>
          <w:sz w:val="18"/>
          <w:szCs w:val="18"/>
          <w:b w:val="1"/>
          <w:bCs w:val="1"/>
          <w:color w:val="auto"/>
        </w:rPr>
        <w:t>(unaudited)</w:t>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60" w:type="dxa"/>
            <w:vAlign w:val="bottom"/>
            <w:tcBorders>
              <w:top w:val="single" w:sz="8" w:color="auto"/>
              <w:right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7"/>
              </w:rPr>
              <w:t>Accumulated</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3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b w:val="1"/>
                <w:bCs w:val="1"/>
                <w:color w:val="auto"/>
              </w:rPr>
              <w:t>Redeemable convertible</w:t>
            </w: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7"/>
                <w:szCs w:val="17"/>
                <w:color w:val="auto"/>
              </w:rPr>
            </w:pPr>
          </w:p>
        </w:tc>
        <w:tc>
          <w:tcPr>
            <w:tcW w:w="1240" w:type="dxa"/>
            <w:vAlign w:val="bottom"/>
          </w:tcPr>
          <w:p>
            <w:pPr>
              <w:jc w:val="center"/>
              <w:ind w:right="72"/>
              <w:spacing w:after="0" w:line="202" w:lineRule="exact"/>
              <w:rPr>
                <w:sz w:val="20"/>
                <w:szCs w:val="20"/>
                <w:color w:val="auto"/>
              </w:rPr>
            </w:pPr>
            <w:r>
              <w:rPr>
                <w:rFonts w:ascii="Arial" w:cs="Arial" w:eastAsia="Arial" w:hAnsi="Arial"/>
                <w:sz w:val="18"/>
                <w:szCs w:val="18"/>
                <w:b w:val="1"/>
                <w:bCs w:val="1"/>
                <w:color w:val="auto"/>
                <w:w w:val="97"/>
              </w:rPr>
              <w:t>other</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b w:val="1"/>
                <w:bCs w:val="1"/>
                <w:color w:val="auto"/>
              </w:rPr>
              <w:t>Total</w:t>
            </w:r>
          </w:p>
        </w:tc>
      </w:tr>
      <w:tr>
        <w:trPr>
          <w:trHeight w:val="221"/>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rPr>
              <w:t>preferred stock</w:t>
            </w: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6"/>
              </w:rPr>
              <w:t>Common stock</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paid-in</w:t>
            </w: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comprehensive</w:t>
            </w: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stockholders’</w:t>
            </w:r>
          </w:p>
        </w:tc>
      </w:tr>
      <w:tr>
        <w:trPr>
          <w:trHeight w:val="223"/>
        </w:trPr>
        <w:tc>
          <w:tcPr>
            <w:tcW w:w="2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Shares</w:t>
            </w: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capital</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5"/>
              </w:rPr>
              <w:t>income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deficit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r>
      <w:tr>
        <w:trPr>
          <w:trHeight w:val="177"/>
        </w:trPr>
        <w:tc>
          <w:tcPr>
            <w:tcW w:w="20" w:type="dxa"/>
            <w:vAlign w:val="bottom"/>
          </w:tcPr>
          <w:p>
            <w:pPr>
              <w:spacing w:after="0"/>
              <w:rPr>
                <w:sz w:val="15"/>
                <w:szCs w:val="15"/>
                <w:color w:val="auto"/>
              </w:rPr>
            </w:pPr>
          </w:p>
        </w:tc>
        <w:tc>
          <w:tcPr>
            <w:tcW w:w="19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at January 1,</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14,430,799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72,248</w:t>
            </w:r>
          </w:p>
        </w:tc>
        <w:tc>
          <w:tcPr>
            <w:tcW w:w="260" w:type="dxa"/>
            <w:vAlign w:val="bottom"/>
            <w:tcBorders>
              <w:right w:val="single" w:sz="8" w:color="auto"/>
            </w:tcBorders>
            <w:shd w:val="clear" w:color="auto" w:fill="CCEEFF"/>
          </w:tcPr>
          <w:p>
            <w:pPr>
              <w:spacing w:after="0"/>
              <w:rPr>
                <w:sz w:val="19"/>
                <w:szCs w:val="19"/>
                <w:color w:val="auto"/>
              </w:rPr>
            </w:pPr>
          </w:p>
        </w:tc>
        <w:tc>
          <w:tcPr>
            <w:tcW w:w="9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2,673,828</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(67,933)</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(67,717)</w:t>
            </w: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Issuance of Series B</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redeemable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convertible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preferred stock for</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cash at $7.30 per</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share, net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issuance costs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$204, adjusted for</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the redeemable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convertible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preferred stock</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420"/>
              <w:spacing w:after="0" w:line="200" w:lineRule="exact"/>
              <w:rPr>
                <w:sz w:val="20"/>
                <w:szCs w:val="20"/>
                <w:color w:val="auto"/>
              </w:rPr>
            </w:pPr>
            <w:r>
              <w:rPr>
                <w:rFonts w:ascii="Arial" w:cs="Arial" w:eastAsia="Arial" w:hAnsi="Arial"/>
                <w:sz w:val="18"/>
                <w:szCs w:val="18"/>
                <w:color w:val="auto"/>
              </w:rPr>
              <w:t>liability of $2,121</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7,731,155</w:t>
            </w:r>
          </w:p>
        </w:tc>
        <w:tc>
          <w:tcPr>
            <w:tcW w:w="14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58,347</w:t>
            </w: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common</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stock pursuant to</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stock option</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exercises</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69,970</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Issuance of common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stock pursuant to</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early exercised</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420"/>
              <w:spacing w:after="0" w:line="200" w:lineRule="exact"/>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
              <w:spacing w:after="0" w:line="200" w:lineRule="exact"/>
              <w:rPr>
                <w:sz w:val="20"/>
                <w:szCs w:val="20"/>
                <w:color w:val="auto"/>
              </w:rPr>
            </w:pPr>
            <w:r>
              <w:rPr>
                <w:rFonts w:ascii="Arial" w:cs="Arial" w:eastAsia="Arial" w:hAnsi="Arial"/>
                <w:sz w:val="18"/>
                <w:szCs w:val="18"/>
                <w:color w:val="auto"/>
              </w:rPr>
              <w:t>538,725</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Vesting of early</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exercised stock</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options and</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restricted stock</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Stock-based</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compensation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420"/>
              <w:spacing w:after="0" w:line="200" w:lineRule="exact"/>
              <w:rPr>
                <w:sz w:val="20"/>
                <w:szCs w:val="20"/>
                <w:color w:val="auto"/>
              </w:rPr>
            </w:pPr>
            <w:r>
              <w:rPr>
                <w:rFonts w:ascii="Arial" w:cs="Arial" w:eastAsia="Arial" w:hAnsi="Arial"/>
                <w:sz w:val="18"/>
                <w:szCs w:val="18"/>
                <w:color w:val="auto"/>
              </w:rPr>
              <w:t>expense</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9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574</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574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(30,450)</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(30,450)</w:t>
            </w:r>
          </w:p>
        </w:tc>
      </w:tr>
      <w:tr>
        <w:trPr>
          <w:trHeight w:val="191"/>
        </w:trPr>
        <w:tc>
          <w:tcPr>
            <w:tcW w:w="20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Balance at</w:t>
            </w:r>
          </w:p>
        </w:tc>
        <w:tc>
          <w:tcPr>
            <w:tcW w:w="1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1980" w:type="dxa"/>
            <w:vAlign w:val="bottom"/>
          </w:tcPr>
          <w:p>
            <w:pPr>
              <w:ind w:left="200"/>
              <w:spacing w:after="0"/>
              <w:rPr>
                <w:sz w:val="20"/>
                <w:szCs w:val="20"/>
                <w:color w:val="auto"/>
              </w:rPr>
            </w:pPr>
            <w:r>
              <w:rPr>
                <w:rFonts w:ascii="Arial" w:cs="Arial" w:eastAsia="Arial" w:hAnsi="Arial"/>
                <w:sz w:val="18"/>
                <w:szCs w:val="18"/>
                <w:b w:val="1"/>
                <w:bCs w:val="1"/>
                <w:color w:val="auto"/>
              </w:rPr>
              <w:t>September 30, 2018</w:t>
            </w:r>
          </w:p>
        </w:tc>
        <w:tc>
          <w:tcPr>
            <w:tcW w:w="1120" w:type="dxa"/>
            <w:vAlign w:val="bottom"/>
          </w:tcPr>
          <w:p>
            <w:pPr>
              <w:jc w:val="right"/>
              <w:spacing w:after="0"/>
              <w:rPr>
                <w:sz w:val="20"/>
                <w:szCs w:val="20"/>
                <w:color w:val="auto"/>
              </w:rPr>
            </w:pPr>
            <w:r>
              <w:rPr>
                <w:rFonts w:ascii="Arial" w:cs="Arial" w:eastAsia="Arial" w:hAnsi="Arial"/>
                <w:sz w:val="18"/>
                <w:szCs w:val="18"/>
                <w:color w:val="auto"/>
              </w:rPr>
              <w:t>22,161,954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130,595</w:t>
            </w:r>
          </w:p>
        </w:tc>
        <w:tc>
          <w:tcPr>
            <w:tcW w:w="260" w:type="dxa"/>
            <w:vAlign w:val="bottom"/>
            <w:tcBorders>
              <w:right w:val="single" w:sz="8" w:color="auto"/>
            </w:tcBorders>
          </w:tcPr>
          <w:p>
            <w:pPr>
              <w:spacing w:after="0"/>
              <w:rPr>
                <w:sz w:val="19"/>
                <w:szCs w:val="19"/>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3,282,523</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(98,383)</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(97,441)</w:t>
            </w:r>
          </w:p>
        </w:tc>
      </w:tr>
      <w:tr>
        <w:trPr>
          <w:trHeight w:val="184"/>
        </w:trPr>
        <w:tc>
          <w:tcPr>
            <w:tcW w:w="20" w:type="dxa"/>
            <w:vAlign w:val="bottom"/>
          </w:tcPr>
          <w:p>
            <w:pPr>
              <w:spacing w:after="0"/>
              <w:rPr>
                <w:sz w:val="15"/>
                <w:szCs w:val="15"/>
                <w:color w:val="auto"/>
              </w:rPr>
            </w:pPr>
          </w:p>
        </w:tc>
        <w:tc>
          <w:tcPr>
            <w:tcW w:w="198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at January 1,</w:t>
            </w: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right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29,595,909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205,081</w:t>
            </w:r>
          </w:p>
        </w:tc>
        <w:tc>
          <w:tcPr>
            <w:tcW w:w="260" w:type="dxa"/>
            <w:vAlign w:val="bottom"/>
            <w:tcBorders>
              <w:right w:val="single" w:sz="8" w:color="auto"/>
            </w:tcBorders>
            <w:shd w:val="clear" w:color="auto" w:fill="CCEEFF"/>
          </w:tcPr>
          <w:p>
            <w:pPr>
              <w:spacing w:after="0"/>
              <w:rPr>
                <w:sz w:val="19"/>
                <w:szCs w:val="19"/>
                <w:color w:val="auto"/>
              </w:rPr>
            </w:pPr>
          </w:p>
        </w:tc>
        <w:tc>
          <w:tcPr>
            <w:tcW w:w="9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3,208,924</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(109,722)</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(108,422)</w:t>
            </w: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Issuance of Series C</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redeemable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convertible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preferred stock for</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cash at $10.03 per</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share, net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issuance costs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0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$254</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10,004,514</w:t>
            </w:r>
          </w:p>
        </w:tc>
        <w:tc>
          <w:tcPr>
            <w:tcW w:w="14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100,033</w:t>
            </w: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common</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stock pursuant to</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stock option</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exercises</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70,165</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Issuance of common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stock pursuant to</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early exercised</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420"/>
              <w:spacing w:after="0" w:line="200" w:lineRule="exact"/>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
              <w:spacing w:after="0" w:line="200" w:lineRule="exact"/>
              <w:rPr>
                <w:sz w:val="20"/>
                <w:szCs w:val="20"/>
                <w:color w:val="auto"/>
              </w:rPr>
            </w:pPr>
            <w:r>
              <w:rPr>
                <w:rFonts w:ascii="Arial" w:cs="Arial" w:eastAsia="Arial" w:hAnsi="Arial"/>
                <w:sz w:val="18"/>
                <w:szCs w:val="18"/>
                <w:color w:val="auto"/>
              </w:rPr>
              <w:t>100,860</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Vesting of early</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exercised stock</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options</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Repurchases of early</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420"/>
              <w:spacing w:after="0" w:line="200" w:lineRule="exact"/>
              <w:rPr>
                <w:sz w:val="20"/>
                <w:szCs w:val="20"/>
                <w:color w:val="auto"/>
              </w:rPr>
            </w:pPr>
            <w:r>
              <w:rPr>
                <w:rFonts w:ascii="Arial" w:cs="Arial" w:eastAsia="Arial" w:hAnsi="Arial"/>
                <w:sz w:val="18"/>
                <w:szCs w:val="18"/>
                <w:color w:val="auto"/>
              </w:rPr>
              <w:t>exercised stock</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(78,063)</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Stock-based</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compensation</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expense</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1,763</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Net unrealized gains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on marketable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420"/>
              <w:spacing w:after="0" w:line="200" w:lineRule="exact"/>
              <w:rPr>
                <w:sz w:val="20"/>
                <w:szCs w:val="20"/>
                <w:color w:val="auto"/>
              </w:rPr>
            </w:pPr>
            <w:r>
              <w:rPr>
                <w:rFonts w:ascii="Arial" w:cs="Arial" w:eastAsia="Arial" w:hAnsi="Arial"/>
                <w:sz w:val="18"/>
                <w:szCs w:val="18"/>
                <w:color w:val="auto"/>
              </w:rPr>
              <w:t>securities</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9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54</w:t>
            </w:r>
          </w:p>
        </w:tc>
        <w:tc>
          <w:tcPr>
            <w:tcW w:w="26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(33,068)</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(33,068)</w:t>
            </w:r>
          </w:p>
        </w:tc>
      </w:tr>
      <w:tr>
        <w:trPr>
          <w:trHeight w:val="191"/>
        </w:trPr>
        <w:tc>
          <w:tcPr>
            <w:tcW w:w="20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Balance at</w:t>
            </w:r>
          </w:p>
        </w:tc>
        <w:tc>
          <w:tcPr>
            <w:tcW w:w="1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1980" w:type="dxa"/>
            <w:vAlign w:val="bottom"/>
          </w:tcPr>
          <w:p>
            <w:pPr>
              <w:ind w:left="200"/>
              <w:spacing w:after="0"/>
              <w:rPr>
                <w:sz w:val="20"/>
                <w:szCs w:val="20"/>
                <w:color w:val="auto"/>
              </w:rPr>
            </w:pPr>
            <w:r>
              <w:rPr>
                <w:rFonts w:ascii="Arial" w:cs="Arial" w:eastAsia="Arial" w:hAnsi="Arial"/>
                <w:sz w:val="18"/>
                <w:szCs w:val="18"/>
                <w:b w:val="1"/>
                <w:bCs w:val="1"/>
                <w:color w:val="auto"/>
              </w:rPr>
              <w:t>September 30, 2019</w:t>
            </w:r>
          </w:p>
        </w:tc>
        <w:tc>
          <w:tcPr>
            <w:tcW w:w="1120" w:type="dxa"/>
            <w:vAlign w:val="bottom"/>
          </w:tcPr>
          <w:p>
            <w:pPr>
              <w:jc w:val="right"/>
              <w:spacing w:after="0"/>
              <w:rPr>
                <w:sz w:val="20"/>
                <w:szCs w:val="20"/>
                <w:color w:val="auto"/>
              </w:rPr>
            </w:pPr>
            <w:r>
              <w:rPr>
                <w:rFonts w:ascii="Arial" w:cs="Arial" w:eastAsia="Arial" w:hAnsi="Arial"/>
                <w:sz w:val="18"/>
                <w:szCs w:val="18"/>
                <w:color w:val="auto"/>
              </w:rPr>
              <w:t>39,600,423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305,114</w:t>
            </w:r>
          </w:p>
        </w:tc>
        <w:tc>
          <w:tcPr>
            <w:tcW w:w="260" w:type="dxa"/>
            <w:vAlign w:val="bottom"/>
            <w:tcBorders>
              <w:right w:val="single" w:sz="8" w:color="auto"/>
            </w:tcBorders>
          </w:tcPr>
          <w:p>
            <w:pPr>
              <w:spacing w:after="0"/>
              <w:rPr>
                <w:sz w:val="19"/>
                <w:szCs w:val="19"/>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3,301,886</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3,290</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(142,790)</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(139,446)</w:t>
            </w: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57" w:orient="portrait"/>
          <w:cols w:equalWidth="0" w:num="1">
            <w:col w:w="11240"/>
          </w:cols>
          <w:pgMar w:left="240" w:top="460" w:right="419" w:bottom="0" w:gutter="0" w:footer="0" w:header="0"/>
        </w:sectPr>
      </w:pPr>
    </w:p>
    <w:bookmarkStart w:id="266" w:name="page267"/>
    <w:bookmarkEnd w:id="266"/>
    <w:p>
      <w:pPr>
        <w:spacing w:after="0"/>
        <w:rPr>
          <w:sz w:val="20"/>
          <w:szCs w:val="20"/>
          <w:color w:val="auto"/>
        </w:rPr>
      </w:pPr>
      <w:r>
        <w:rPr>
          <w:rFonts w:ascii="Arial" w:cs="Arial" w:eastAsia="Arial" w:hAnsi="Arial"/>
          <w:sz w:val="12"/>
          <w:szCs w:val="12"/>
          <w:i w:val="1"/>
          <w:iCs w:val="1"/>
          <w:color w:val="auto"/>
        </w:rPr>
        <w:t>The accompanying notes are an integral part of these unaudited condensed consolidated financial statements</w:t>
      </w:r>
    </w:p>
    <w:p>
      <w:pPr>
        <w:sectPr>
          <w:pgSz w:w="11900" w:h="16838" w:orient="portrait"/>
          <w:cols w:equalWidth="0" w:num="1">
            <w:col w:w="10019"/>
          </w:cols>
          <w:pgMar w:left="440" w:top="126" w:right="1440" w:bottom="1440" w:gutter="0" w:footer="0" w:header="0"/>
        </w:sectPr>
      </w:pPr>
    </w:p>
    <w:p>
      <w:pPr>
        <w:spacing w:after="0" w:line="176"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0019"/>
          </w:cols>
          <w:pgMar w:left="440" w:top="126" w:right="1440" w:bottom="1440" w:gutter="0" w:footer="0" w:header="0"/>
          <w:type w:val="continuous"/>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Condensed consolidated statements of cash flows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w:t>
      </w:r>
    </w:p>
    <w:p>
      <w:pPr>
        <w:ind w:left="2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-4445</wp:posOffset>
            </wp:positionV>
            <wp:extent cx="117475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5"/>
              </w:rPr>
              <w:t>(30,450)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(33,068)</w:t>
            </w:r>
          </w:p>
        </w:tc>
        <w:tc>
          <w:tcPr>
            <w:tcW w:w="0" w:type="dxa"/>
            <w:vAlign w:val="bottom"/>
          </w:tcPr>
          <w:p>
            <w:pPr>
              <w:spacing w:after="0"/>
              <w:rPr>
                <w:sz w:val="1"/>
                <w:szCs w:val="1"/>
                <w:color w:val="auto"/>
              </w:rPr>
            </w:pPr>
          </w:p>
        </w:tc>
      </w:tr>
      <w:tr>
        <w:trPr>
          <w:trHeight w:val="56"/>
        </w:trPr>
        <w:tc>
          <w:tcPr>
            <w:tcW w:w="87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574</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1,073</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200"/>
              <w:spacing w:after="0" w:line="202" w:lineRule="exact"/>
              <w:rPr>
                <w:sz w:val="20"/>
                <w:szCs w:val="20"/>
                <w:color w:val="auto"/>
              </w:rPr>
            </w:pPr>
            <w:r>
              <w:rPr>
                <w:rFonts w:ascii="Arial" w:cs="Arial" w:eastAsia="Arial" w:hAnsi="Arial"/>
                <w:sz w:val="18"/>
                <w:szCs w:val="18"/>
                <w:color w:val="auto"/>
              </w:rPr>
              <w:t>Loss on disposal of held for sale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amortization (accretion) of premium (discount) on marketable securities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2,121</w:t>
            </w:r>
          </w:p>
        </w:tc>
        <w:tc>
          <w:tcPr>
            <w:tcW w:w="24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420"/>
              <w:spacing w:after="0" w:line="202" w:lineRule="exact"/>
              <w:rPr>
                <w:sz w:val="20"/>
                <w:szCs w:val="20"/>
                <w:color w:val="auto"/>
              </w:rPr>
            </w:pPr>
            <w:r>
              <w:rPr>
                <w:rFonts w:ascii="Arial" w:cs="Arial" w:eastAsia="Arial" w:hAnsi="Arial"/>
                <w:sz w:val="18"/>
                <w:szCs w:val="18"/>
                <w:color w:val="auto"/>
              </w:rPr>
              <w:t>Receivable from related party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(5,908)</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(1,410)</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420"/>
              <w:spacing w:after="0" w:line="202" w:lineRule="exact"/>
              <w:rPr>
                <w:sz w:val="20"/>
                <w:szCs w:val="20"/>
                <w:color w:val="auto"/>
              </w:rPr>
            </w:pPr>
            <w:r>
              <w:rPr>
                <w:rFonts w:ascii="Arial" w:cs="Arial" w:eastAsia="Arial" w:hAnsi="Arial"/>
                <w:sz w:val="18"/>
                <w:szCs w:val="18"/>
                <w:color w:val="auto"/>
              </w:rPr>
              <w:t>Deferred revenue, related party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47,601</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rent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(409)</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420"/>
              <w:spacing w:after="0" w:line="202" w:lineRule="exact"/>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(108)</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12,989</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(37,964)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marketable securities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(143,682)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(1,283)</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sale of held for sale assets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(1,283)</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(109,990)</w:t>
            </w:r>
          </w:p>
        </w:tc>
        <w:tc>
          <w:tcPr>
            <w:tcW w:w="0" w:type="dxa"/>
            <w:vAlign w:val="bottom"/>
          </w:tcPr>
          <w:p>
            <w:pPr>
              <w:spacing w:after="0"/>
              <w:rPr>
                <w:sz w:val="1"/>
                <w:szCs w:val="1"/>
                <w:color w:val="auto"/>
              </w:rPr>
            </w:pPr>
          </w:p>
        </w:tc>
      </w:tr>
      <w:tr>
        <w:trPr>
          <w:trHeight w:val="277"/>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56,225</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issuance of common stock under equity incentive plans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401</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Repurchases of early exercised stock options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Payments of deferred offering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56,626</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100,192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760" w:type="dxa"/>
            <w:vAlign w:val="bottom"/>
            <w:gridSpan w:val="2"/>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68,332</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cash—beginning of period</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9,079</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69,800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77,411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Reconciliation of cash, cash equivalents and restricted cash to consolidated balance sheets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77,411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21,824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77,411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Vesting of early exercised options and restricted stock</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121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 in accounts payable and accrued expenses and other current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Extinguishment of redeemable convertible preferred stock liability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2,314</w:t>
            </w:r>
          </w:p>
        </w:tc>
        <w:tc>
          <w:tcPr>
            <w:tcW w:w="24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Unpaid deferred offering costs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60" w:right="41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Notes to unaudited condensed consolidated financial statements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 Company and liquidity</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24"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8"/>
          <w:szCs w:val="18"/>
          <w:color w:val="auto"/>
        </w:rPr>
        <w:t>Revolution Medicines, Inc. (the Company) is a clinical-stage precision oncology company focused on developing novel targeted therapies to inhibit targets primarily within the RAS and mTOR signaling pathways. The Company was founded in October 2014 and is headquartered in Redwood City, California.</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jc w:val="both"/>
        <w:ind w:left="200"/>
        <w:spacing w:after="0" w:line="264" w:lineRule="auto"/>
        <w:rPr>
          <w:sz w:val="20"/>
          <w:szCs w:val="20"/>
          <w:color w:val="auto"/>
        </w:rPr>
      </w:pPr>
      <w:r>
        <w:rPr>
          <w:rFonts w:ascii="Arial" w:cs="Arial" w:eastAsia="Arial" w:hAnsi="Arial"/>
          <w:sz w:val="16"/>
          <w:szCs w:val="16"/>
          <w:color w:val="auto"/>
        </w:rPr>
        <w:t>The Company has incurred net operating losses in all periods since inception. The Company’s net losses were $30.5 million and $33.1 million for the nine months ended September 30, 2018 and 2019, respectively. As of September 30, 2019, the Company had an accumulated deficit of $142.8 million. Management believes that its cash and cash equivalents are sufficient to continue operating activities for at least 12 months following the issuance date of these condensed consolidated financial statements. To date, the Company has been able to fund its operations through the issuance and sale of redeemable convertible preferred stock in addition to proceeds received under the Company’s collaboration agreement with Sanofi. Future capital requirements will depend on many factors, including the timing and extent of spending on research and development and payments the Company may receive under the Sanofi collaboration agreement or future collaboration agreements, if any.</w:t>
      </w:r>
    </w:p>
    <w:p>
      <w:pPr>
        <w:spacing w:after="0" w:line="1" w:lineRule="exact"/>
        <w:rPr>
          <w:sz w:val="20"/>
          <w:szCs w:val="20"/>
          <w:color w:val="auto"/>
        </w:rPr>
      </w:pPr>
    </w:p>
    <w:p>
      <w:pPr>
        <w:jc w:val="both"/>
        <w:ind w:left="200" w:right="40"/>
        <w:spacing w:after="0" w:line="237" w:lineRule="auto"/>
        <w:rPr>
          <w:sz w:val="20"/>
          <w:szCs w:val="20"/>
          <w:color w:val="auto"/>
        </w:rPr>
      </w:pPr>
      <w:r>
        <w:rPr>
          <w:rFonts w:ascii="Arial" w:cs="Arial" w:eastAsia="Arial" w:hAnsi="Arial"/>
          <w:sz w:val="18"/>
          <w:szCs w:val="18"/>
          <w:color w:val="auto"/>
        </w:rPr>
        <w:t>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(GAAP) and applicable rules and regulations of the Securities and Exchange Commission (SEC) regarding interim financial reporting. Certain information and note disclosures normally included in the financial statements prepared in accordance with GAAP have been condensed or omitted in accordance with such rules and regulations. The accompanying condensed consolidated financial statements as of and for the nine months ended September 30, 2019 include the accounts of the Company and its wholly owned subsidiary, Warp Drive Bio, Inc. (Warp Drive). The accompanying condensed consolidated financial statements as of and for the nine months ended September 30, 2018 include only the accounts of Revolution Medicines, Inc. All intercompany balances and transactions have been eliminated in consolidation. The functional and reporting currency of the Company and its subsidiary is the U.S. dollar.</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On February 7, 2020, the Company amended and restated its amended and restated certificate of incorporation to effect a 1-for-4.8661 reverse stock split of the Company’s common stock and redeemable convertible preferred stock.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80"/>
          </w:cols>
          <w:pgMar w:left="240" w:top="460"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accompanying condensed consolidated balance sheet as of September 30, 2019 and the condensed consolidated statements of operations and comprehensive loss, the condensed consolidated statements of cash flows and the condensed consolidated statements of redeemable convertible preferred stock and stockholders’ deficit for the nine months ended September 30, 2018 and 2019 are unaudited. The financial data and other information disclosed in these notes related to the nine months ended September 30, 2018 and 2019 are also unaudited. The condensed consolidated balance sheet data as of December 31, 2018 was derived from audited financial statements as of that date, but does not include all disclosures required by GAAP.</w:t>
      </w:r>
    </w:p>
    <w:p>
      <w:pPr>
        <w:spacing w:after="0" w:line="102"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unaudited interim consolidated financial statements have been prepared on the same basis as the audited annual consolidated financial statements as of and for the year ended December 31, 2018, and, in the opinion of management, reflect all adjustments, which include only normal recurring adjustments, necessary for the fair statement of the Company’s financial position as of September 30, 2019, and the results of its operations and its cash flows for the nine months ended September 30, 2018 and 2019. These unaudited interim condensed consolidated financial statements should be read in conjunction with the audited consolidated financial statements as of and for the year ended December 31, 2018, and the notes thereto, which are included elsewhere in this Registration Statement. The results for the nine months ended September 30, 2019 are not necessarily indicative of results to be expected for the year ending December 31, 2019, any other interim periods, or any future year or periods.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clinical accruals, valuation of in-process research and development and developed technologies, valuation of the redeemable convertible preferred stock liability, income taxes, useful lives of property and equipment and intangible assets, impairment of goodwill, and stock- based compensation. Actual results could materially differ from those estimates</w:t>
      </w:r>
      <w:r>
        <w:rPr>
          <w:rFonts w:ascii="Arial" w:cs="Arial" w:eastAsia="Arial" w:hAnsi="Arial"/>
          <w:sz w:val="16"/>
          <w:szCs w:val="16"/>
          <w:i w:val="1"/>
          <w:iCs w:val="1"/>
          <w:color w:val="auto"/>
        </w:rPr>
        <w:t>.</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2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unaudited pro forma information as of September 30, 2019 has been prepared to give effect to the automatic conversion of all of the outstanding redeemable convertible preferred stock of the Company on a one-to-one basis into 39,600,423 shares of common stock, which will occur upon the closing of an initial public offering (IPO) of common stock resulting in at least $50 million in gross proceeds at a minimum price of $10.03 per share of common stock, subject to adjustment for stock dividends, stock splits, combinations or other similar recapitalizations (a Qualified IPO). The unaudited pro forma information does not assume any proceeds from an IPO.</w:t>
      </w:r>
    </w:p>
    <w:p>
      <w:pPr>
        <w:spacing w:after="0" w:line="10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unaudited pro forma basic and diluted net loss per share for the nine months ended September 30, 2019 has been computed to give effect to (1) an adjustment to the denominator in the pro forma basic and diluted net loss per share calculation for the automatic conversion of the redeemable convertible preferred stock into shares of common stock, which will occur upon the closing of a Qualified IPO, as of the beginning of the period or the date of issuance, if later and (2) an adjustment to the numerator in the pro forma basic and diluted net loss per share calculation to remove the cumulative but undeclared redeemable convertible preferred stock dividends.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24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 As of December 31, 2018, cash equivalents consist of amounts invested in money market funds. As of September 30, 2019, cash equivalents consist of amounts invested in money market funds and investments in U.S. government agency bonds, commercial paper and corporate bonds with original maturities of three months or less at the date of purchase.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4" w:lineRule="exact"/>
        <w:rPr>
          <w:sz w:val="20"/>
          <w:szCs w:val="20"/>
          <w:color w:val="auto"/>
        </w:rPr>
      </w:pPr>
    </w:p>
    <w:p>
      <w:pPr>
        <w:ind w:left="200" w:right="40"/>
        <w:spacing w:after="0" w:line="268" w:lineRule="auto"/>
        <w:rPr>
          <w:sz w:val="20"/>
          <w:szCs w:val="20"/>
          <w:color w:val="auto"/>
        </w:rPr>
      </w:pPr>
      <w:r>
        <w:rPr>
          <w:rFonts w:ascii="Arial" w:cs="Arial" w:eastAsia="Arial" w:hAnsi="Arial"/>
          <w:sz w:val="16"/>
          <w:szCs w:val="16"/>
          <w:color w:val="auto"/>
        </w:rPr>
        <w:t>Investments in marketable securities primarily consist of U.S. government debt securities, U.S. government agency bonds, commercial paper and corporate bonds. The Company has classified its marketable securities as available-for-sale and may sell these securities prior to their stated maturities. The Company views these marketable securities as available to support current operations, and classifies marketable securities with maturities beyond 12 months as current assets. The Company’s investments in marketable securities are carried at estimated fair value, which is derived from independent pricing sources based on quoted prices in active markets for similar securities. Unrealized gains and losses are reported as a component of accumulated other comprehensive income on the condensed consolidated balance sheets until realized. The amortized cost of marketable securities is adjusted for amortization of premiums and accretion of discounts to maturity, which is included in interest income on the condensed consolidated statements of operations and comprehensive loss. Realized gains and losses are included in interest income on the condensed consolidated statements of operations and comprehensive loss.</w:t>
      </w:r>
    </w:p>
    <w:p>
      <w:pPr>
        <w:spacing w:after="0" w:line="8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periodically evaluates its investments to assess whether those with unrealized loss positions are other than temporarily impaired. The Company considers various factors in determining whether to recognize an impairment charge. If the Company determines that the decline in an investment’s fair value is other-than-temporary, the difference is recognized as an impairment loss in the condensed consolidated statements of operations and comprehensive loss. As of September 30, 2019, no other-than-temporary-impairment has been recorded.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4"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As of December 31, 2018 and September 30, 2019, the Company had $0.2 million of noncurrent restricted cash related to a Company-issued letter of credit in connection with a lease. The entire amount is held in a separate bank account to support a letter of credit agreement for the lease. There was no restricted cash as of September 30,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24"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Company’s cash is held by one financial institution in the United States, which management believes to be of high credit quality. Deposits at this financial institution may at times exceed federally insured limits. The Company invests in money market funds, U.S. government debt securities, U.S. government agency bonds, commercial paper and corporate bonds with high-quality accredited financial institutions. The Company has not experienced any losses on its deposits of cash and cash equivalents.</w:t>
      </w:r>
    </w:p>
    <w:p>
      <w:pPr>
        <w:spacing w:after="0" w:line="103"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The Company is subject to credit risk as its receivable from related party and collaboration revenue, related party are entirely related to its collaboration agreement with Sanofi. See Note 7, “Sanofi collaboration agreement.”</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00"/>
          </w:cols>
          <w:pgMar w:left="240" w:top="460"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24" w:lineRule="exact"/>
        <w:rPr>
          <w:sz w:val="20"/>
          <w:szCs w:val="20"/>
          <w:color w:val="auto"/>
        </w:rPr>
      </w:pPr>
    </w:p>
    <w:p>
      <w:pPr>
        <w:ind w:left="200" w:right="280"/>
        <w:spacing w:after="0" w:line="299" w:lineRule="auto"/>
        <w:rPr>
          <w:sz w:val="20"/>
          <w:szCs w:val="20"/>
          <w:color w:val="auto"/>
        </w:rPr>
      </w:pPr>
      <w:r>
        <w:rPr>
          <w:rFonts w:ascii="Arial" w:cs="Arial" w:eastAsia="Arial" w:hAnsi="Arial"/>
          <w:sz w:val="16"/>
          <w:szCs w:val="16"/>
          <w:color w:val="auto"/>
        </w:rPr>
        <w:t>The carrying amounts of the Company’s certain financial instruments, including cash equivalents, accounts payable and accrued expenses and other current liabilities approximate fair value due to their relatively short maturities and market interest rates, if applicable.</w:t>
      </w:r>
    </w:p>
    <w:p>
      <w:pPr>
        <w:spacing w:after="0" w:line="55"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1—Observable inputs such as unadjusted, quoted prices in active markets for identical assets or liabilities at the measurement date;</w:t>
      </w:r>
    </w:p>
    <w:p>
      <w:pPr>
        <w:spacing w:after="0" w:line="127" w:lineRule="exact"/>
        <w:rPr>
          <w:sz w:val="20"/>
          <w:szCs w:val="20"/>
          <w:color w:val="auto"/>
        </w:rPr>
      </w:pPr>
    </w:p>
    <w:p>
      <w:pPr>
        <w:ind w:left="420" w:right="20"/>
        <w:spacing w:after="0" w:line="238"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100" w:lineRule="exact"/>
        <w:rPr>
          <w:sz w:val="20"/>
          <w:szCs w:val="20"/>
          <w:color w:val="auto"/>
        </w:rPr>
      </w:pPr>
    </w:p>
    <w:p>
      <w:pPr>
        <w:ind w:left="420" w:right="420"/>
        <w:spacing w:after="0" w:line="239"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4"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on a straight-line basis over the estimated useful lives of the related assets, which is generally three to five years. Leasehold improvements are amortized using the straight-line method over the shorter of the assets’ estimated useful lives or the remaining term of the lease. Maintenance and repairs are charged to operating expenses as incurred. Upon sale or retirement of assets, the cost and related accumulated depreciation are removed from the condensed consolidated balance sheet and the resulting gain or loss is reflected in the condensed consolidated statement of operations and comprehensive loss.</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Useful lives of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Property and equipment</w:t>
            </w:r>
          </w:p>
        </w:tc>
        <w:tc>
          <w:tcPr>
            <w:tcW w:w="71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Estimated useful life</w:t>
            </w:r>
          </w:p>
        </w:tc>
      </w:tr>
      <w:tr>
        <w:trPr>
          <w:trHeight w:val="199"/>
        </w:trPr>
        <w:tc>
          <w:tcPr>
            <w:tcW w:w="3880" w:type="dxa"/>
            <w:vAlign w:val="bottom"/>
          </w:tcPr>
          <w:p>
            <w:pPr>
              <w:spacing w:after="0" w:line="200" w:lineRule="exact"/>
              <w:rPr>
                <w:sz w:val="20"/>
                <w:szCs w:val="20"/>
                <w:color w:val="auto"/>
              </w:rPr>
            </w:pPr>
            <w:r>
              <w:rPr>
                <w:rFonts w:ascii="Arial" w:cs="Arial" w:eastAsia="Arial" w:hAnsi="Arial"/>
                <w:sz w:val="18"/>
                <w:szCs w:val="18"/>
                <w:color w:val="auto"/>
              </w:rPr>
              <w:t>Laboratory equipment</w:t>
            </w:r>
          </w:p>
        </w:tc>
        <w:tc>
          <w:tcPr>
            <w:tcW w:w="7160" w:type="dxa"/>
            <w:vAlign w:val="bottom"/>
          </w:tcPr>
          <w:p>
            <w:pPr>
              <w:ind w:left="1200"/>
              <w:spacing w:after="0" w:line="200" w:lineRule="exact"/>
              <w:rPr>
                <w:sz w:val="20"/>
                <w:szCs w:val="20"/>
                <w:color w:val="auto"/>
              </w:rPr>
            </w:pPr>
            <w:r>
              <w:rPr>
                <w:rFonts w:ascii="Arial" w:cs="Arial" w:eastAsia="Arial" w:hAnsi="Arial"/>
                <w:sz w:val="18"/>
                <w:szCs w:val="18"/>
                <w:color w:val="auto"/>
              </w:rPr>
              <w:t>4-5 years</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7160" w:type="dxa"/>
            <w:vAlign w:val="bottom"/>
          </w:tcPr>
          <w:p>
            <w:pPr>
              <w:ind w:left="1200"/>
              <w:spacing w:after="0" w:line="202" w:lineRule="exact"/>
              <w:rPr>
                <w:sz w:val="20"/>
                <w:szCs w:val="20"/>
                <w:color w:val="auto"/>
              </w:rPr>
            </w:pPr>
            <w:r>
              <w:rPr>
                <w:rFonts w:ascii="Arial" w:cs="Arial" w:eastAsia="Arial" w:hAnsi="Arial"/>
                <w:sz w:val="18"/>
                <w:szCs w:val="18"/>
                <w:color w:val="auto"/>
              </w:rPr>
              <w:t>Lesser of estimated useful life or remaining lease term</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7160" w:type="dxa"/>
            <w:vAlign w:val="bottom"/>
          </w:tcPr>
          <w:p>
            <w:pPr>
              <w:ind w:left="1200"/>
              <w:spacing w:after="0" w:line="202" w:lineRule="exact"/>
              <w:rPr>
                <w:sz w:val="20"/>
                <w:szCs w:val="20"/>
                <w:color w:val="auto"/>
              </w:rPr>
            </w:pPr>
            <w:r>
              <w:rPr>
                <w:rFonts w:ascii="Arial" w:cs="Arial" w:eastAsia="Arial" w:hAnsi="Arial"/>
                <w:sz w:val="18"/>
                <w:szCs w:val="18"/>
                <w:color w:val="auto"/>
              </w:rPr>
              <w:t>3 years</w:t>
            </w:r>
          </w:p>
        </w:tc>
      </w:tr>
      <w:tr>
        <w:trPr>
          <w:trHeight w:val="212"/>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Furniture and fixtures</w:t>
            </w:r>
          </w:p>
        </w:tc>
        <w:tc>
          <w:tcPr>
            <w:tcW w:w="71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5 years</w:t>
            </w: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Long-lived assets are reviewed for indications of possible impairment whenever events or changes in circumstances indicate that the carrying amount of an asset or asset group may not be recoverable. Recoverability is measured by comparison of the carrying amounts of the asset group to the future undiscounted cash flows attributable to these assets. An impairment loss is recognized to the extent an asset group is not recoverable, and the carrying amount exceeds the projected discounted future cash flows arising from these assets. There were no impairments of long-lived assets for any of the periods presented.</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240" w:top="459" w:right="41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Indefinite-lived intangible assets represent the estimated fair value assigned to in-process research and development (IPR&amp;D) acquired in a business combination. The Company reviews indefinite-lived intangible assets for impairment at least annually or more frequently if events or changes in circumstances indicate that the carrying value of the assets might not be recoverable. If the carrying value of an indefinite-lived intangible asset exceeds its fair value, then it is written down to its fair value. As of September 30, 2019, no such impairment has been recorded. For IPR&amp;D, if a product candidate derived from the indefinite-lived intangible asset is developed and commercialized, the useful life will be determined, and the carrying value will be amortized prospectively over that estimated useful life. Alternatively, if a product candidate is abandoned, the carrying value of the intangible asset will be immediately charged to research and development expenses in the condensed consolidated statements of operations and comprehensive loss.</w:t>
      </w:r>
    </w:p>
    <w:p>
      <w:pPr>
        <w:spacing w:after="0" w:line="10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Finite-lived intangible assets acquired in a business combination are recognized separately from goodwill and are initially recognized at their fair value at the acquisition date and are carried at cost less accumulated amortization and impairment. Amortization is computed using the straight- line method over the estimated useful lives of the respective finite-lived intangible assets. Intangible assets are reviewed for impairment at least annually or more frequently if indicators of potential impairment exist. As of September 30, 2019, no such impairment has been recorded.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124" w:lineRule="exact"/>
        <w:rPr>
          <w:sz w:val="20"/>
          <w:szCs w:val="20"/>
          <w:color w:val="auto"/>
        </w:rPr>
      </w:pPr>
    </w:p>
    <w:p>
      <w:pPr>
        <w:ind w:left="200" w:right="40"/>
        <w:spacing w:after="0" w:line="268" w:lineRule="auto"/>
        <w:rPr>
          <w:sz w:val="20"/>
          <w:szCs w:val="20"/>
          <w:color w:val="auto"/>
        </w:rPr>
      </w:pPr>
      <w:r>
        <w:rPr>
          <w:rFonts w:ascii="Arial" w:cs="Arial" w:eastAsia="Arial" w:hAnsi="Arial"/>
          <w:sz w:val="16"/>
          <w:szCs w:val="16"/>
          <w:color w:val="auto"/>
        </w:rPr>
        <w:t>Goodwill represents the excess of the purchase price over the estimated fair value of the net tangible and intangible assets acquired in a business combination. The Company reviews goodwill for impairment at least annually or more frequently if events or changes in circumstances indicate that the carrying value of goodwill may not be recoverable.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it is determined that it is more likely than not that its fair value is less than its carrying amount, the fair value of the Company’s single reporting unit is compared to its carrying value. Any excess of the goodwill carrying amount over the fair value is recognized as an impairment loss, and the carrying value of goodwill is written down to fair value. As of September 30, 2019, no goodwill impairment has been identified.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Company records all shares of redeemable convertible preferred stock at their respective fair values on the dates of issuance, net of issuance costs. The redeemable convertible preferred stock is recorded outside of permanent equity because while it is not mandatorily redeemable, in the event of certain events considered not solely within the Company’s control, such as a merger, acquisition or sale of all or substantially all of the Company’s assets (each, a “deemed liquidation event”), the redeemable convertible preferred stock will become redeemable at the option of the holders of at least a majority of the then outstanding such shares.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 convertible preferred stock. Subsequent adjustments to the carrying values to the liquidation preferences will be made only when it becomes probable that such a deemed liquidation event will occur.</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240" w:top="460"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convertible preferred stock liability</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Company’s March 2018 issuance and sale of Series B redeemable convertible preferred stock was tranched into two funding dates, a first closing in March 2018, and a second closing to purchase additional shares in June 2018. The Company classified the obligation for the future purchase of additional shares under the second closing as a liability on the Company’s condensed consolidated balance sheets as the obligation met the definition of a freestanding financial instrument. This redeemable convertible preferred stock tranche liability was initially recorded at a fair value of $0.2 million on the date of issuance and was subsequently remeasured to fair value at each reporting date using Level 3 fair value inputs. Changes in the fair value of the redeemable convertible preferred stock tranche obligation of $2.1 million were recognized as a component of other income (expense), net in the condensed consolidated statements of operations and comprehensive loss until the tranche obligation was fulfilled and extinguished upon the second closing in June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6" w:lineRule="exact"/>
        <w:rPr>
          <w:sz w:val="20"/>
          <w:szCs w:val="20"/>
          <w:color w:val="auto"/>
        </w:rPr>
      </w:pPr>
    </w:p>
    <w:p>
      <w:pPr>
        <w:ind w:left="200" w:right="100"/>
        <w:spacing w:after="0" w:line="267" w:lineRule="auto"/>
        <w:rPr>
          <w:sz w:val="20"/>
          <w:szCs w:val="20"/>
          <w:color w:val="auto"/>
        </w:rPr>
      </w:pPr>
      <w:r>
        <w:rPr>
          <w:rFonts w:ascii="Arial" w:cs="Arial" w:eastAsia="Arial" w:hAnsi="Arial"/>
          <w:sz w:val="16"/>
          <w:szCs w:val="16"/>
          <w:color w:val="auto"/>
        </w:rPr>
        <w:t xml:space="preserve">Effective January 1, 2018, the Company adopted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using the full retrospective transition method. The Company did not have any effective contracts within the scope of this guidance prior to January 1, 2018. Accordingly, the Company did not elect to use any of the practical expedients permitted related to adoption, and the adoption of ASC 606 had no impact on the Company’s financial position, results of operations or liquidity. Under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w:t>
      </w:r>
    </w:p>
    <w:p>
      <w:pPr>
        <w:spacing w:after="0" w:line="3" w:lineRule="exact"/>
        <w:rPr>
          <w:sz w:val="20"/>
          <w:szCs w:val="20"/>
          <w:color w:val="auto"/>
        </w:rPr>
      </w:pPr>
    </w:p>
    <w:p>
      <w:pPr>
        <w:ind w:left="200" w:right="120" w:firstLine="4"/>
        <w:spacing w:after="0" w:line="236" w:lineRule="auto"/>
        <w:tabs>
          <w:tab w:leader="none" w:pos="4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(iii) determine the transaction price; (iv) allocate the transaction price to the performance obligations in the contract; and (v) recognize revenue when (or as) the Company satisfies a performance obligation.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02"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The Company enters into collaboration agreements under which it may obtain upfront license fees, research and development funding, and development, regulatory and commercial milestone payments and royalty payments. The Company’s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8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the Company recognizes revenue from upfront license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The Company evaluates the measure of proportional performance each reporting period and, if necessary, adjusts the measure of performance and related revenue recognition.</w:t>
      </w:r>
    </w:p>
    <w:p>
      <w:pPr>
        <w:spacing w:after="0" w:line="83" w:lineRule="exact"/>
        <w:rPr>
          <w:sz w:val="20"/>
          <w:szCs w:val="20"/>
          <w:color w:val="auto"/>
        </w:rPr>
      </w:pPr>
    </w:p>
    <w:p>
      <w:pPr>
        <w:ind w:left="200" w:right="120"/>
        <w:spacing w:after="0" w:line="260" w:lineRule="auto"/>
        <w:rPr>
          <w:sz w:val="20"/>
          <w:szCs w:val="20"/>
          <w:color w:val="auto"/>
        </w:rPr>
      </w:pPr>
      <w:r>
        <w:rPr>
          <w:rFonts w:ascii="Arial" w:cs="Arial" w:eastAsia="Arial" w:hAnsi="Arial"/>
          <w:sz w:val="18"/>
          <w:szCs w:val="18"/>
          <w:i w:val="1"/>
          <w:iCs w:val="1"/>
          <w:color w:val="auto"/>
        </w:rPr>
        <w:t xml:space="preserve">Research, development and regulatory milestone payments: </w:t>
      </w:r>
      <w:r>
        <w:rPr>
          <w:rFonts w:ascii="Arial" w:cs="Arial" w:eastAsia="Arial" w:hAnsi="Arial"/>
          <w:sz w:val="18"/>
          <w:szCs w:val="18"/>
          <w:color w:val="auto"/>
        </w:rPr>
        <w:t>At the inception of each arrangement that includes research,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milestone payments, the Company evaluates whether the</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60"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83" w:lineRule="exact"/>
        <w:rPr>
          <w:sz w:val="20"/>
          <w:szCs w:val="20"/>
          <w:color w:val="auto"/>
        </w:rPr>
      </w:pPr>
    </w:p>
    <w:p>
      <w:pPr>
        <w:ind w:left="200" w:right="140"/>
        <w:spacing w:after="0" w:line="241" w:lineRule="auto"/>
        <w:rPr>
          <w:sz w:val="20"/>
          <w:szCs w:val="20"/>
          <w:color w:val="auto"/>
        </w:rPr>
      </w:pPr>
      <w:r>
        <w:rPr>
          <w:rFonts w:ascii="Arial" w:cs="Arial" w:eastAsia="Arial" w:hAnsi="Arial"/>
          <w:sz w:val="18"/>
          <w:szCs w:val="18"/>
          <w:i w:val="1"/>
          <w:iCs w:val="1"/>
          <w:color w:val="auto"/>
        </w:rPr>
        <w:t xml:space="preserve">Sales-based milestones and royalties: </w:t>
      </w:r>
      <w:r>
        <w:rPr>
          <w:rFonts w:ascii="Arial" w:cs="Arial" w:eastAsia="Arial" w:hAnsi="Arial"/>
          <w:sz w:val="18"/>
          <w:szCs w:val="18"/>
          <w:color w:val="auto"/>
        </w:rPr>
        <w:t>For arrangements that include sales-based milestone or royalty payments based on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10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Deferred revenue, which is a contract liability, represents amounts received by the Company in advance of the timing of revenue recognition. The current portion of deferred revenue represents the amount to be recognized as revenue within one year from the balance sheet date based on the estimated performance period of the underlying performance obligation. The noncurrent portion of deferred revenue represents amounts to be recognized as revenue after one year from the balance sheet date through the end of the performance period of the performance obligation.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12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Research and development expenses consist of costs incurred for the Company’s own and for collaborative research and development activities. Research and development costs are expensed as incurred. Research and development costs consist of salaries and benefits, including associated stock-based compensation, and laboratory supplies and facility costs, depreciation expense, amortization of intangible assets, as well as fees paid to other entities that conduct certain research and development activities on the Company’s behalf. The Company estimates preclinical study and clinical trial expenses based on the services performed pursuant to contracts with research institutions and contract research organizations, or CROs, and clinical manufacturing organizations, or CMOs, that conduct and manage preclinical studies and clinical trials on the Company’s behalf based on actual time and expenses incurred by them. Further, the Company accrues expenses related to clinical trials based on the level of patient activity according to the related agreement. The Company monitors patient enrollment levels and related activity to the extent reasonably possible and adjusts estimates accordingly.</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measures its stock-based awards granted to employees and directors based on the estimated fair values of the awards and recognizes the compensation over the requisite service period. The Company uses the Black-Scholes option-pricing model to estimate the fair value of its stock-based awards. Stock-based compensation is recognized on a straight-line basis over the vesting period. Stock options granted to non-employees are recorded at their fair value on the measurement date and are subject to periodic adjustments as such options vest and at the end of each reporting period, and the resulting change in fair value, if any, is recognized in the Company’s condensed consolidated statements of operations and comprehensive loss during the period the related services are rendered.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4"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For the nine months ended September 30, 2018, there were no components of other comprehensive income (loss) for the Company, and comprehensive loss is the same as the net loss. For the nine months ended September 30, 2019, other comprehensive income includes net unrealized gains on marketable securities.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24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4"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unvested restricted stock awards and early exercise of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3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in stockholders’ deficit (equity) as a reduction of additional paid-in capital generated as a result of the equity financing. Should an in-process equity financing be abandoned, the deferred offering costs will be expensed immediately as a charge to operating expenses in the condensed consolidated statements of operations and comprehensive loss. As of September 30, 2019, $1.3 million of deferred offering costs were capitalized in other noncurrent assets on the condensed consolidated balance sheets. There were no deferred offering costs as of December 31, 2018.</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24"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The Company has one operating and reportable segment. The Company’s chief operating decision maker, its Chief Executive Officer, manages the Company’s operations on a consolidated basis for the purposes of allocating resources and evaluating financial performance. All of the Company’s long-lived assets are located in the United States.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06" w:lineRule="exact"/>
        <w:rPr>
          <w:sz w:val="20"/>
          <w:szCs w:val="20"/>
          <w:color w:val="auto"/>
        </w:rPr>
      </w:pPr>
    </w:p>
    <w:p>
      <w:pPr>
        <w:ind w:left="200" w:right="340"/>
        <w:spacing w:after="0" w:line="270" w:lineRule="auto"/>
        <w:rPr>
          <w:sz w:val="20"/>
          <w:szCs w:val="20"/>
          <w:color w:val="auto"/>
        </w:rPr>
      </w:pPr>
      <w:r>
        <w:rPr>
          <w:rFonts w:ascii="Arial" w:cs="Arial" w:eastAsia="Arial" w:hAnsi="Arial"/>
          <w:sz w:val="16"/>
          <w:szCs w:val="16"/>
          <w:color w:val="auto"/>
        </w:rPr>
        <w:t xml:space="preserve">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Subsequently, the FASB also issued ASU No.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 which adjusted the effective date of ASU No. 2014-09; ASU No.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Revenue Gross versus Net)</w:t>
      </w:r>
      <w:r>
        <w:rPr>
          <w:rFonts w:ascii="Arial" w:cs="Arial" w:eastAsia="Arial" w:hAnsi="Arial"/>
          <w:sz w:val="16"/>
          <w:szCs w:val="16"/>
          <w:color w:val="auto"/>
        </w:rPr>
        <w:t>, which amends the principal-versus-agent implementation guidance and illustrations in ASU</w:t>
      </w:r>
    </w:p>
    <w:p>
      <w:pPr>
        <w:ind w:left="200"/>
        <w:spacing w:after="0" w:line="235" w:lineRule="auto"/>
        <w:rPr>
          <w:sz w:val="20"/>
          <w:szCs w:val="20"/>
          <w:color w:val="auto"/>
        </w:rPr>
      </w:pPr>
      <w:r>
        <w:rPr>
          <w:rFonts w:ascii="Arial" w:cs="Arial" w:eastAsia="Arial" w:hAnsi="Arial"/>
          <w:sz w:val="18"/>
          <w:szCs w:val="18"/>
          <w:color w:val="auto"/>
        </w:rPr>
        <w:t xml:space="preserve">No. 2014-09;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w:t>
      </w:r>
    </w:p>
    <w:p>
      <w:pPr>
        <w:ind w:left="200"/>
        <w:spacing w:after="0" w:line="235" w:lineRule="auto"/>
        <w:rPr>
          <w:sz w:val="20"/>
          <w:szCs w:val="20"/>
          <w:color w:val="auto"/>
        </w:rPr>
      </w:pPr>
      <w:r>
        <w:rPr>
          <w:rFonts w:ascii="Arial" w:cs="Arial" w:eastAsia="Arial" w:hAnsi="Arial"/>
          <w:sz w:val="18"/>
          <w:szCs w:val="18"/>
          <w:color w:val="auto"/>
        </w:rPr>
        <w:t>which clarifies identifying performance obligation and licensing implementation guidance and illustrations in ASU No. 2014-09; and ASU</w:t>
      </w:r>
    </w:p>
    <w:p>
      <w:pPr>
        <w:ind w:left="200"/>
        <w:spacing w:after="0"/>
        <w:rPr>
          <w:sz w:val="20"/>
          <w:szCs w:val="20"/>
          <w:color w:val="auto"/>
        </w:rPr>
      </w:pPr>
      <w:r>
        <w:rPr>
          <w:rFonts w:ascii="Arial" w:cs="Arial" w:eastAsia="Arial" w:hAnsi="Arial"/>
          <w:sz w:val="16"/>
          <w:szCs w:val="16"/>
          <w:color w:val="auto"/>
        </w:rPr>
        <w:t xml:space="preserve">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which addresses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implementation issues and is intended</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240" w:top="460"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reduce the cost and complexity of applying the new revenue standard in ASU No. 2014-09 (collectively, the Revenue ASUs).</w:t>
      </w:r>
    </w:p>
    <w:p>
      <w:pPr>
        <w:spacing w:after="0" w:line="10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The Revenue ASUs provide an accounting standard for a single comprehensive model for use in accounting for revenue arising from contracts with customers and supersedes most current revenue recognition guidance.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On January 1, 2018, the Company early adopted ASC 606 using the full retrospective method.</w:t>
      </w:r>
    </w:p>
    <w:p>
      <w:pPr>
        <w:spacing w:after="0" w:line="85"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Assets and Financial Liabilities </w:t>
      </w:r>
      <w:r>
        <w:rPr>
          <w:rFonts w:ascii="Arial" w:cs="Arial" w:eastAsia="Arial" w:hAnsi="Arial"/>
          <w:sz w:val="18"/>
          <w:szCs w:val="18"/>
          <w:color w:val="auto"/>
        </w:rPr>
        <w:t>(ASU 2016-01). ASU 2016-01 enhances the reporting model for financial instruments,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amendments to address aspects of recognition, measurement, presentation and disclosure of financial instruments. In February 2018, the FASB issued ASU 2018-03</w:t>
      </w:r>
      <w:r>
        <w:rPr>
          <w:rFonts w:ascii="Arial" w:cs="Arial" w:eastAsia="Arial" w:hAnsi="Arial"/>
          <w:sz w:val="18"/>
          <w:szCs w:val="18"/>
          <w:i w:val="1"/>
          <w:iCs w:val="1"/>
          <w:color w:val="auto"/>
        </w:rPr>
        <w:t>, Technical Corrections and Improvements to Financial Instruments—Overall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and Measurement of Financial Assets and Financial Liabilities </w:t>
      </w:r>
      <w:r>
        <w:rPr>
          <w:rFonts w:ascii="Arial" w:cs="Arial" w:eastAsia="Arial" w:hAnsi="Arial"/>
          <w:sz w:val="18"/>
          <w:szCs w:val="18"/>
          <w:color w:val="auto"/>
        </w:rPr>
        <w:t>(ASC 2018-03). The adoption of this guidance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did not have an impact on the Company’s consolidated financial statements.</w:t>
      </w:r>
    </w:p>
    <w:p>
      <w:pPr>
        <w:spacing w:after="0" w:line="87"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 xml:space="preserve">In August 2016, the FASB issued ASU No. 2016-18, </w:t>
      </w:r>
      <w:r>
        <w:rPr>
          <w:rFonts w:ascii="Arial" w:cs="Arial" w:eastAsia="Arial" w:hAnsi="Arial"/>
          <w:sz w:val="18"/>
          <w:szCs w:val="18"/>
          <w:i w:val="1"/>
          <w:iCs w:val="1"/>
          <w:color w:val="auto"/>
        </w:rPr>
        <w:t>Restricted Cash, Statement of Cash Flows (Topic 230): Restricted Cash</w:t>
      </w:r>
      <w:r>
        <w:rPr>
          <w:rFonts w:ascii="Arial" w:cs="Arial" w:eastAsia="Arial" w:hAnsi="Arial"/>
          <w:sz w:val="18"/>
          <w:szCs w:val="18"/>
          <w:color w:val="auto"/>
        </w:rPr>
        <w:t xml:space="preserve"> (ASU 2016-18). ASU 2016-18 requires that a statement of cash flows explain the change during the period in the total of cash, cash 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The adoption of this guidance during the year ended December 31, 2018 did not have a material impact on the Company’s consolidated financial statements.</w:t>
      </w:r>
    </w:p>
    <w:p>
      <w:pPr>
        <w:spacing w:after="0" w:line="8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(ASU 2017-04). ASU 2017-04 simplifies the measurement of goodwill by eliminating step two of the two-step impairment test.</w:t>
      </w:r>
      <w:r>
        <w:rPr>
          <w:rFonts w:ascii="Arial" w:cs="Arial" w:eastAsia="Arial" w:hAnsi="Arial"/>
          <w:sz w:val="18"/>
          <w:szCs w:val="18"/>
          <w:i w:val="1"/>
          <w:iCs w:val="1"/>
          <w:color w:val="auto"/>
        </w:rPr>
        <w:t xml:space="preserve"> </w:t>
      </w:r>
      <w:r>
        <w:rPr>
          <w:rFonts w:ascii="Arial" w:cs="Arial" w:eastAsia="Arial" w:hAnsi="Arial"/>
          <w:sz w:val="18"/>
          <w:szCs w:val="18"/>
          <w:color w:val="auto"/>
        </w:rPr>
        <w:t>Step two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early adoption of this guidance during the year ended December 31, 2018 did not have an impact on the Company’s consolidated financial statements.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6" w:lineRule="exact"/>
        <w:rPr>
          <w:sz w:val="20"/>
          <w:szCs w:val="20"/>
          <w:color w:val="auto"/>
        </w:rPr>
      </w:pPr>
    </w:p>
    <w:p>
      <w:pPr>
        <w:ind w:left="200"/>
        <w:spacing w:after="0" w:line="27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ASU 2016-02 provides accounting guidance for both lessee and lessor accounting models. The principle of ASU 2016-02 is that a lessee should recognize the assets and liabilities that arise from leases. Lessees will need to recognize a right-of-use asset and a lease liability for virtually all of their leases (other than leases that meet the definition of a short-term lease). The liability will be equal to the present value of lease payments. The asset will be based on the liability. For income statement purposes, ASU 2016-02 requires leases to be classified as either operating or finance. Operating leases will result in straight-line expense while finance leases will result in a front-loaded expense pattern. ASU 2016-02 is applicable to the Company for the fiscal year beginning after December 15, 2019, and interim periods within fiscal years beginning after December 15, 2020. Early adoption is permitted. In July 2018, the FASB issued supplemental adoption guidance and clarification to ASC 842 within ASU 2018-10, </w:t>
      </w:r>
      <w:r>
        <w:rPr>
          <w:rFonts w:ascii="Arial" w:cs="Arial" w:eastAsia="Arial" w:hAnsi="Arial"/>
          <w:sz w:val="16"/>
          <w:szCs w:val="16"/>
          <w:i w:val="1"/>
          <w:iCs w:val="1"/>
          <w:color w:val="auto"/>
        </w:rPr>
        <w:t>Codification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24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i w:val="1"/>
          <w:iCs w:val="1"/>
          <w:color w:val="auto"/>
        </w:rPr>
        <w:t>Improvements to Topic 842, Leases</w:t>
      </w:r>
      <w:r>
        <w:rPr>
          <w:rFonts w:ascii="Arial" w:cs="Arial" w:eastAsia="Arial" w:hAnsi="Arial"/>
          <w:sz w:val="18"/>
          <w:szCs w:val="18"/>
          <w:color w:val="auto"/>
        </w:rPr>
        <w:t>, ASU 2018-11,</w:t>
      </w:r>
      <w:r>
        <w:rPr>
          <w:rFonts w:ascii="Arial" w:cs="Arial" w:eastAsia="Arial" w:hAnsi="Arial"/>
          <w:sz w:val="18"/>
          <w:szCs w:val="18"/>
          <w:i w:val="1"/>
          <w:iCs w:val="1"/>
          <w:color w:val="auto"/>
        </w:rPr>
        <w:t xml:space="preserve"> Leases (Topic 842): Targeted Improvements </w:t>
      </w:r>
      <w:r>
        <w:rPr>
          <w:rFonts w:ascii="Arial" w:cs="Arial" w:eastAsia="Arial" w:hAnsi="Arial"/>
          <w:sz w:val="18"/>
          <w:szCs w:val="18"/>
          <w:color w:val="auto"/>
        </w:rPr>
        <w:t>and ASU 2019-01,</w:t>
      </w:r>
      <w:r>
        <w:rPr>
          <w:rFonts w:ascii="Arial" w:cs="Arial" w:eastAsia="Arial" w:hAnsi="Arial"/>
          <w:sz w:val="18"/>
          <w:szCs w:val="18"/>
          <w:i w:val="1"/>
          <w:iCs w:val="1"/>
          <w:color w:val="auto"/>
        </w:rPr>
        <w:t xml:space="preserve"> Leases (Topic 842): Codification Improvements. </w:t>
      </w:r>
      <w:r>
        <w:rPr>
          <w:rFonts w:ascii="Arial" w:cs="Arial" w:eastAsia="Arial" w:hAnsi="Arial"/>
          <w:sz w:val="18"/>
          <w:szCs w:val="18"/>
          <w:color w:val="auto"/>
        </w:rPr>
        <w:t>ASU 2018-11 provides another transition method in addition to the existing modified retrospective transition</w:t>
      </w:r>
      <w:r>
        <w:rPr>
          <w:rFonts w:ascii="Arial" w:cs="Arial" w:eastAsia="Arial" w:hAnsi="Arial"/>
          <w:sz w:val="18"/>
          <w:szCs w:val="18"/>
          <w:i w:val="1"/>
          <w:iCs w:val="1"/>
          <w:color w:val="auto"/>
        </w:rPr>
        <w:t xml:space="preserve"> </w:t>
      </w:r>
      <w:r>
        <w:rPr>
          <w:rFonts w:ascii="Arial" w:cs="Arial" w:eastAsia="Arial" w:hAnsi="Arial"/>
          <w:sz w:val="18"/>
          <w:szCs w:val="18"/>
          <w:color w:val="auto"/>
        </w:rPr>
        <w:t>method by allowing entities to initially apply the new leasing standard at the adoption date and recognize a cumulative-effect adjustment to the opening balance of retained earnings in the period of adoption. The Company plans to adopt these ASUs on January 1, 2020. While the Company continues to review its current accounting policies and practices to identify potential differences that would result from applying the new guidance, the Company currently believes the most significant changes will be related to the recognition of new right-of-use assets and lease liabilities in the Company’s consolidated balance sheet for operating leases. The Company expects to elect transitional practical expedients such that the Company will not need to reassess whether contracts are leases and will retain lease classification and initial direct costs for leases existing prior to the adoption of the new lease standard.</w:t>
      </w:r>
    </w:p>
    <w:p>
      <w:pPr>
        <w:spacing w:after="0" w:line="84" w:lineRule="exact"/>
        <w:rPr>
          <w:sz w:val="20"/>
          <w:szCs w:val="20"/>
          <w:color w:val="auto"/>
        </w:rPr>
      </w:pPr>
    </w:p>
    <w:p>
      <w:pPr>
        <w:ind w:left="200" w:right="120"/>
        <w:spacing w:after="0" w:line="267"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(ASU 2016-13), which requires the measurement and recognition of expected credit losses for financial assets held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No. 2018-19, </w:t>
      </w:r>
      <w:r>
        <w:rPr>
          <w:rFonts w:ascii="Arial" w:cs="Arial" w:eastAsia="Arial" w:hAnsi="Arial"/>
          <w:sz w:val="16"/>
          <w:szCs w:val="16"/>
          <w:i w:val="1"/>
          <w:iCs w:val="1"/>
          <w:color w:val="auto"/>
        </w:rPr>
        <w:t>Codification Improvements to Topic 326,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Instruments—Credit Losses </w:t>
      </w:r>
      <w:r>
        <w:rPr>
          <w:rFonts w:ascii="Arial" w:cs="Arial" w:eastAsia="Arial" w:hAnsi="Arial"/>
          <w:sz w:val="16"/>
          <w:szCs w:val="16"/>
          <w:color w:val="auto"/>
        </w:rPr>
        <w:t>(ASU 2018-19) which narrowed the scope and changed the effective date for non-public entities for ASU</w:t>
      </w:r>
    </w:p>
    <w:p>
      <w:pPr>
        <w:spacing w:after="0" w:line="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2016-13. The FASB subsequently issued supplemental guidance within ASU No. 2019-05,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Transition Relief </w:t>
      </w:r>
      <w:r>
        <w:rPr>
          <w:rFonts w:ascii="Arial" w:cs="Arial" w:eastAsia="Arial" w:hAnsi="Arial"/>
          <w:sz w:val="18"/>
          <w:szCs w:val="18"/>
          <w:color w:val="auto"/>
        </w:rPr>
        <w:t>(ASU 2019-05). ASU 2019-05 provides an option to irrevocably elect the fair value option for certain financial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measured at amortized cost basis. ASU 2016-13 is applicable to the Company for the fiscal year beginning after December 15, 2021. Early adoption is permitted. The Company is currently evaluating the impact the adoption of these ASUs will have on its consolidated financial statements and related disclosures.</w:t>
      </w:r>
    </w:p>
    <w:p>
      <w:pPr>
        <w:spacing w:after="0" w:line="85"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Nonemployee Share-Based Payment Accounting (ASU 2018-07). ASU 2018-07 simplifies the accounting for share-based payments to nonemployees by aligning it with the accounting for share-based payments to employees, with certain exceptions. ASU 2018-07 is applicable to the Company for the fiscal year beginning after December 15, 2019, and interim periods within fiscal years beginning after December 15, 2020. Early adoption is permitted. The Company is currently evaluating the impact the adoption of this ASU will have on its consolidated financial statements and related disclosures.</w:t>
      </w:r>
    </w:p>
    <w:p>
      <w:pPr>
        <w:spacing w:after="0" w:line="87" w:lineRule="exact"/>
        <w:rPr>
          <w:sz w:val="20"/>
          <w:szCs w:val="20"/>
          <w:color w:val="auto"/>
        </w:rPr>
      </w:pPr>
    </w:p>
    <w:p>
      <w:pPr>
        <w:ind w:left="200" w:right="120"/>
        <w:spacing w:after="0" w:line="241"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w:t>
      </w:r>
      <w:r>
        <w:rPr>
          <w:rFonts w:ascii="Arial" w:cs="Arial" w:eastAsia="Arial" w:hAnsi="Arial"/>
          <w:sz w:val="18"/>
          <w:szCs w:val="18"/>
          <w:color w:val="auto"/>
        </w:rPr>
        <w:t xml:space="preserve"> (ASU 2018-13). ASU 2018-13 is part of a broader disclosure framework project by the FASB to improve the effectiveness of disclosures by more clearly communicating the information to the user. ASU 2018-13 is applicable to the Company for the fiscal year beginning after December 15, 2019. Early adoption is permitted. The Company is currently evaluating the impact the adoption of this ASU will have on its consolidated financial statement disclosures.</w:t>
      </w:r>
    </w:p>
    <w:p>
      <w:pPr>
        <w:spacing w:after="0" w:line="82" w:lineRule="exact"/>
        <w:rPr>
          <w:sz w:val="20"/>
          <w:szCs w:val="20"/>
          <w:color w:val="auto"/>
        </w:rPr>
      </w:pPr>
    </w:p>
    <w:p>
      <w:pPr>
        <w:ind w:left="200" w:right="100"/>
        <w:spacing w:after="0" w:line="241"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aligns the requirements for capitalizing implementation costs incurred in a cloud computing arrangement that is a service contract with the requirements for capitalizing implementation costs incurred to develop or obtain internal-use-software. This ASU is effective for the Company for the fiscal year beginning after December 31, 2020, and interim periods within fiscal years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20"/>
          </w:cols>
          <w:pgMar w:left="240" w:top="460"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beginning after December 31, 2021. The Company is currently evaluating the impact of this ASU on the Company’s consolidated financial statements.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3. Fair value measurements</w:t>
      </w:r>
    </w:p>
    <w:p>
      <w:pPr>
        <w:spacing w:after="0" w:line="134"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The following table presents information about the Company’s financial assets that are measured at fair value and indicates the fair value hierarchy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December 31, 2018</w:t>
            </w: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Level 1</w:t>
            </w:r>
          </w:p>
        </w:tc>
        <w:tc>
          <w:tcPr>
            <w:tcW w:w="9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Level 2</w:t>
            </w:r>
          </w:p>
        </w:tc>
        <w:tc>
          <w:tcPr>
            <w:tcW w:w="8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26"/>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5600" w:type="dxa"/>
            <w:vAlign w:val="bottom"/>
            <w:gridSpan w:val="2"/>
          </w:tcPr>
          <w:p>
            <w:pPr>
              <w:spacing w:after="0"/>
              <w:rPr>
                <w:sz w:val="3"/>
                <w:szCs w:val="3"/>
                <w:color w:val="auto"/>
              </w:rPr>
            </w:pPr>
          </w:p>
        </w:tc>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funds(1)</w:t>
            </w:r>
          </w:p>
        </w:tc>
        <w:tc>
          <w:tcPr>
            <w:tcW w:w="262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$69,353</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$69,353</w:t>
            </w:r>
          </w:p>
        </w:tc>
        <w:tc>
          <w:tcPr>
            <w:tcW w:w="6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Contingently returnable consideration asset(2)</w:t>
            </w:r>
          </w:p>
        </w:tc>
        <w:tc>
          <w:tcPr>
            <w:tcW w:w="18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310</w:t>
            </w:r>
          </w:p>
        </w:tc>
        <w:tc>
          <w:tcPr>
            <w:tcW w:w="100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7"/>
                <w:szCs w:val="17"/>
                <w:color w:val="auto"/>
              </w:rPr>
            </w:pPr>
          </w:p>
        </w:tc>
      </w:tr>
      <w:tr>
        <w:trPr>
          <w:trHeight w:val="222"/>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$69,663</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$69,353</w:t>
            </w:r>
          </w:p>
        </w:tc>
        <w:tc>
          <w:tcPr>
            <w:tcW w:w="6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9"/>
                <w:szCs w:val="19"/>
                <w:color w:val="auto"/>
              </w:rPr>
            </w:pPr>
          </w:p>
        </w:tc>
      </w:tr>
      <w:tr>
        <w:trPr>
          <w:trHeight w:val="123"/>
        </w:trPr>
        <w:tc>
          <w:tcPr>
            <w:tcW w:w="20" w:type="dxa"/>
            <w:vAlign w:val="bottom"/>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8"/>
                <w:szCs w:val="18"/>
                <w:b w:val="1"/>
                <w:bCs w:val="1"/>
                <w:color w:val="auto"/>
              </w:rPr>
              <w:t>September 30, 2019</w:t>
            </w: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Level 1</w:t>
            </w:r>
          </w:p>
        </w:tc>
        <w:tc>
          <w:tcPr>
            <w:tcW w:w="11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rPr>
              <w:t>Level 2</w:t>
            </w: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Level 3</w:t>
            </w:r>
          </w:p>
        </w:tc>
      </w:tr>
      <w:tr>
        <w:trPr>
          <w:trHeight w:val="226"/>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60" w:type="dxa"/>
            <w:vAlign w:val="bottom"/>
            <w:gridSpan w:val="3"/>
          </w:tcPr>
          <w:p>
            <w:pPr>
              <w:jc w:val="right"/>
              <w:ind w:right="452"/>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5300" w:type="dxa"/>
            <w:vAlign w:val="bottom"/>
            <w:gridSpan w:val="2"/>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funds(1)</w:t>
            </w:r>
          </w:p>
        </w:tc>
        <w:tc>
          <w:tcPr>
            <w:tcW w:w="1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10,817</w:t>
            </w: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$10,817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Commercial paper(1,3)</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47,114</w:t>
            </w: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47,114</w:t>
            </w:r>
          </w:p>
        </w:tc>
        <w:tc>
          <w:tcPr>
            <w:tcW w:w="4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U.S. government and agency securities(3)</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39,193</w:t>
            </w: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39,193</w:t>
            </w:r>
          </w:p>
        </w:tc>
        <w:tc>
          <w:tcPr>
            <w:tcW w:w="44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Corporate bonds(3)</w:t>
            </w:r>
          </w:p>
        </w:tc>
        <w:tc>
          <w:tcPr>
            <w:tcW w:w="18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39,943</w:t>
            </w:r>
          </w:p>
        </w:tc>
        <w:tc>
          <w:tcPr>
            <w:tcW w:w="10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39,943</w:t>
            </w:r>
          </w:p>
        </w:tc>
        <w:tc>
          <w:tcPr>
            <w:tcW w:w="4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22"/>
        </w:trPr>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5"/>
              </w:rPr>
              <w:t>137,067</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$10,817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5"/>
              </w:rPr>
              <w:t>126,250</w:t>
            </w:r>
          </w:p>
        </w:tc>
        <w:tc>
          <w:tcPr>
            <w:tcW w:w="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67" w:lineRule="exact"/>
        <w:rPr>
          <w:sz w:val="20"/>
          <w:szCs w:val="20"/>
          <w:color w:val="auto"/>
        </w:rPr>
      </w:pPr>
    </w:p>
    <w:p>
      <w:pPr>
        <w:ind w:left="520" w:hanging="316"/>
        <w:spacing w:after="0"/>
        <w:tabs>
          <w:tab w:leader="none" w:pos="52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Included in cash and cash equivalents on the condensed consolidated balance sheets.</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Included in prepaid expenses and other current assets on the condensed consolidated balance sheets.</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Included in marketable securities on the condensed consolidated balance sheets.</w:t>
      </w:r>
    </w:p>
    <w:p>
      <w:pPr>
        <w:spacing w:after="0" w:line="45"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Money market funds are measured at fair value on a recurring basis using quoted prices. U.S. government debt securities, U.S. government agency bonds, commercial paper and corporate bonds are measured at fair value, which is derived from independent pricing sources based on quoted prices in active markets for similar securities.</w:t>
      </w:r>
    </w:p>
    <w:p>
      <w:pPr>
        <w:spacing w:after="0" w:line="10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contingently returnable consideration asset relates to the fair value of the Warp Drive acquisition holdback, which was determined using an income-based approach. The key assumptions in determining the fair value are the discount rate and the probability assigned to the potential holdback. In March 2019, the events subject to the holdback occurred and the issued shares and cash were no longer subject to the holdback provision, reducing the fair value of the contingently returnable consideration asset to zero. The Company recorded $0.3 million in research and development expense in the condensed consolidated statement of operations and comprehensive loss related to this change in fair value.</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no transfers between Levels 1, 2 or 3 for any of the periods presented.</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240" w:top="460" w:right="4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4. Marketable securities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Marketable securities are classified as available-for-sale investments and consist of the following at September 30,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September 30, 2019</w:t>
            </w: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352"/>
              <w:spacing w:after="0" w:line="177" w:lineRule="exact"/>
              <w:rPr>
                <w:sz w:val="20"/>
                <w:szCs w:val="20"/>
                <w:color w:val="auto"/>
              </w:rPr>
            </w:pPr>
            <w:r>
              <w:rPr>
                <w:rFonts w:ascii="Arial" w:cs="Arial" w:eastAsia="Arial" w:hAnsi="Arial"/>
                <w:sz w:val="18"/>
                <w:szCs w:val="18"/>
                <w:b w:val="1"/>
                <w:bCs w:val="1"/>
                <w:color w:val="auto"/>
                <w:w w:val="99"/>
              </w:rPr>
              <w:t>Gross</w:t>
            </w:r>
          </w:p>
        </w:tc>
        <w:tc>
          <w:tcPr>
            <w:tcW w:w="960" w:type="dxa"/>
            <w:vAlign w:val="bottom"/>
          </w:tcPr>
          <w:p>
            <w:pPr>
              <w:jc w:val="center"/>
              <w:ind w:left="332"/>
              <w:spacing w:after="0" w:line="177" w:lineRule="exact"/>
              <w:rPr>
                <w:sz w:val="20"/>
                <w:szCs w:val="20"/>
                <w:color w:val="auto"/>
              </w:rPr>
            </w:pPr>
            <w:r>
              <w:rPr>
                <w:rFonts w:ascii="Arial" w:cs="Arial" w:eastAsia="Arial" w:hAnsi="Arial"/>
                <w:sz w:val="18"/>
                <w:szCs w:val="18"/>
                <w:b w:val="1"/>
                <w:bCs w:val="1"/>
                <w:color w:val="auto"/>
                <w:w w:val="96"/>
              </w:rPr>
              <w:t>Gross</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440" w:type="dxa"/>
            <w:vAlign w:val="bottom"/>
            <w:gridSpan w:val="3"/>
          </w:tcPr>
          <w:p>
            <w:pPr>
              <w:ind w:left="1320"/>
              <w:spacing w:after="0" w:line="202" w:lineRule="exact"/>
              <w:rPr>
                <w:sz w:val="20"/>
                <w:szCs w:val="20"/>
                <w:color w:val="auto"/>
              </w:rPr>
            </w:pPr>
            <w:r>
              <w:rPr>
                <w:rFonts w:ascii="Arial" w:cs="Arial" w:eastAsia="Arial" w:hAnsi="Arial"/>
                <w:sz w:val="18"/>
                <w:szCs w:val="18"/>
                <w:b w:val="1"/>
                <w:bCs w:val="1"/>
                <w:color w:val="auto"/>
              </w:rPr>
              <w:t>Amortized</w:t>
            </w:r>
          </w:p>
        </w:tc>
        <w:tc>
          <w:tcPr>
            <w:tcW w:w="138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unrealized</w:t>
            </w:r>
          </w:p>
        </w:tc>
        <w:tc>
          <w:tcPr>
            <w:tcW w:w="144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unrealized</w:t>
            </w:r>
          </w:p>
        </w:tc>
        <w:tc>
          <w:tcPr>
            <w:tcW w:w="1160" w:type="dxa"/>
            <w:vAlign w:val="bottom"/>
            <w:gridSpan w:val="3"/>
          </w:tcPr>
          <w:p>
            <w:pPr>
              <w:ind w:left="240"/>
              <w:spacing w:after="0" w:line="202" w:lineRule="exact"/>
              <w:rPr>
                <w:sz w:val="20"/>
                <w:szCs w:val="20"/>
                <w:color w:val="auto"/>
              </w:rPr>
            </w:pPr>
            <w:r>
              <w:rPr>
                <w:rFonts w:ascii="Arial" w:cs="Arial" w:eastAsia="Arial" w:hAnsi="Arial"/>
                <w:sz w:val="18"/>
                <w:szCs w:val="18"/>
                <w:b w:val="1"/>
                <w:bCs w:val="1"/>
                <w:color w:val="auto"/>
              </w:rPr>
              <w:t>Estimated</w:t>
            </w:r>
          </w:p>
        </w:tc>
      </w:tr>
      <w:tr>
        <w:trPr>
          <w:trHeight w:val="221"/>
        </w:trPr>
        <w:tc>
          <w:tcPr>
            <w:tcW w:w="20" w:type="dxa"/>
            <w:vAlign w:val="bottom"/>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cost</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gain</w:t>
            </w:r>
          </w:p>
        </w:tc>
        <w:tc>
          <w:tcPr>
            <w:tcW w:w="96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b w:val="1"/>
                <w:bCs w:val="1"/>
                <w:color w:val="auto"/>
                <w:w w:val="94"/>
              </w:rPr>
              <w:t>loss</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fair value</w:t>
            </w:r>
          </w:p>
        </w:tc>
      </w:tr>
      <w:tr>
        <w:trPr>
          <w:trHeight w:val="226"/>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(in thousands)</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4620" w:type="dxa"/>
            <w:vAlign w:val="bottom"/>
            <w:gridSpan w:val="2"/>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82"/>
        </w:trPr>
        <w:tc>
          <w:tcPr>
            <w:tcW w:w="20" w:type="dxa"/>
            <w:vAlign w:val="bottom"/>
          </w:tcPr>
          <w:p>
            <w:pPr>
              <w:spacing w:after="0"/>
              <w:rPr>
                <w:sz w:val="24"/>
                <w:szCs w:val="24"/>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4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39,322</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96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w w:val="90"/>
              </w:rPr>
              <w:t>(1)</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39,328</w:t>
            </w:r>
          </w:p>
        </w:tc>
        <w:tc>
          <w:tcPr>
            <w:tcW w:w="60" w:type="dxa"/>
            <w:vAlign w:val="bottom"/>
          </w:tcPr>
          <w:p>
            <w:pPr>
              <w:spacing w:after="0"/>
              <w:rPr>
                <w:sz w:val="24"/>
                <w:szCs w:val="24"/>
                <w:color w:val="auto"/>
              </w:rPr>
            </w:pPr>
          </w:p>
        </w:tc>
      </w:tr>
      <w:tr>
        <w:trPr>
          <w:trHeight w:val="56"/>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U.S. government and agency securities</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37,188</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0"/>
              </w:rPr>
              <w:t>(5)</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37,193</w:t>
            </w:r>
          </w:p>
        </w:tc>
        <w:tc>
          <w:tcPr>
            <w:tcW w:w="60" w:type="dxa"/>
            <w:vAlign w:val="bottom"/>
            <w:shd w:val="clear" w:color="auto" w:fill="CCEEFF"/>
          </w:tcPr>
          <w:p>
            <w:pPr>
              <w:spacing w:after="0"/>
              <w:rPr>
                <w:sz w:val="17"/>
                <w:szCs w:val="17"/>
                <w:color w:val="auto"/>
              </w:rPr>
            </w:pPr>
          </w:p>
        </w:tc>
      </w:tr>
      <w:tr>
        <w:trPr>
          <w:trHeight w:val="277"/>
        </w:trPr>
        <w:tc>
          <w:tcPr>
            <w:tcW w:w="20" w:type="dxa"/>
            <w:vAlign w:val="bottom"/>
          </w:tcPr>
          <w:p>
            <w:pPr>
              <w:spacing w:after="0"/>
              <w:rPr>
                <w:sz w:val="24"/>
                <w:szCs w:val="24"/>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37,900</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44</w:t>
            </w: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0"/>
              </w:rPr>
              <w:t>(1)</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37,943</w:t>
            </w:r>
          </w:p>
        </w:tc>
        <w:tc>
          <w:tcPr>
            <w:tcW w:w="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marketable securities</w:t>
            </w:r>
          </w:p>
        </w:tc>
        <w:tc>
          <w:tcPr>
            <w:tcW w:w="1480" w:type="dxa"/>
            <w:vAlign w:val="bottom"/>
            <w:gridSpan w:val="2"/>
            <w:shd w:val="clear" w:color="auto" w:fill="CCEEFF"/>
          </w:tcPr>
          <w:p>
            <w:pPr>
              <w:ind w:left="13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114,410</w:t>
            </w:r>
          </w:p>
        </w:tc>
        <w:tc>
          <w:tcPr>
            <w:tcW w:w="4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61</w:t>
            </w:r>
          </w:p>
        </w:tc>
        <w:tc>
          <w:tcPr>
            <w:tcW w:w="9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0"/>
              </w:rPr>
              <w:t>(7)</w:t>
            </w:r>
          </w:p>
        </w:tc>
        <w:tc>
          <w:tcPr>
            <w:tcW w:w="4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114,464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no marketable securities as of December 31, 2018.</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5. Condensed consolidated balance sheet components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net consist of the following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2"/>
          </w:tcPr>
          <w:p>
            <w:pPr>
              <w:jc w:val="center"/>
              <w:ind w:left="292"/>
              <w:spacing w:after="0"/>
              <w:rPr>
                <w:sz w:val="20"/>
                <w:szCs w:val="20"/>
                <w:color w:val="auto"/>
              </w:rPr>
            </w:pPr>
            <w:r>
              <w:rPr>
                <w:rFonts w:ascii="Arial" w:cs="Arial" w:eastAsia="Arial" w:hAnsi="Arial"/>
                <w:sz w:val="18"/>
                <w:szCs w:val="18"/>
                <w:b w:val="1"/>
                <w:bCs w:val="1"/>
                <w:color w:val="auto"/>
                <w:w w:val="96"/>
              </w:rPr>
              <w:t>Weighted-</w:t>
            </w: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2"/>
          </w:tcPr>
          <w:p>
            <w:pPr>
              <w:jc w:val="center"/>
              <w:ind w:left="312"/>
              <w:spacing w:after="0" w:line="202" w:lineRule="exact"/>
              <w:rPr>
                <w:sz w:val="20"/>
                <w:szCs w:val="20"/>
                <w:color w:val="auto"/>
              </w:rPr>
            </w:pPr>
            <w:r>
              <w:rPr>
                <w:rFonts w:ascii="Arial" w:cs="Arial" w:eastAsia="Arial" w:hAnsi="Arial"/>
                <w:sz w:val="18"/>
                <w:szCs w:val="18"/>
                <w:b w:val="1"/>
                <w:bCs w:val="1"/>
                <w:color w:val="auto"/>
                <w:w w:val="96"/>
              </w:rPr>
              <w:t>average</w:t>
            </w: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gridSpan w:val="2"/>
          </w:tcPr>
          <w:p>
            <w:pPr>
              <w:ind w:left="280"/>
              <w:spacing w:after="0" w:line="202" w:lineRule="exact"/>
              <w:rPr>
                <w:sz w:val="20"/>
                <w:szCs w:val="20"/>
                <w:color w:val="auto"/>
              </w:rPr>
            </w:pPr>
            <w:r>
              <w:rPr>
                <w:rFonts w:ascii="Arial" w:cs="Arial" w:eastAsia="Arial" w:hAnsi="Arial"/>
                <w:sz w:val="18"/>
                <w:szCs w:val="18"/>
                <w:b w:val="1"/>
                <w:bCs w:val="1"/>
                <w:color w:val="auto"/>
              </w:rPr>
              <w:t>Accumulated</w:t>
            </w:r>
          </w:p>
        </w:tc>
        <w:tc>
          <w:tcPr>
            <w:tcW w:w="420" w:type="dxa"/>
            <w:vAlign w:val="bottom"/>
          </w:tcPr>
          <w:p>
            <w:pPr>
              <w:spacing w:after="0"/>
              <w:rPr>
                <w:sz w:val="17"/>
                <w:szCs w:val="17"/>
                <w:color w:val="auto"/>
              </w:rPr>
            </w:pPr>
          </w:p>
        </w:tc>
        <w:tc>
          <w:tcPr>
            <w:tcW w:w="7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Net</w:t>
            </w:r>
          </w:p>
        </w:tc>
        <w:tc>
          <w:tcPr>
            <w:tcW w:w="1380" w:type="dxa"/>
            <w:vAlign w:val="bottom"/>
            <w:gridSpan w:val="2"/>
          </w:tcPr>
          <w:p>
            <w:pPr>
              <w:jc w:val="center"/>
              <w:ind w:left="292"/>
              <w:spacing w:after="0" w:line="202" w:lineRule="exact"/>
              <w:rPr>
                <w:sz w:val="20"/>
                <w:szCs w:val="20"/>
                <w:color w:val="auto"/>
              </w:rPr>
            </w:pPr>
            <w:r>
              <w:rPr>
                <w:rFonts w:ascii="Arial" w:cs="Arial" w:eastAsia="Arial" w:hAnsi="Arial"/>
                <w:sz w:val="18"/>
                <w:szCs w:val="18"/>
                <w:b w:val="1"/>
                <w:bCs w:val="1"/>
                <w:color w:val="auto"/>
                <w:w w:val="97"/>
              </w:rPr>
              <w:t>remaining</w:t>
            </w:r>
          </w:p>
        </w:tc>
      </w:tr>
      <w:tr>
        <w:trPr>
          <w:trHeight w:val="221"/>
        </w:trPr>
        <w:tc>
          <w:tcPr>
            <w:tcW w:w="20" w:type="dxa"/>
            <w:vAlign w:val="bottom"/>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Gross value</w:t>
            </w:r>
          </w:p>
        </w:tc>
        <w:tc>
          <w:tcPr>
            <w:tcW w:w="16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amortization</w:t>
            </w: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w w:val="95"/>
              </w:rPr>
              <w:t>book value</w:t>
            </w:r>
          </w:p>
        </w:tc>
        <w:tc>
          <w:tcPr>
            <w:tcW w:w="1380" w:type="dxa"/>
            <w:vAlign w:val="bottom"/>
            <w:tcBorders>
              <w:bottom w:val="single" w:sz="8" w:color="auto"/>
            </w:tcBorders>
            <w:gridSpan w:val="2"/>
          </w:tcPr>
          <w:p>
            <w:pPr>
              <w:jc w:val="center"/>
              <w:ind w:left="312"/>
              <w:spacing w:after="0"/>
              <w:rPr>
                <w:sz w:val="20"/>
                <w:szCs w:val="20"/>
                <w:color w:val="auto"/>
              </w:rPr>
            </w:pPr>
            <w:r>
              <w:rPr>
                <w:rFonts w:ascii="Arial" w:cs="Arial" w:eastAsia="Arial" w:hAnsi="Arial"/>
                <w:sz w:val="18"/>
                <w:szCs w:val="18"/>
                <w:b w:val="1"/>
                <w:bCs w:val="1"/>
                <w:color w:val="auto"/>
                <w:w w:val="97"/>
              </w:rPr>
              <w:t>useful life</w:t>
            </w:r>
          </w:p>
        </w:tc>
      </w:tr>
      <w:tr>
        <w:trPr>
          <w:trHeight w:val="196"/>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2"/>
          </w:tcPr>
          <w:p>
            <w:pPr>
              <w:jc w:val="center"/>
              <w:ind w:left="312"/>
              <w:spacing w:after="0" w:line="196" w:lineRule="exact"/>
              <w:rPr>
                <w:sz w:val="20"/>
                <w:szCs w:val="20"/>
                <w:color w:val="auto"/>
              </w:rPr>
            </w:pPr>
            <w:r>
              <w:rPr>
                <w:rFonts w:ascii="Arial" w:cs="Arial" w:eastAsia="Arial" w:hAnsi="Arial"/>
                <w:sz w:val="18"/>
                <w:szCs w:val="18"/>
                <w:b w:val="1"/>
                <w:bCs w:val="1"/>
                <w:color w:val="auto"/>
                <w:w w:val="97"/>
              </w:rPr>
              <w:t>(in years)</w:t>
            </w: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96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55,800</w:t>
            </w:r>
          </w:p>
        </w:tc>
        <w:tc>
          <w:tcPr>
            <w:tcW w:w="7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55,800</w:t>
            </w:r>
          </w:p>
        </w:tc>
        <w:tc>
          <w:tcPr>
            <w:tcW w:w="1380" w:type="dxa"/>
            <w:vAlign w:val="bottom"/>
            <w:gridSpan w:val="2"/>
            <w:shd w:val="clear" w:color="auto" w:fill="CCEEFF"/>
          </w:tcPr>
          <w:p>
            <w:pPr>
              <w:ind w:left="1060"/>
              <w:spacing w:after="0" w:line="202" w:lineRule="exact"/>
              <w:rPr>
                <w:sz w:val="20"/>
                <w:szCs w:val="20"/>
                <w:color w:val="auto"/>
              </w:rPr>
            </w:pPr>
            <w:r>
              <w:rPr>
                <w:rFonts w:ascii="Arial" w:cs="Arial" w:eastAsia="Arial" w:hAnsi="Arial"/>
                <w:sz w:val="18"/>
                <w:szCs w:val="18"/>
                <w:color w:val="auto"/>
              </w:rPr>
              <w:t>n/a</w:t>
            </w:r>
          </w:p>
        </w:tc>
      </w:tr>
      <w:tr>
        <w:trPr>
          <w:trHeight w:val="210"/>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Developed technology—tri-complex platform</w:t>
            </w:r>
          </w:p>
        </w:tc>
        <w:tc>
          <w:tcPr>
            <w:tcW w:w="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7,480</w:t>
            </w:r>
          </w:p>
        </w:tc>
        <w:tc>
          <w:tcPr>
            <w:tcW w:w="7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(198)</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7,282</w:t>
            </w:r>
          </w:p>
        </w:tc>
        <w:tc>
          <w:tcPr>
            <w:tcW w:w="1320" w:type="dxa"/>
            <w:vAlign w:val="bottom"/>
          </w:tcPr>
          <w:p>
            <w:pPr>
              <w:ind w:left="1060"/>
              <w:spacing w:after="0" w:line="202" w:lineRule="exact"/>
              <w:rPr>
                <w:sz w:val="20"/>
                <w:szCs w:val="20"/>
                <w:color w:val="auto"/>
              </w:rPr>
            </w:pPr>
            <w:r>
              <w:rPr>
                <w:rFonts w:ascii="Arial" w:cs="Arial" w:eastAsia="Arial" w:hAnsi="Arial"/>
                <w:sz w:val="18"/>
                <w:szCs w:val="18"/>
                <w:color w:val="auto"/>
                <w:w w:val="95"/>
              </w:rPr>
              <w:t>6.8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63,280</w:t>
            </w:r>
          </w:p>
        </w:tc>
        <w:tc>
          <w:tcPr>
            <w:tcW w:w="7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(198)</w:t>
            </w:r>
          </w:p>
        </w:tc>
        <w:tc>
          <w:tcPr>
            <w:tcW w:w="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63,082</w:t>
            </w: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net consist of the following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gridSpan w:val="2"/>
          </w:tcPr>
          <w:p>
            <w:pPr>
              <w:jc w:val="center"/>
              <w:ind w:left="292"/>
              <w:spacing w:after="0"/>
              <w:rPr>
                <w:sz w:val="20"/>
                <w:szCs w:val="20"/>
                <w:color w:val="auto"/>
              </w:rPr>
            </w:pPr>
            <w:r>
              <w:rPr>
                <w:rFonts w:ascii="Arial" w:cs="Arial" w:eastAsia="Arial" w:hAnsi="Arial"/>
                <w:sz w:val="18"/>
                <w:szCs w:val="18"/>
                <w:b w:val="1"/>
                <w:bCs w:val="1"/>
                <w:color w:val="auto"/>
                <w:w w:val="96"/>
              </w:rPr>
              <w:t>Weighted-</w:t>
            </w: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2"/>
          </w:tcPr>
          <w:p>
            <w:pPr>
              <w:jc w:val="center"/>
              <w:ind w:left="312"/>
              <w:spacing w:after="0" w:line="202" w:lineRule="exact"/>
              <w:rPr>
                <w:sz w:val="20"/>
                <w:szCs w:val="20"/>
                <w:color w:val="auto"/>
              </w:rPr>
            </w:pPr>
            <w:r>
              <w:rPr>
                <w:rFonts w:ascii="Arial" w:cs="Arial" w:eastAsia="Arial" w:hAnsi="Arial"/>
                <w:sz w:val="18"/>
                <w:szCs w:val="18"/>
                <w:b w:val="1"/>
                <w:bCs w:val="1"/>
                <w:color w:val="auto"/>
                <w:w w:val="96"/>
              </w:rPr>
              <w:t>average</w:t>
            </w: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gridSpan w:val="4"/>
          </w:tcPr>
          <w:p>
            <w:pPr>
              <w:ind w:left="460"/>
              <w:spacing w:after="0" w:line="202" w:lineRule="exact"/>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Net</w:t>
            </w:r>
          </w:p>
        </w:tc>
        <w:tc>
          <w:tcPr>
            <w:tcW w:w="1380" w:type="dxa"/>
            <w:vAlign w:val="bottom"/>
            <w:gridSpan w:val="2"/>
          </w:tcPr>
          <w:p>
            <w:pPr>
              <w:jc w:val="center"/>
              <w:ind w:left="292"/>
              <w:spacing w:after="0" w:line="202" w:lineRule="exact"/>
              <w:rPr>
                <w:sz w:val="20"/>
                <w:szCs w:val="20"/>
                <w:color w:val="auto"/>
              </w:rPr>
            </w:pPr>
            <w:r>
              <w:rPr>
                <w:rFonts w:ascii="Arial" w:cs="Arial" w:eastAsia="Arial" w:hAnsi="Arial"/>
                <w:sz w:val="18"/>
                <w:szCs w:val="18"/>
                <w:b w:val="1"/>
                <w:bCs w:val="1"/>
                <w:color w:val="auto"/>
                <w:w w:val="97"/>
              </w:rPr>
              <w:t>remaining</w:t>
            </w:r>
          </w:p>
        </w:tc>
      </w:tr>
      <w:tr>
        <w:trPr>
          <w:trHeight w:val="221"/>
        </w:trPr>
        <w:tc>
          <w:tcPr>
            <w:tcW w:w="20" w:type="dxa"/>
            <w:vAlign w:val="bottom"/>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6"/>
              </w:rPr>
              <w:t>Gross value</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7"/>
              </w:rPr>
              <w:t>amortization</w:t>
            </w:r>
          </w:p>
        </w:tc>
        <w:tc>
          <w:tcPr>
            <w:tcW w:w="116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97"/>
              </w:rPr>
              <w:t>book value</w:t>
            </w:r>
          </w:p>
        </w:tc>
        <w:tc>
          <w:tcPr>
            <w:tcW w:w="1380" w:type="dxa"/>
            <w:vAlign w:val="bottom"/>
            <w:tcBorders>
              <w:bottom w:val="single" w:sz="8" w:color="auto"/>
            </w:tcBorders>
            <w:gridSpan w:val="2"/>
          </w:tcPr>
          <w:p>
            <w:pPr>
              <w:jc w:val="center"/>
              <w:ind w:left="312"/>
              <w:spacing w:after="0"/>
              <w:rPr>
                <w:sz w:val="20"/>
                <w:szCs w:val="20"/>
                <w:color w:val="auto"/>
              </w:rPr>
            </w:pPr>
            <w:r>
              <w:rPr>
                <w:rFonts w:ascii="Arial" w:cs="Arial" w:eastAsia="Arial" w:hAnsi="Arial"/>
                <w:sz w:val="18"/>
                <w:szCs w:val="18"/>
                <w:b w:val="1"/>
                <w:bCs w:val="1"/>
                <w:color w:val="auto"/>
                <w:w w:val="97"/>
              </w:rPr>
              <w:t>useful life</w:t>
            </w:r>
          </w:p>
        </w:tc>
      </w:tr>
      <w:tr>
        <w:trPr>
          <w:trHeight w:val="196"/>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gridSpan w:val="4"/>
          </w:tcPr>
          <w:p>
            <w:pPr>
              <w:ind w:left="380"/>
              <w:spacing w:after="0" w:line="196" w:lineRule="exact"/>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2"/>
          </w:tcPr>
          <w:p>
            <w:pPr>
              <w:jc w:val="center"/>
              <w:ind w:left="312"/>
              <w:spacing w:after="0" w:line="196" w:lineRule="exact"/>
              <w:rPr>
                <w:sz w:val="20"/>
                <w:szCs w:val="20"/>
                <w:color w:val="auto"/>
              </w:rPr>
            </w:pPr>
            <w:r>
              <w:rPr>
                <w:rFonts w:ascii="Arial" w:cs="Arial" w:eastAsia="Arial" w:hAnsi="Arial"/>
                <w:sz w:val="18"/>
                <w:szCs w:val="18"/>
                <w:b w:val="1"/>
                <w:bCs w:val="1"/>
                <w:color w:val="auto"/>
                <w:w w:val="97"/>
              </w:rPr>
              <w:t>(in years)</w:t>
            </w: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112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55,800</w:t>
            </w:r>
          </w:p>
        </w:tc>
        <w:tc>
          <w:tcPr>
            <w:tcW w:w="7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55,800</w:t>
            </w:r>
          </w:p>
        </w:tc>
        <w:tc>
          <w:tcPr>
            <w:tcW w:w="1380" w:type="dxa"/>
            <w:vAlign w:val="bottom"/>
            <w:gridSpan w:val="2"/>
            <w:shd w:val="clear" w:color="auto" w:fill="CCEEFF"/>
          </w:tcPr>
          <w:p>
            <w:pPr>
              <w:ind w:left="10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800" w:type="dxa"/>
            <w:vAlign w:val="bottom"/>
            <w:gridSpan w:val="2"/>
          </w:tcPr>
          <w:p>
            <w:pPr>
              <w:spacing w:after="0" w:line="202" w:lineRule="exact"/>
              <w:rPr>
                <w:sz w:val="20"/>
                <w:szCs w:val="20"/>
                <w:color w:val="auto"/>
              </w:rPr>
            </w:pPr>
            <w:r>
              <w:rPr>
                <w:rFonts w:ascii="Arial" w:cs="Arial" w:eastAsia="Arial" w:hAnsi="Arial"/>
                <w:sz w:val="18"/>
                <w:szCs w:val="18"/>
                <w:color w:val="auto"/>
              </w:rPr>
              <w:t>Developed technology—tri-complex platform</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7,480</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6,480</w:t>
            </w:r>
          </w:p>
        </w:tc>
        <w:tc>
          <w:tcPr>
            <w:tcW w:w="1320" w:type="dxa"/>
            <w:vAlign w:val="bottom"/>
          </w:tcPr>
          <w:p>
            <w:pPr>
              <w:ind w:left="1060"/>
              <w:spacing w:after="0" w:line="202" w:lineRule="exact"/>
              <w:rPr>
                <w:sz w:val="20"/>
                <w:szCs w:val="20"/>
                <w:color w:val="auto"/>
              </w:rPr>
            </w:pPr>
            <w:r>
              <w:rPr>
                <w:rFonts w:ascii="Arial" w:cs="Arial" w:eastAsia="Arial" w:hAnsi="Arial"/>
                <w:sz w:val="18"/>
                <w:szCs w:val="18"/>
                <w:color w:val="auto"/>
                <w:w w:val="95"/>
              </w:rPr>
              <w:t>6.1</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63,280</w:t>
            </w:r>
          </w:p>
        </w:tc>
        <w:tc>
          <w:tcPr>
            <w:tcW w:w="7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62,280</w:t>
            </w: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bottom w:val="single" w:sz="8" w:color="auto"/>
            </w:tcBorders>
            <w:gridSpan w:val="6"/>
          </w:tcPr>
          <w:p>
            <w:pPr>
              <w:spacing w:after="0" w:line="20" w:lineRule="exact"/>
              <w:rPr>
                <w:sz w:val="1"/>
                <w:szCs w:val="1"/>
                <w:color w:val="auto"/>
              </w:rPr>
            </w:pPr>
          </w:p>
        </w:tc>
        <w:tc>
          <w:tcPr>
            <w:tcW w:w="2220" w:type="dxa"/>
            <w:vAlign w:val="bottom"/>
            <w:tcBorders>
              <w:bottom w:val="single" w:sz="8" w:color="auto"/>
            </w:tcBorders>
            <w:gridSpan w:val="5"/>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9"/>
        </w:trPr>
        <w:tc>
          <w:tcPr>
            <w:tcW w:w="7440" w:type="dxa"/>
            <w:vAlign w:val="bottom"/>
            <w:gridSpan w:val="7"/>
          </w:tcPr>
          <w:p>
            <w:pPr>
              <w:spacing w:after="0"/>
              <w:rPr>
                <w:sz w:val="20"/>
                <w:szCs w:val="20"/>
                <w:color w:val="auto"/>
              </w:rPr>
            </w:pPr>
            <w:r>
              <w:rPr>
                <w:rFonts w:ascii="Arial" w:cs="Arial" w:eastAsia="Arial" w:hAnsi="Arial"/>
                <w:sz w:val="18"/>
                <w:szCs w:val="18"/>
                <w:color w:val="auto"/>
                <w:w w:val="97"/>
              </w:rPr>
              <w:t>Amortization expense for the nine months ended September 30, 2018 and 2019 was zero and $</w:t>
            </w:r>
          </w:p>
        </w:tc>
        <w:tc>
          <w:tcPr>
            <w:tcW w:w="2220" w:type="dxa"/>
            <w:vAlign w:val="bottom"/>
            <w:gridSpan w:val="5"/>
          </w:tcPr>
          <w:p>
            <w:pPr>
              <w:jc w:val="right"/>
              <w:ind w:right="272"/>
              <w:spacing w:after="0"/>
              <w:rPr>
                <w:sz w:val="20"/>
                <w:szCs w:val="20"/>
                <w:color w:val="auto"/>
              </w:rPr>
            </w:pPr>
            <w:r>
              <w:rPr>
                <w:rFonts w:ascii="Arial" w:cs="Arial" w:eastAsia="Arial" w:hAnsi="Arial"/>
                <w:sz w:val="18"/>
                <w:szCs w:val="18"/>
                <w:color w:val="auto"/>
                <w:w w:val="96"/>
              </w:rPr>
              <w:t>0.8 million, respectively.</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F-50</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September 30, 2019, future amortization expense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r>
      <w:tr>
        <w:trPr>
          <w:trHeight w:val="196"/>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5"/>
          </w:tcPr>
          <w:p>
            <w:pPr>
              <w:ind w:left="60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Remainder of 2019</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7"/>
                <w:szCs w:val="17"/>
                <w:color w:val="auto"/>
              </w:rPr>
            </w:pPr>
          </w:p>
        </w:tc>
      </w:tr>
      <w:tr>
        <w:trPr>
          <w:trHeight w:val="203"/>
        </w:trPr>
        <w:tc>
          <w:tcPr>
            <w:tcW w:w="5780" w:type="dxa"/>
            <w:vAlign w:val="bottom"/>
            <w:gridSpan w:val="2"/>
          </w:tcPr>
          <w:p>
            <w:pPr>
              <w:jc w:val="right"/>
              <w:ind w:right="5292"/>
              <w:spacing w:after="0" w:line="202" w:lineRule="exact"/>
              <w:rPr>
                <w:sz w:val="20"/>
                <w:szCs w:val="20"/>
                <w:color w:val="auto"/>
              </w:rPr>
            </w:pPr>
            <w:r>
              <w:rPr>
                <w:rFonts w:ascii="Arial" w:cs="Arial" w:eastAsia="Arial" w:hAnsi="Arial"/>
                <w:sz w:val="18"/>
                <w:szCs w:val="18"/>
                <w:color w:val="auto"/>
                <w:w w:val="94"/>
              </w:rPr>
              <w:t>2020</w:t>
            </w: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jc w:val="right"/>
              <w:ind w:right="5292"/>
              <w:spacing w:after="0" w:line="202" w:lineRule="exact"/>
              <w:rPr>
                <w:sz w:val="20"/>
                <w:szCs w:val="20"/>
                <w:color w:val="auto"/>
              </w:rPr>
            </w:pPr>
            <w:r>
              <w:rPr>
                <w:rFonts w:ascii="Arial" w:cs="Arial" w:eastAsia="Arial" w:hAnsi="Arial"/>
                <w:sz w:val="18"/>
                <w:szCs w:val="18"/>
                <w:color w:val="auto"/>
                <w:w w:val="89"/>
              </w:rPr>
              <w:t>2021</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7"/>
                <w:szCs w:val="17"/>
                <w:color w:val="auto"/>
              </w:rPr>
            </w:pPr>
          </w:p>
        </w:tc>
      </w:tr>
      <w:tr>
        <w:trPr>
          <w:trHeight w:val="203"/>
        </w:trPr>
        <w:tc>
          <w:tcPr>
            <w:tcW w:w="5780" w:type="dxa"/>
            <w:vAlign w:val="bottom"/>
            <w:gridSpan w:val="2"/>
          </w:tcPr>
          <w:p>
            <w:pPr>
              <w:jc w:val="right"/>
              <w:ind w:right="5292"/>
              <w:spacing w:after="0" w:line="202" w:lineRule="exact"/>
              <w:rPr>
                <w:sz w:val="20"/>
                <w:szCs w:val="20"/>
                <w:color w:val="auto"/>
              </w:rPr>
            </w:pPr>
            <w:r>
              <w:rPr>
                <w:rFonts w:ascii="Arial" w:cs="Arial" w:eastAsia="Arial" w:hAnsi="Arial"/>
                <w:sz w:val="18"/>
                <w:szCs w:val="18"/>
                <w:color w:val="auto"/>
                <w:w w:val="94"/>
              </w:rPr>
              <w:t>2022</w:t>
            </w: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jc w:val="right"/>
              <w:ind w:right="5292"/>
              <w:spacing w:after="0" w:line="202" w:lineRule="exact"/>
              <w:rPr>
                <w:sz w:val="20"/>
                <w:szCs w:val="20"/>
                <w:color w:val="auto"/>
              </w:rPr>
            </w:pPr>
            <w:r>
              <w:rPr>
                <w:rFonts w:ascii="Arial" w:cs="Arial" w:eastAsia="Arial" w:hAnsi="Arial"/>
                <w:sz w:val="18"/>
                <w:szCs w:val="18"/>
                <w:color w:val="auto"/>
                <w:w w:val="89"/>
              </w:rPr>
              <w:t>2023</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7"/>
                <w:szCs w:val="17"/>
                <w:color w:val="auto"/>
              </w:rPr>
            </w:pPr>
          </w:p>
        </w:tc>
      </w:tr>
      <w:tr>
        <w:trPr>
          <w:trHeight w:val="203"/>
        </w:trPr>
        <w:tc>
          <w:tcPr>
            <w:tcW w:w="5780" w:type="dxa"/>
            <w:vAlign w:val="bottom"/>
            <w:gridSpan w:val="2"/>
          </w:tcPr>
          <w:p>
            <w:pPr>
              <w:jc w:val="right"/>
              <w:ind w:right="5292"/>
              <w:spacing w:after="0" w:line="202" w:lineRule="exact"/>
              <w:rPr>
                <w:sz w:val="20"/>
                <w:szCs w:val="20"/>
                <w:color w:val="auto"/>
              </w:rPr>
            </w:pPr>
            <w:r>
              <w:rPr>
                <w:rFonts w:ascii="Arial" w:cs="Arial" w:eastAsia="Arial" w:hAnsi="Arial"/>
                <w:sz w:val="18"/>
                <w:szCs w:val="18"/>
                <w:color w:val="auto"/>
                <w:w w:val="94"/>
              </w:rPr>
              <w:t>2024</w:t>
            </w: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jc w:val="right"/>
              <w:ind w:right="5292"/>
              <w:spacing w:after="0" w:line="202" w:lineRule="exact"/>
              <w:rPr>
                <w:sz w:val="20"/>
                <w:szCs w:val="20"/>
                <w:color w:val="auto"/>
              </w:rPr>
            </w:pPr>
            <w:r>
              <w:rPr>
                <w:rFonts w:ascii="Arial" w:cs="Arial" w:eastAsia="Arial" w:hAnsi="Arial"/>
                <w:sz w:val="18"/>
                <w:szCs w:val="18"/>
                <w:color w:val="auto"/>
                <w:w w:val="89"/>
              </w:rPr>
              <w:t>2025</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868</w:t>
            </w:r>
          </w:p>
        </w:tc>
        <w:tc>
          <w:tcPr>
            <w:tcW w:w="60" w:type="dxa"/>
            <w:vAlign w:val="bottom"/>
            <w:shd w:val="clear" w:color="auto" w:fill="CCEEFF"/>
          </w:tcPr>
          <w:p>
            <w:pPr>
              <w:spacing w:after="0"/>
              <w:rPr>
                <w:sz w:val="17"/>
                <w:szCs w:val="17"/>
                <w:color w:val="auto"/>
              </w:rPr>
            </w:pPr>
          </w:p>
        </w:tc>
      </w:tr>
      <w:tr>
        <w:trPr>
          <w:trHeight w:val="222"/>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6,480</w:t>
            </w:r>
          </w:p>
        </w:tc>
        <w:tc>
          <w:tcPr>
            <w:tcW w:w="60" w:type="dxa"/>
            <w:vAlign w:val="bottom"/>
          </w:tcPr>
          <w:p>
            <w:pPr>
              <w:spacing w:after="0"/>
              <w:rPr>
                <w:sz w:val="19"/>
                <w:szCs w:val="19"/>
                <w:color w:val="auto"/>
              </w:rPr>
            </w:pPr>
          </w:p>
        </w:tc>
      </w:tr>
      <w:tr>
        <w:trPr>
          <w:trHeight w:val="425"/>
        </w:trPr>
        <w:tc>
          <w:tcPr>
            <w:tcW w:w="5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5780" w:type="dxa"/>
            <w:vAlign w:val="bottom"/>
            <w:gridSpan w:val="2"/>
          </w:tcPr>
          <w:p>
            <w:pPr>
              <w:spacing w:after="0"/>
              <w:rPr>
                <w:sz w:val="20"/>
                <w:szCs w:val="20"/>
                <w:color w:val="auto"/>
              </w:rPr>
            </w:pPr>
            <w:r>
              <w:rPr>
                <w:rFonts w:ascii="Arial" w:cs="Arial" w:eastAsia="Arial" w:hAnsi="Arial"/>
                <w:sz w:val="18"/>
                <w:szCs w:val="18"/>
                <w:color w:val="auto"/>
              </w:rPr>
              <w:t>Goodwill consists of the following:</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57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1760" w:type="dxa"/>
            <w:vAlign w:val="bottom"/>
            <w:tcBorders>
              <w:bottom w:val="single" w:sz="8" w:color="auto"/>
            </w:tcBorders>
            <w:gridSpan w:val="3"/>
          </w:tcPr>
          <w:p>
            <w:pPr>
              <w:spacing w:after="0"/>
              <w:rPr>
                <w:sz w:val="10"/>
                <w:szCs w:val="10"/>
                <w:color w:val="auto"/>
              </w:rPr>
            </w:pPr>
          </w:p>
        </w:tc>
        <w:tc>
          <w:tcPr>
            <w:tcW w:w="120" w:type="dxa"/>
            <w:vAlign w:val="bottom"/>
            <w:tcBorders>
              <w:bottom w:val="single" w:sz="8" w:color="auto"/>
            </w:tcBorders>
            <w:gridSpan w:val="2"/>
          </w:tcPr>
          <w:p>
            <w:pPr>
              <w:spacing w:after="0"/>
              <w:rPr>
                <w:sz w:val="10"/>
                <w:szCs w:val="10"/>
                <w:color w:val="auto"/>
              </w:rPr>
            </w:pPr>
          </w:p>
        </w:tc>
      </w:tr>
      <w:tr>
        <w:trPr>
          <w:trHeight w:val="224"/>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60" w:type="dxa"/>
            <w:vAlign w:val="bottom"/>
            <w:gridSpan w:val="3"/>
          </w:tcPr>
          <w:p>
            <w:pPr>
              <w:jc w:val="center"/>
              <w:ind w:right="532"/>
              <w:spacing w:after="0"/>
              <w:rPr>
                <w:sz w:val="20"/>
                <w:szCs w:val="20"/>
                <w:color w:val="auto"/>
              </w:rPr>
            </w:pPr>
            <w:r>
              <w:rPr>
                <w:rFonts w:ascii="Arial" w:cs="Arial" w:eastAsia="Arial" w:hAnsi="Arial"/>
                <w:sz w:val="18"/>
                <w:szCs w:val="18"/>
                <w:b w:val="1"/>
                <w:bCs w:val="1"/>
                <w:color w:val="auto"/>
                <w:w w:val="96"/>
              </w:rPr>
              <w:t>Year ended</w:t>
            </w:r>
          </w:p>
        </w:tc>
        <w:tc>
          <w:tcPr>
            <w:tcW w:w="188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r>
      <w:tr>
        <w:trPr>
          <w:trHeight w:val="203"/>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3380" w:type="dxa"/>
            <w:vAlign w:val="bottom"/>
            <w:gridSpan w:val="4"/>
          </w:tcPr>
          <w:p>
            <w:pPr>
              <w:jc w:val="center"/>
              <w:ind w:left="912"/>
              <w:spacing w:after="0" w:line="202" w:lineRule="exact"/>
              <w:rPr>
                <w:sz w:val="20"/>
                <w:szCs w:val="20"/>
                <w:color w:val="auto"/>
              </w:rPr>
            </w:pPr>
            <w:r>
              <w:rPr>
                <w:rFonts w:ascii="Arial" w:cs="Arial" w:eastAsia="Arial" w:hAnsi="Arial"/>
                <w:sz w:val="18"/>
                <w:szCs w:val="18"/>
                <w:b w:val="1"/>
                <w:bCs w:val="1"/>
                <w:color w:val="auto"/>
                <w:w w:val="97"/>
              </w:rPr>
              <w:t>December 31,</w:t>
            </w:r>
          </w:p>
        </w:tc>
        <w:tc>
          <w:tcPr>
            <w:tcW w:w="1880" w:type="dxa"/>
            <w:vAlign w:val="bottom"/>
            <w:gridSpan w:val="5"/>
          </w:tcPr>
          <w:p>
            <w:pPr>
              <w:ind w:left="40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1"/>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center"/>
              <w:ind w:left="912"/>
              <w:spacing w:after="0"/>
              <w:rPr>
                <w:sz w:val="20"/>
                <w:szCs w:val="20"/>
                <w:color w:val="auto"/>
              </w:rPr>
            </w:pPr>
            <w:r>
              <w:rPr>
                <w:rFonts w:ascii="Arial" w:cs="Arial" w:eastAsia="Arial" w:hAnsi="Arial"/>
                <w:sz w:val="18"/>
                <w:szCs w:val="18"/>
                <w:b w:val="1"/>
                <w:bCs w:val="1"/>
                <w:color w:val="auto"/>
                <w:w w:val="94"/>
              </w:rPr>
              <w:t>2018</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ind w:left="640"/>
              <w:spacing w:after="0" w:line="196" w:lineRule="exact"/>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32"/>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shd w:val="clear" w:color="auto" w:fill="CCEEFF"/>
          </w:tcPr>
          <w:p>
            <w:pPr>
              <w:spacing w:after="0"/>
              <w:rPr>
                <w:sz w:val="17"/>
                <w:szCs w:val="17"/>
                <w:color w:val="auto"/>
              </w:rPr>
            </w:pPr>
          </w:p>
        </w:tc>
      </w:tr>
      <w:tr>
        <w:trPr>
          <w:trHeight w:val="210"/>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Goodwill acquired (Note 8)</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532"/>
              <w:spacing w:after="0" w:line="202" w:lineRule="exact"/>
              <w:rPr>
                <w:sz w:val="20"/>
                <w:szCs w:val="20"/>
                <w:color w:val="auto"/>
              </w:rPr>
            </w:pPr>
            <w:r>
              <w:rPr>
                <w:rFonts w:ascii="Arial" w:cs="Arial" w:eastAsia="Arial" w:hAnsi="Arial"/>
                <w:sz w:val="18"/>
                <w:szCs w:val="18"/>
                <w:color w:val="auto"/>
              </w:rPr>
              <w:t>14,608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6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532"/>
              <w:spacing w:after="0" w:line="202" w:lineRule="exact"/>
              <w:rPr>
                <w:sz w:val="20"/>
                <w:szCs w:val="20"/>
                <w:color w:val="auto"/>
              </w:rPr>
            </w:pPr>
            <w:r>
              <w:rPr>
                <w:rFonts w:ascii="Arial" w:cs="Arial" w:eastAsia="Arial" w:hAnsi="Arial"/>
                <w:sz w:val="18"/>
                <w:szCs w:val="18"/>
                <w:color w:val="auto"/>
              </w:rPr>
              <w:t>14,608</w:t>
            </w:r>
          </w:p>
        </w:tc>
        <w:tc>
          <w:tcPr>
            <w:tcW w:w="600" w:type="dxa"/>
            <w:vAlign w:val="bottom"/>
            <w:tcBorders>
              <w:top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7"/>
        </w:trPr>
        <w:tc>
          <w:tcPr>
            <w:tcW w:w="5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5780" w:type="dxa"/>
            <w:vAlign w:val="bottom"/>
            <w:gridSpan w:val="2"/>
          </w:tcPr>
          <w:p>
            <w:pPr>
              <w:spacing w:after="0"/>
              <w:rPr>
                <w:sz w:val="20"/>
                <w:szCs w:val="20"/>
                <w:color w:val="auto"/>
              </w:rPr>
            </w:pPr>
            <w:r>
              <w:rPr>
                <w:rFonts w:ascii="Arial" w:cs="Arial" w:eastAsia="Arial" w:hAnsi="Arial"/>
                <w:sz w:val="18"/>
                <w:szCs w:val="18"/>
                <w:color w:val="auto"/>
              </w:rPr>
              <w:t>Property and equipment, net consists of the following:</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57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3"/>
          </w:tcPr>
          <w:p>
            <w:pPr>
              <w:spacing w:after="0"/>
              <w:rPr>
                <w:sz w:val="10"/>
                <w:szCs w:val="10"/>
                <w:color w:val="auto"/>
              </w:rPr>
            </w:pPr>
          </w:p>
        </w:tc>
        <w:tc>
          <w:tcPr>
            <w:tcW w:w="1880" w:type="dxa"/>
            <w:vAlign w:val="bottom"/>
            <w:tcBorders>
              <w:bottom w:val="single" w:sz="8" w:color="auto"/>
            </w:tcBorders>
            <w:gridSpan w:val="5"/>
          </w:tcPr>
          <w:p>
            <w:pPr>
              <w:spacing w:after="0"/>
              <w:rPr>
                <w:sz w:val="10"/>
                <w:szCs w:val="10"/>
                <w:color w:val="auto"/>
              </w:rPr>
            </w:pPr>
          </w:p>
        </w:tc>
      </w:tr>
      <w:tr>
        <w:trPr>
          <w:trHeight w:val="224"/>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60" w:type="dxa"/>
            <w:vAlign w:val="bottom"/>
            <w:gridSpan w:val="3"/>
          </w:tcPr>
          <w:p>
            <w:pPr>
              <w:ind w:left="400"/>
              <w:spacing w:after="0"/>
              <w:rPr>
                <w:sz w:val="20"/>
                <w:szCs w:val="20"/>
                <w:color w:val="auto"/>
              </w:rPr>
            </w:pPr>
            <w:r>
              <w:rPr>
                <w:rFonts w:ascii="Arial" w:cs="Arial" w:eastAsia="Arial" w:hAnsi="Arial"/>
                <w:sz w:val="18"/>
                <w:szCs w:val="18"/>
                <w:b w:val="1"/>
                <w:bCs w:val="1"/>
                <w:color w:val="auto"/>
              </w:rPr>
              <w:t>December 31,</w:t>
            </w:r>
          </w:p>
        </w:tc>
        <w:tc>
          <w:tcPr>
            <w:tcW w:w="1880" w:type="dxa"/>
            <w:vAlign w:val="bottom"/>
            <w:gridSpan w:val="5"/>
          </w:tcPr>
          <w:p>
            <w:pPr>
              <w:ind w:left="560"/>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gridSpan w:val="6"/>
          </w:tcPr>
          <w:p>
            <w:pPr>
              <w:ind w:left="82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Laboratory equipment</w:t>
            </w:r>
          </w:p>
        </w:tc>
        <w:tc>
          <w:tcPr>
            <w:tcW w:w="2160" w:type="dxa"/>
            <w:vAlign w:val="bottom"/>
            <w:gridSpan w:val="3"/>
            <w:shd w:val="clear" w:color="auto" w:fill="CCEEFF"/>
          </w:tcPr>
          <w:p>
            <w:pPr>
              <w:ind w:left="20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6,181</w:t>
            </w:r>
          </w:p>
        </w:tc>
        <w:tc>
          <w:tcPr>
            <w:tcW w:w="74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3,304</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3,330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978</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Furniture and fixtures</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32</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10,495</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(3,623)</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(5,227)</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160" w:type="dxa"/>
            <w:vAlign w:val="bottom"/>
            <w:gridSpan w:val="3"/>
            <w:shd w:val="clear" w:color="auto" w:fill="CCEEFF"/>
          </w:tcPr>
          <w:p>
            <w:pPr>
              <w:ind w:left="20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6,872</w:t>
            </w:r>
          </w:p>
        </w:tc>
        <w:tc>
          <w:tcPr>
            <w:tcW w:w="74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Depreciation and amortization expense for property and equipment amounted to $1.1 million and $1.7 million for the nine months ended September 30, 2018 and 2019, respectively.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240" w:top="460" w:right="41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3480" w:type="dxa"/>
            <w:vAlign w:val="bottom"/>
            <w:gridSpan w:val="3"/>
          </w:tcPr>
          <w:p>
            <w:pPr>
              <w:ind w:left="1980"/>
              <w:spacing w:after="0"/>
              <w:rPr>
                <w:sz w:val="20"/>
                <w:szCs w:val="20"/>
                <w:color w:val="auto"/>
              </w:rPr>
            </w:pPr>
            <w:r>
              <w:rPr>
                <w:rFonts w:ascii="Arial" w:cs="Arial" w:eastAsia="Arial" w:hAnsi="Arial"/>
                <w:sz w:val="18"/>
                <w:szCs w:val="18"/>
                <w:b w:val="1"/>
                <w:bCs w:val="1"/>
                <w:color w:val="auto"/>
              </w:rPr>
              <w:t>December 31,</w:t>
            </w:r>
          </w:p>
        </w:tc>
        <w:tc>
          <w:tcPr>
            <w:tcW w:w="1640" w:type="dxa"/>
            <w:vAlign w:val="bottom"/>
            <w:gridSpan w:val="3"/>
          </w:tcPr>
          <w:p>
            <w:pPr>
              <w:ind w:left="360"/>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2018</w:t>
            </w: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2200" w:type="dxa"/>
            <w:vAlign w:val="bottom"/>
            <w:gridSpan w:val="2"/>
            <w:shd w:val="clear" w:color="auto" w:fill="CCEEFF"/>
          </w:tcPr>
          <w:p>
            <w:pPr>
              <w:ind w:left="19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4,861</w:t>
            </w:r>
          </w:p>
        </w:tc>
        <w:tc>
          <w:tcPr>
            <w:tcW w:w="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2,967</w:t>
            </w:r>
          </w:p>
        </w:tc>
        <w:tc>
          <w:tcPr>
            <w:tcW w:w="60" w:type="dxa"/>
            <w:vAlign w:val="bottom"/>
            <w:shd w:val="clear" w:color="auto" w:fill="CCEEFF"/>
          </w:tcPr>
          <w:p>
            <w:pPr>
              <w:spacing w:after="0"/>
              <w:rPr>
                <w:sz w:val="17"/>
                <w:szCs w:val="17"/>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Accrued research and development</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2,016</w:t>
            </w:r>
          </w:p>
        </w:tc>
        <w:tc>
          <w:tcPr>
            <w:tcW w:w="7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7,247</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current</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552</w:t>
            </w: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w:t>
            </w:r>
          </w:p>
        </w:tc>
        <w:tc>
          <w:tcPr>
            <w:tcW w:w="60" w:type="dxa"/>
            <w:vAlign w:val="bottom"/>
            <w:shd w:val="clear" w:color="auto" w:fill="CCEEFF"/>
          </w:tcPr>
          <w:p>
            <w:pPr>
              <w:spacing w:after="0"/>
              <w:rPr>
                <w:sz w:val="17"/>
                <w:szCs w:val="17"/>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264</w:t>
            </w:r>
          </w:p>
        </w:tc>
        <w:tc>
          <w:tcPr>
            <w:tcW w:w="7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1,353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 current</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147</w:t>
            </w: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7"/>
                <w:szCs w:val="17"/>
                <w:color w:val="auto"/>
              </w:rPr>
            </w:pPr>
          </w:p>
        </w:tc>
      </w:tr>
      <w:tr>
        <w:trPr>
          <w:trHeight w:val="210"/>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rPr>
              <w:t>646</w:t>
            </w:r>
          </w:p>
        </w:tc>
        <w:tc>
          <w:tcPr>
            <w:tcW w:w="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accrued expenses and other current liabilities</w:t>
            </w:r>
          </w:p>
        </w:tc>
        <w:tc>
          <w:tcPr>
            <w:tcW w:w="2200" w:type="dxa"/>
            <w:vAlign w:val="bottom"/>
            <w:gridSpan w:val="2"/>
            <w:shd w:val="clear" w:color="auto" w:fill="CCEEFF"/>
          </w:tcPr>
          <w:p>
            <w:pPr>
              <w:ind w:left="19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8,486</w:t>
            </w:r>
          </w:p>
        </w:tc>
        <w:tc>
          <w:tcPr>
            <w:tcW w:w="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13,118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6. Commitments and contingencies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2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In January 2015, as amended in September 2016, the Company entered into a facility lease for office and laboratory space located in Redwood City, California (Redwood City Lease) which expires in April 2023. The landlord provided the Company with a tenant improvement allowance of $3.4 million. The Company has assessed the tenant improvement allowance to be a lease incentive and has capitalized the full amount to property and equipment and recognized a corresponding lease financing obligation included in deferred rent on the condensed consolidated balance sheets. The lease financing obligation is amortized as an offset to rent expense over the lease term in the condensed consolidated statements of operations and comprehensive loss.</w:t>
      </w:r>
    </w:p>
    <w:p>
      <w:pPr>
        <w:spacing w:after="0" w:line="102"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In conjunction with the lease agreement, the Company paid a security deposit of $0.3 million which is included in other noncurrent assets on the condensed consolidated balance sheets as of December 31, 2018 and September 30, 2019.</w:t>
      </w:r>
    </w:p>
    <w:p>
      <w:pPr>
        <w:spacing w:after="0" w:line="101" w:lineRule="exact"/>
        <w:rPr>
          <w:sz w:val="20"/>
          <w:szCs w:val="20"/>
          <w:color w:val="auto"/>
        </w:rPr>
      </w:pPr>
    </w:p>
    <w:p>
      <w:pPr>
        <w:ind w:left="200" w:right="340"/>
        <w:spacing w:after="0" w:line="238" w:lineRule="auto"/>
        <w:rPr>
          <w:sz w:val="20"/>
          <w:szCs w:val="20"/>
          <w:color w:val="auto"/>
        </w:rPr>
      </w:pPr>
      <w:r>
        <w:rPr>
          <w:rFonts w:ascii="Arial" w:cs="Arial" w:eastAsia="Arial" w:hAnsi="Arial"/>
          <w:sz w:val="18"/>
          <w:szCs w:val="18"/>
          <w:color w:val="auto"/>
        </w:rPr>
        <w:t>In July 2015, as amended in March 2016 and September 2016, the Company subleased a portion of the Redwood City Lease to Pliant Therapeutics, Inc., a related party, which expired in June 2018. Sublease income of $0.5 million for the nine months ended September 30, 2018 was recorded as an offset to rent expense in the condensed consolidated statements of operations and comprehensive loss.</w:t>
      </w:r>
    </w:p>
    <w:p>
      <w:pPr>
        <w:spacing w:after="0" w:line="100"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 part of the Warp Drive acquisition in October 2018, the Company assumed a facility lease for office and laboratory space located in Cambridge, Massachusetts (Cambridge Lease) which expires in February 2023. In March 2019, the Company fully subleased the Cambridge Lease to Casma Therapeutics, Inc. (Casma), a related party, on financial terms substantially the same as the original lease. The sublease term with Casma is through the remainder of the Cambridge Lease term. The sublease by Casma and related sublease payments by Casma to the Company are fully guaranteed by Third Rock Ventures, LLC, a related party. Sublease income of $0.9 million for the nine months ended September 30, 2019 was recorded as an offset to rent expense in the condensed consolidated statements of operations and comprehensive loss. In conjunction with the Cambridge Lease, the Company issued a letter of credit for $0.2 million, which is included in restricted cash on the condensed consolidated balance sheet as of December 31, 2018 and September 30, 2019.</w:t>
      </w:r>
    </w:p>
    <w:p>
      <w:pPr>
        <w:spacing w:after="0" w:line="100" w:lineRule="exact"/>
        <w:rPr>
          <w:sz w:val="20"/>
          <w:szCs w:val="20"/>
          <w:color w:val="auto"/>
        </w:rPr>
      </w:pPr>
    </w:p>
    <w:p>
      <w:pPr>
        <w:ind w:left="200" w:right="560"/>
        <w:spacing w:after="0" w:line="237" w:lineRule="auto"/>
        <w:rPr>
          <w:sz w:val="20"/>
          <w:szCs w:val="20"/>
          <w:color w:val="auto"/>
        </w:rPr>
      </w:pPr>
      <w:r>
        <w:rPr>
          <w:rFonts w:ascii="Arial" w:cs="Arial" w:eastAsia="Arial" w:hAnsi="Arial"/>
          <w:sz w:val="18"/>
          <w:szCs w:val="18"/>
          <w:color w:val="auto"/>
        </w:rPr>
        <w:t>Rent expense for the nine months ended September 30, 2018 and 2019 was $0.7 million and $1.6 million, respectively, net of sublease income and tenant improvement allowance credits. The terms of the facility leases provide for rental payments on a graduated scale; however, rent expense is recognized on a straight-line basis over the lease term. As of December 31, 2018 and September 30, 2019, $2.8 million and $2.5 million was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59" w:right="4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included as deferred rent, respectively, which includes the deferred tenant improvement allowance and straight-line rent. The current portion of deferred rent is included in accrued expenses and other current liabilities and the noncurrent portion of deferred rent is included in deferred rent, noncurrent on the condensed consolidated balance sheets.</w:t>
      </w:r>
    </w:p>
    <w:p>
      <w:pPr>
        <w:spacing w:after="0" w:line="100"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As of September 30, 2019, future minimum payments and receipts under the Company’s operating and capital leases and sublease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b w:val="1"/>
                <w:bCs w:val="1"/>
                <w:color w:val="auto"/>
              </w:rPr>
              <w:t>Gross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Net</w:t>
            </w: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432"/>
              <w:spacing w:after="0" w:line="202" w:lineRule="exact"/>
              <w:rPr>
                <w:sz w:val="20"/>
                <w:szCs w:val="20"/>
                <w:color w:val="auto"/>
              </w:rPr>
            </w:pPr>
            <w:r>
              <w:rPr>
                <w:rFonts w:ascii="Arial" w:cs="Arial" w:eastAsia="Arial" w:hAnsi="Arial"/>
                <w:sz w:val="18"/>
                <w:szCs w:val="18"/>
                <w:b w:val="1"/>
                <w:bCs w:val="1"/>
                <w:color w:val="auto"/>
              </w:rPr>
              <w:t>lease</w:t>
            </w:r>
          </w:p>
        </w:tc>
        <w:tc>
          <w:tcPr>
            <w:tcW w:w="1540" w:type="dxa"/>
            <w:vAlign w:val="bottom"/>
            <w:gridSpan w:val="2"/>
          </w:tcPr>
          <w:p>
            <w:pPr>
              <w:ind w:left="360"/>
              <w:spacing w:after="0" w:line="202" w:lineRule="exact"/>
              <w:rPr>
                <w:sz w:val="20"/>
                <w:szCs w:val="20"/>
                <w:color w:val="auto"/>
              </w:rPr>
            </w:pPr>
            <w:r>
              <w:rPr>
                <w:rFonts w:ascii="Arial" w:cs="Arial" w:eastAsia="Arial" w:hAnsi="Arial"/>
                <w:sz w:val="18"/>
                <w:szCs w:val="18"/>
                <w:b w:val="1"/>
                <w:bCs w:val="1"/>
                <w:color w:val="auto"/>
              </w:rPr>
              <w:t>Sublease</w:t>
            </w:r>
          </w:p>
        </w:tc>
        <w:tc>
          <w:tcPr>
            <w:tcW w:w="380" w:type="dxa"/>
            <w:vAlign w:val="bottom"/>
          </w:tcPr>
          <w:p>
            <w:pPr>
              <w:spacing w:after="0"/>
              <w:rPr>
                <w:sz w:val="17"/>
                <w:szCs w:val="17"/>
                <w:color w:val="auto"/>
              </w:rPr>
            </w:pPr>
          </w:p>
        </w:tc>
        <w:tc>
          <w:tcPr>
            <w:tcW w:w="10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7"/>
              </w:rPr>
              <w:t>lease</w:t>
            </w:r>
          </w:p>
        </w:tc>
      </w:tr>
      <w:tr>
        <w:trPr>
          <w:trHeight w:val="235"/>
        </w:trPr>
        <w:tc>
          <w:tcPr>
            <w:tcW w:w="20" w:type="dxa"/>
            <w:vAlign w:val="bottom"/>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ind w:left="1960"/>
              <w:spacing w:after="0"/>
              <w:rPr>
                <w:sz w:val="20"/>
                <w:szCs w:val="20"/>
                <w:color w:val="auto"/>
              </w:rPr>
            </w:pPr>
            <w:r>
              <w:rPr>
                <w:rFonts w:ascii="Arial" w:cs="Arial" w:eastAsia="Arial" w:hAnsi="Arial"/>
                <w:sz w:val="18"/>
                <w:szCs w:val="18"/>
                <w:b w:val="1"/>
                <w:bCs w:val="1"/>
                <w:color w:val="auto"/>
              </w:rPr>
              <w:t>commitments</w:t>
            </w:r>
          </w:p>
        </w:tc>
        <w:tc>
          <w:tcPr>
            <w:tcW w:w="154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8"/>
                <w:szCs w:val="18"/>
                <w:b w:val="1"/>
                <w:bCs w:val="1"/>
                <w:color w:val="auto"/>
              </w:rPr>
              <w:t>income</w:t>
            </w:r>
          </w:p>
        </w:tc>
        <w:tc>
          <w:tcPr>
            <w:tcW w:w="13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commitments</w:t>
            </w: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gridSpan w:val="2"/>
          </w:tcPr>
          <w:p>
            <w:pPr>
              <w:jc w:val="right"/>
              <w:ind w:right="72"/>
              <w:spacing w:after="0" w:line="196" w:lineRule="exact"/>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jc w:val="right"/>
              <w:ind w:right="3272"/>
              <w:spacing w:after="0" w:line="202" w:lineRule="exact"/>
              <w:rPr>
                <w:sz w:val="20"/>
                <w:szCs w:val="20"/>
                <w:color w:val="auto"/>
              </w:rPr>
            </w:pPr>
            <w:r>
              <w:rPr>
                <w:rFonts w:ascii="Arial" w:cs="Arial" w:eastAsia="Arial" w:hAnsi="Arial"/>
                <w:sz w:val="18"/>
                <w:szCs w:val="18"/>
                <w:color w:val="auto"/>
                <w:w w:val="95"/>
              </w:rPr>
              <w:t>Remainder of 2019</w:t>
            </w:r>
          </w:p>
        </w:tc>
        <w:tc>
          <w:tcPr>
            <w:tcW w:w="2160" w:type="dxa"/>
            <w:vAlign w:val="bottom"/>
            <w:gridSpan w:val="2"/>
            <w:shd w:val="clear" w:color="auto" w:fill="CCEEFF"/>
          </w:tcPr>
          <w:p>
            <w:pPr>
              <w:ind w:left="19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1,248</w:t>
            </w:r>
          </w:p>
        </w:tc>
        <w:tc>
          <w:tcPr>
            <w:tcW w:w="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(415)</w:t>
            </w:r>
          </w:p>
        </w:tc>
        <w:tc>
          <w:tcPr>
            <w:tcW w:w="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w:t>
            </w:r>
          </w:p>
        </w:tc>
        <w:tc>
          <w:tcPr>
            <w:tcW w:w="60" w:type="dxa"/>
            <w:vAlign w:val="bottom"/>
            <w:shd w:val="clear" w:color="auto" w:fill="CCEEFF"/>
          </w:tcPr>
          <w:p>
            <w:pPr>
              <w:spacing w:after="0"/>
              <w:rPr>
                <w:sz w:val="17"/>
                <w:szCs w:val="17"/>
                <w:color w:val="auto"/>
              </w:rPr>
            </w:pPr>
          </w:p>
        </w:tc>
      </w:tr>
      <w:tr>
        <w:trPr>
          <w:trHeight w:val="203"/>
        </w:trPr>
        <w:tc>
          <w:tcPr>
            <w:tcW w:w="4860" w:type="dxa"/>
            <w:vAlign w:val="bottom"/>
            <w:gridSpan w:val="2"/>
          </w:tcPr>
          <w:p>
            <w:pPr>
              <w:jc w:val="right"/>
              <w:ind w:right="4372"/>
              <w:spacing w:after="0" w:line="202" w:lineRule="exact"/>
              <w:rPr>
                <w:sz w:val="20"/>
                <w:szCs w:val="20"/>
                <w:color w:val="auto"/>
              </w:rPr>
            </w:pPr>
            <w:r>
              <w:rPr>
                <w:rFonts w:ascii="Arial" w:cs="Arial" w:eastAsia="Arial" w:hAnsi="Arial"/>
                <w:sz w:val="18"/>
                <w:szCs w:val="18"/>
                <w:color w:val="auto"/>
                <w:w w:val="94"/>
              </w:rPr>
              <w:t>2020</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3,885</w:t>
            </w:r>
          </w:p>
        </w:tc>
        <w:tc>
          <w:tcPr>
            <w:tcW w:w="540" w:type="dxa"/>
            <w:vAlign w:val="bottom"/>
          </w:tcPr>
          <w:p>
            <w:pPr>
              <w:spacing w:after="0"/>
              <w:rPr>
                <w:sz w:val="17"/>
                <w:szCs w:val="17"/>
                <w:color w:val="auto"/>
              </w:rPr>
            </w:pPr>
          </w:p>
        </w:tc>
        <w:tc>
          <w:tcPr>
            <w:tcW w:w="10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(1,701)</w:t>
            </w: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2,184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jc w:val="right"/>
              <w:ind w:right="4372"/>
              <w:spacing w:after="0" w:line="202" w:lineRule="exact"/>
              <w:rPr>
                <w:sz w:val="20"/>
                <w:szCs w:val="20"/>
                <w:color w:val="auto"/>
              </w:rPr>
            </w:pPr>
            <w:r>
              <w:rPr>
                <w:rFonts w:ascii="Arial" w:cs="Arial" w:eastAsia="Arial" w:hAnsi="Arial"/>
                <w:sz w:val="18"/>
                <w:szCs w:val="18"/>
                <w:color w:val="auto"/>
                <w:w w:val="89"/>
              </w:rPr>
              <w:t>2021</w:t>
            </w: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3,786</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(1,752)</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2,034</w:t>
            </w:r>
          </w:p>
        </w:tc>
        <w:tc>
          <w:tcPr>
            <w:tcW w:w="60" w:type="dxa"/>
            <w:vAlign w:val="bottom"/>
            <w:shd w:val="clear" w:color="auto" w:fill="CCEEFF"/>
          </w:tcPr>
          <w:p>
            <w:pPr>
              <w:spacing w:after="0"/>
              <w:rPr>
                <w:sz w:val="17"/>
                <w:szCs w:val="17"/>
                <w:color w:val="auto"/>
              </w:rPr>
            </w:pPr>
          </w:p>
        </w:tc>
      </w:tr>
      <w:tr>
        <w:trPr>
          <w:trHeight w:val="203"/>
        </w:trPr>
        <w:tc>
          <w:tcPr>
            <w:tcW w:w="4860" w:type="dxa"/>
            <w:vAlign w:val="bottom"/>
            <w:gridSpan w:val="2"/>
          </w:tcPr>
          <w:p>
            <w:pPr>
              <w:jc w:val="right"/>
              <w:ind w:right="4372"/>
              <w:spacing w:after="0" w:line="202" w:lineRule="exact"/>
              <w:rPr>
                <w:sz w:val="20"/>
                <w:szCs w:val="20"/>
                <w:color w:val="auto"/>
              </w:rPr>
            </w:pPr>
            <w:r>
              <w:rPr>
                <w:rFonts w:ascii="Arial" w:cs="Arial" w:eastAsia="Arial" w:hAnsi="Arial"/>
                <w:sz w:val="18"/>
                <w:szCs w:val="18"/>
                <w:color w:val="auto"/>
                <w:w w:val="94"/>
              </w:rPr>
              <w:t>2022</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3,886</w:t>
            </w:r>
          </w:p>
        </w:tc>
        <w:tc>
          <w:tcPr>
            <w:tcW w:w="540" w:type="dxa"/>
            <w:vAlign w:val="bottom"/>
          </w:tcPr>
          <w:p>
            <w:pPr>
              <w:spacing w:after="0"/>
              <w:rPr>
                <w:sz w:val="17"/>
                <w:szCs w:val="17"/>
                <w:color w:val="auto"/>
              </w:rPr>
            </w:pPr>
          </w:p>
        </w:tc>
        <w:tc>
          <w:tcPr>
            <w:tcW w:w="10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(1,804)</w:t>
            </w: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2,082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jc w:val="right"/>
              <w:ind w:right="4372"/>
              <w:spacing w:after="0" w:line="202" w:lineRule="exact"/>
              <w:rPr>
                <w:sz w:val="20"/>
                <w:szCs w:val="20"/>
                <w:color w:val="auto"/>
              </w:rPr>
            </w:pPr>
            <w:r>
              <w:rPr>
                <w:rFonts w:ascii="Arial" w:cs="Arial" w:eastAsia="Arial" w:hAnsi="Arial"/>
                <w:sz w:val="18"/>
                <w:szCs w:val="18"/>
                <w:color w:val="auto"/>
                <w:w w:val="89"/>
              </w:rPr>
              <w:t>2023</w:t>
            </w:r>
          </w:p>
        </w:tc>
        <w:tc>
          <w:tcPr>
            <w:tcW w:w="19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1,003</w:t>
            </w:r>
          </w:p>
        </w:tc>
        <w:tc>
          <w:tcPr>
            <w:tcW w:w="5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(302)</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701</w:t>
            </w:r>
          </w:p>
        </w:tc>
        <w:tc>
          <w:tcPr>
            <w:tcW w:w="60" w:type="dxa"/>
            <w:vAlign w:val="bottom"/>
            <w:shd w:val="clear" w:color="auto" w:fill="CCEEFF"/>
          </w:tcPr>
          <w:p>
            <w:pPr>
              <w:spacing w:after="0"/>
              <w:rPr>
                <w:sz w:val="17"/>
                <w:szCs w:val="17"/>
                <w:color w:val="auto"/>
              </w:rPr>
            </w:pPr>
          </w:p>
        </w:tc>
      </w:tr>
      <w:tr>
        <w:trPr>
          <w:trHeight w:val="222"/>
        </w:trPr>
        <w:tc>
          <w:tcPr>
            <w:tcW w:w="4860" w:type="dxa"/>
            <w:vAlign w:val="bottom"/>
            <w:tcBorders>
              <w:bottom w:val="single" w:sz="8" w:color="auto"/>
            </w:tcBorders>
            <w:gridSpan w:val="2"/>
          </w:tcPr>
          <w:p>
            <w:pPr>
              <w:jc w:val="right"/>
              <w:ind w:right="1852"/>
              <w:spacing w:after="0"/>
              <w:rPr>
                <w:sz w:val="20"/>
                <w:szCs w:val="20"/>
                <w:color w:val="auto"/>
              </w:rPr>
            </w:pPr>
            <w:r>
              <w:rPr>
                <w:rFonts w:ascii="Arial" w:cs="Arial" w:eastAsia="Arial" w:hAnsi="Arial"/>
                <w:sz w:val="18"/>
                <w:szCs w:val="18"/>
                <w:color w:val="auto"/>
                <w:w w:val="96"/>
              </w:rPr>
              <w:t>Total future minimum lease payments</w:t>
            </w:r>
          </w:p>
        </w:tc>
        <w:tc>
          <w:tcPr>
            <w:tcW w:w="2160" w:type="dxa"/>
            <w:vAlign w:val="bottom"/>
            <w:tcBorders>
              <w:bottom w:val="single" w:sz="8" w:color="auto"/>
            </w:tcBorders>
            <w:gridSpan w:val="2"/>
          </w:tcPr>
          <w:p>
            <w:pPr>
              <w:ind w:left="19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13,808</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(5,974)</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7,834</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Included in the amounts above are $0.2 million of capital lease obligations.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matters</w:t>
      </w:r>
    </w:p>
    <w:p>
      <w:pPr>
        <w:spacing w:after="0" w:line="124"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From time to time, the Company may be involved in litigation related to claims that arise in the ordinary course of its business activities. The Company accrues for these matters when it is probable that losses will be incurred and these losses can be reasonably estimated. As of December 31, 2018 and September 30, 2019, the Company does not believe that any such matters, individually or in the aggregate, will have a material adverse effect on the Company’s financial position, results of operations or cash flows.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4"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not incurred costs to defend lawsuits or settle claims related to these indemnification agreements. As a result, the Company believes the fair value of these agreements is minimal.</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7. Sanofi collaboration agreement</w:t>
      </w:r>
    </w:p>
    <w:p>
      <w:pPr>
        <w:spacing w:after="0" w:line="134"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In June 2018, the Company entered into a collaborative research, development and commercialization agreement with Aventis, Inc. (an affiliate of Sanofi), or the Sanofi Agreement, to research and develop SHP2 inhibitors, including RMC-4630 for any indications. Pursuant to the Sanofi Agreement, the Company granted Sanofi a worldwide, exclusive, sublicensable (subject to the Company’s consent in certain circumstances) license under certain of the Company’s patents and know-how to research, develop, manufacture, use, sell, offer for sale, import and otherwise commercialize SHP2 inhibitors, including RMC-4630, for any and all uses, subject to the Company’s exercise of rights and performance obligations under the Sanofi Agreement.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60" w:right="41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In October 2018, the Company acquired Warp Drive in exchange for the Company’s Series B redeemable convertible preferred stock and cash. Sanofi was a stockholder of Warp Drive and received the Company’s Series B redeemable convertible preferred stock during the transaction and accordingly became an investor and related party of the Company.</w:t>
      </w:r>
    </w:p>
    <w:p>
      <w:pPr>
        <w:spacing w:after="0" w:line="100"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Under the Sanofi Agreement, the Company received a non-refundable, upfront cash payment of $50 million in July 2018 and could also receive up to $520 million in development and regulatory milestone payments, including up to $235 million upon the achievement of specified development milestones and up to $285 million upon the achievement of certain marketing approval milestones. Sanofi also agreed to reimburse the Company for 80% of all internal and external research costs and expenses incurred under the research plan for 2019 and 2020, and for all other internal and external costs and expenses incurred to perform activities under the research and development plans for the SHP2 program. The Company is responsible for 20% of all internal and external research costs incurred under the research plan for 2019 and 2020. In the United States, the Company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the Company tiered royalties on annual net sales of each product outside the United States ranging from high single digit to mid-teen percentages.</w:t>
      </w:r>
    </w:p>
    <w:p>
      <w:pPr>
        <w:spacing w:after="0" w:line="107" w:lineRule="exact"/>
        <w:rPr>
          <w:sz w:val="20"/>
          <w:szCs w:val="20"/>
          <w:color w:val="auto"/>
        </w:rPr>
      </w:pPr>
    </w:p>
    <w:p>
      <w:pPr>
        <w:ind w:left="200" w:right="340"/>
        <w:spacing w:after="0" w:line="238" w:lineRule="auto"/>
        <w:rPr>
          <w:sz w:val="20"/>
          <w:szCs w:val="20"/>
          <w:color w:val="auto"/>
        </w:rPr>
      </w:pPr>
      <w:r>
        <w:rPr>
          <w:rFonts w:ascii="Arial" w:cs="Arial" w:eastAsia="Arial" w:hAnsi="Arial"/>
          <w:sz w:val="18"/>
          <w:szCs w:val="18"/>
          <w:color w:val="auto"/>
        </w:rPr>
        <w:t>The Company has primary responsibility for early clinical development of RMC-4630 pursuant to an initial development plan and also has primary responsibility for the manufacture of SHP2 inhibitors for Phase 1 and Phase 2 non-registrational clinical trials, while Sanofi is responsible for manufacturing SHP2 inhibitors for all other clinical trials and commercial supply.</w:t>
      </w:r>
    </w:p>
    <w:p>
      <w:pPr>
        <w:spacing w:after="0" w:line="100"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Unless terminated earlier, the Sanofi Agreement will continue in effect until the later of the expiration of all of Sanofi’s milestone and royalty payment obligations and the expiration of the profit/loss share agreement. Sanofi may terminate the Sanofi Agreement in its entirety or on a country-by-country or product-by-product basis for any reason or for significant safety concerns, upon prior notice to the Company. Sanofi may terminate the Sanofi Agreement in its entirety upon a change of control in the Company, with prior notice. Either party may terminate the Sanofi Agreement if an undisputed material breach by the other party is not cured within a defined period of time, or immediately upon notice for insolvency-related events of the other party. The Company may terminate the Sanofi Agreement after a certain number of years if Sanofi develops a competing program without commencing a registrational clinical trial for a SHP2 inhibitor product candidate, and subject to certain other conditions. The Company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the Company.</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identified the following promises in the agreement (1) the license related to SHP2 inhibitors, (2) the performance of research and development services for Phase 1 clinical studies and Phase 2 clinical trials that are non-registrational clinical trials and (3) the performance of manufacturing services for the non-registrational clinical trials. The Company determined that the license is not distinct from the services within the context of the agreement because the research, development and manufacturing significantly increase the utility of the intellectual property. The intellectual property (IP) related to SHP2 inhibitors, which is proprietary to the Company, is the foundation for the research and development activities. The manufacturing services are a necessary and integral part of the research and development services as they could only be conducted utilizing the outcomes of these services. Given the research and development services under the Sanofi Agreement are expected to involve significant further development of the initial IP, the Company has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80"/>
          </w:cols>
          <w:pgMar w:left="240" w:top="460" w:right="4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concluded that the research, development and manufacturing services are not distinct from the license, and thus the license, research and development services and manufacturing services are combined into a single performance obligation.</w:t>
      </w:r>
    </w:p>
    <w:p>
      <w:pPr>
        <w:spacing w:after="0" w:line="101" w:lineRule="exact"/>
        <w:rPr>
          <w:sz w:val="20"/>
          <w:szCs w:val="20"/>
          <w:color w:val="auto"/>
        </w:rPr>
      </w:pPr>
    </w:p>
    <w:p>
      <w:pPr>
        <w:ind w:left="200" w:right="240"/>
        <w:spacing w:after="0" w:line="275" w:lineRule="auto"/>
        <w:rPr>
          <w:sz w:val="20"/>
          <w:szCs w:val="20"/>
          <w:color w:val="auto"/>
        </w:rPr>
      </w:pPr>
      <w:r>
        <w:rPr>
          <w:rFonts w:ascii="Arial" w:cs="Arial" w:eastAsia="Arial" w:hAnsi="Arial"/>
          <w:sz w:val="16"/>
          <w:szCs w:val="16"/>
          <w:color w:val="auto"/>
        </w:rPr>
        <w:t>For revenue recognition purposes, the Company determined that the duration of the contract begins on the effective date of the Sanofi Agreement in July 2018 and ends upon completion of the non-registrational clinical trials. The contract duration is defined as the period in which parties to the contract have present enforceable rights and obligations. The Company analyzed the impact of Sanofi terminating the agreement prior to the completion of these trials and determined that there were significant economic costs to Sanofi for doing so.</w:t>
      </w:r>
    </w:p>
    <w:p>
      <w:pPr>
        <w:spacing w:after="0" w:line="75"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Company determined that the transaction price of the Sanofi Agreement was $196.1 million as of September 30, 2019. In order to determine the transaction price, the Company evaluated all the payments to be received during the duration of the contract. The Company determined that the $50.0 million upfront payment and $146.1 million of estimated variable consideration for expense reimbursements from Sanofi for agreed upon research and development services as of September 30, 2019 constituted consideration to be included in the transaction price, which is to be allocated to the combined performance obligation. Development and regulatory milestones under the Sanofi Agreement were considered but not included in the transaction price, as it is probable that a significant revenue reversal could occur if they were included. The Company will re-evaluate the transaction price in each reporting period and as uncertain events are resolved or other changes in circumstances occur.</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license, research, development and manufacturing services are combined as one performance obligation that will be performed over the duration of the contract, which is from the effective date of the Sanofi Agreement through to the completion of studies. The Company concluded that it will utilize a cost-based input method to measure proportional performance and to calculate the corresponding amount of revenue to recognize. In applying the cost-based input method of revenue recognition, the Company uses actual costs incurred relative to estimated costs to fulfill the combined performance obligation. These costs consist primarily of internal full-time equivalent efforts and third-party costs. Revenue is recognized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During the nine months ended September 30, 2018 and 2019, the Company recognized $9.8 million and $38.0 million of collaboration revenue associated with this agreement, respectively. As of December 31, 2018, $16.8 million of deferred revenue, related party is classified as current and $28.4 million is classified as noncurrent. Revenue recognized from amounts included in deferred revenue as of December 31, 2018 was $10.1 million during the nine months ended September 30, 2019. As of September 30, 2019, $19.5 million of deferred revenue, related party is classified as current and $15.6 million is classified as noncurrent.</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8. Acquisition of Warp Drive</w:t>
      </w:r>
    </w:p>
    <w:p>
      <w:pPr>
        <w:spacing w:after="0" w:line="134"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In October 2018, the Company acquired all outstanding shares of Warp Drive in exchange for issuing 6,797,915 shares of the Company’s Series B redeemable convertible preferred stock and $0.9 million in other consideration, for total consideration of $69.0 million. Warp Drive was a privately held biotechnology company based in Cambridge, Massachusetts.</w:t>
      </w:r>
    </w:p>
    <w:p>
      <w:pPr>
        <w:spacing w:after="0" w:line="100"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8"/>
          <w:szCs w:val="18"/>
          <w:color w:val="auto"/>
        </w:rPr>
        <w:t>Warp Drive’s RAS programs include compounds targeting various cancer indications, while its tri-complex platform is targeted at identifying presenter proteins for binding with small molecules and a target. Additionally, Warp Drive had a genome mining platform that is subject to a collaboration agreement with Hoffman-La Roche Ltd. (Roche) involving research in the area of neomorph antibiotics.</w:t>
      </w:r>
    </w:p>
    <w:p>
      <w:pPr>
        <w:spacing w:after="0" w:line="1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240" w:top="460" w:right="5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260"/>
        <w:spacing w:after="0" w:line="299" w:lineRule="auto"/>
        <w:rPr>
          <w:sz w:val="20"/>
          <w:szCs w:val="20"/>
          <w:color w:val="auto"/>
        </w:rPr>
      </w:pPr>
      <w:r>
        <w:rPr>
          <w:rFonts w:ascii="Arial" w:cs="Arial" w:eastAsia="Arial" w:hAnsi="Arial"/>
          <w:sz w:val="16"/>
          <w:szCs w:val="16"/>
          <w:color w:val="auto"/>
        </w:rPr>
        <w:t>Pursuant to ASC Topic 805, Business Combinations, the transaction was determined to be a business combination and was accounted for using the acquisition method of accounting. The following table presents a summary of the purchase price consideration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41275</wp:posOffset>
            </wp:positionV>
            <wp:extent cx="699770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4300" w:type="dxa"/>
            <w:vAlign w:val="bottom"/>
            <w:gridSpan w:val="4"/>
          </w:tcPr>
          <w:p>
            <w:pPr>
              <w:ind w:left="2960"/>
              <w:spacing w:after="0"/>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redeemable convertible preferred stock</w:t>
            </w:r>
          </w:p>
        </w:tc>
        <w:tc>
          <w:tcPr>
            <w:tcW w:w="3340" w:type="dxa"/>
            <w:vAlign w:val="bottom"/>
            <w:gridSpan w:val="2"/>
            <w:shd w:val="clear" w:color="auto" w:fill="CCEEFF"/>
          </w:tcPr>
          <w:p>
            <w:pPr>
              <w:ind w:left="29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68,144</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Cash</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1,172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Contingently returnable consideration asset</w:t>
            </w:r>
          </w:p>
        </w:tc>
        <w:tc>
          <w:tcPr>
            <w:tcW w:w="2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(310)</w:t>
            </w:r>
          </w:p>
        </w:tc>
      </w:tr>
      <w:tr>
        <w:trPr>
          <w:trHeight w:val="222"/>
        </w:trPr>
        <w:tc>
          <w:tcPr>
            <w:tcW w:w="20" w:type="dxa"/>
            <w:vAlign w:val="bottom"/>
          </w:tcPr>
          <w:p>
            <w:pPr>
              <w:spacing w:after="0"/>
              <w:rPr>
                <w:sz w:val="19"/>
                <w:szCs w:val="19"/>
                <w:color w:val="auto"/>
              </w:rPr>
            </w:pPr>
          </w:p>
        </w:tc>
        <w:tc>
          <w:tcPr>
            <w:tcW w:w="6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consideration</w:t>
            </w:r>
          </w:p>
        </w:tc>
        <w:tc>
          <w:tcPr>
            <w:tcW w:w="296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69,006</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The fair value of $10.03 per share of Series B redeemable convertible preferred stock was determined using a discounted cash flow model to estimate the value of the Company’s equity, and subsequently allocated to the Series B redeemable convertible preferred stock using an option pricing method.</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shares and cash issued as part of the transaction include 494,771 shares and less than $0.1 million of cash subject to a holdback based on certain events associated with Warp Drive’s agreement with Roche. The shares and cash subject to the holdback were issued on closing of the acquisition, but would be required to be returned to the Company if the holdback events did not occur. On the acquisition date, the Company determined the fair value of the holdback provision was $0.3 million and recorded it as a contingently returnable consideration asset on its consolidated balance sheet. The shares subject to the holdback retained their voting rights. In March 2019, the events subject to the holdback occurred and the issued shares and cash were no longer subject to the holdback provision. See Note 3, “Fair value measurements,” for a description of the determination of the fair value of the contingently returnable consideration asset.</w:t>
      </w:r>
    </w:p>
    <w:p>
      <w:pPr>
        <w:spacing w:after="0" w:line="101"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The Company incurred $0.4 million of acquisition-related costs as a result of the Warp Drive acquisition, which were recorded as general and administrative expenses in the consolidated statements of operations and comprehensive loss during the year ended December 31, 2018. The Company also paid $0.6 million in transaction costs incurred by Warp Drive related to Warp Drive’s advisors, which was included as part of the purchase price consideration.</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59" w:right="41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acquisition date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920" w:type="dxa"/>
            <w:vAlign w:val="bottom"/>
            <w:gridSpan w:val="4"/>
          </w:tcPr>
          <w:p>
            <w:pPr>
              <w:ind w:left="2640"/>
              <w:spacing w:after="0"/>
              <w:rPr>
                <w:sz w:val="20"/>
                <w:szCs w:val="20"/>
                <w:color w:val="auto"/>
              </w:rPr>
            </w:pPr>
            <w:r>
              <w:rPr>
                <w:rFonts w:ascii="Arial" w:cs="Arial" w:eastAsia="Arial" w:hAnsi="Arial"/>
                <w:sz w:val="18"/>
                <w:szCs w:val="18"/>
                <w:b w:val="1"/>
                <w:bCs w:val="1"/>
                <w:color w:val="auto"/>
              </w:rPr>
              <w:t>(in thousands)</w:t>
            </w:r>
          </w:p>
        </w:tc>
      </w:tr>
      <w:tr>
        <w:trPr>
          <w:trHeight w:val="56"/>
        </w:trPr>
        <w:tc>
          <w:tcPr>
            <w:tcW w:w="7120" w:type="dxa"/>
            <w:vAlign w:val="bottom"/>
            <w:gridSpan w:val="2"/>
          </w:tcPr>
          <w:p>
            <w:pPr>
              <w:spacing w:after="0"/>
              <w:rPr>
                <w:sz w:val="4"/>
                <w:szCs w:val="4"/>
                <w:color w:val="auto"/>
              </w:rPr>
            </w:pPr>
          </w:p>
        </w:tc>
        <w:tc>
          <w:tcPr>
            <w:tcW w:w="2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Cash and other current assets</w:t>
            </w:r>
          </w:p>
        </w:tc>
        <w:tc>
          <w:tcPr>
            <w:tcW w:w="3020" w:type="dxa"/>
            <w:vAlign w:val="bottom"/>
            <w:gridSpan w:val="2"/>
          </w:tcPr>
          <w:p>
            <w:pPr>
              <w:ind w:left="26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1,594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55,800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technology—tri-complex platform</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Developed technology—genome mining platform</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assets acquired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73,125</w:t>
            </w:r>
          </w:p>
        </w:tc>
        <w:tc>
          <w:tcPr>
            <w:tcW w:w="60" w:type="dxa"/>
            <w:vAlign w:val="bottom"/>
            <w:shd w:val="clear" w:color="auto" w:fill="CCEEFF"/>
          </w:tcPr>
          <w:p>
            <w:pPr>
              <w:spacing w:after="0"/>
              <w:rPr>
                <w:sz w:val="17"/>
                <w:szCs w:val="17"/>
                <w:color w:val="auto"/>
              </w:rPr>
            </w:pPr>
          </w:p>
        </w:tc>
      </w:tr>
      <w:tr>
        <w:trPr>
          <w:trHeight w:val="270"/>
        </w:trPr>
        <w:tc>
          <w:tcPr>
            <w:tcW w:w="712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 and other accrued liabilities</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Convertible note payable, related party</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Deferred tax liability</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12,192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 assumed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18,727</w:t>
            </w:r>
          </w:p>
        </w:tc>
        <w:tc>
          <w:tcPr>
            <w:tcW w:w="60" w:type="dxa"/>
            <w:vAlign w:val="bottom"/>
            <w:shd w:val="clear" w:color="auto" w:fill="CCEEFF"/>
          </w:tcPr>
          <w:p>
            <w:pPr>
              <w:spacing w:after="0"/>
              <w:rPr>
                <w:sz w:val="17"/>
                <w:szCs w:val="17"/>
                <w:color w:val="auto"/>
              </w:rPr>
            </w:pPr>
          </w:p>
        </w:tc>
      </w:tr>
      <w:tr>
        <w:trPr>
          <w:trHeight w:val="210"/>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ind w:left="26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69,006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valuations of the IPR&amp;D—RAS programs and developed technology—genome mining platform were determined using the income approach, which discounts expected future cash flows to present value. The discount rates used were between 13% and 14%. The projected cash flows were based on key assumptions such as: estimates of revenues and operating profits related to each program or platform considering its stage of development on the acquisition date; the time and resources needed to complete the development and approval of product candidates; the life of the potential commercialized products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01"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Intangible assets associated with acquired IPR&amp;D relate to the RAS programs. Management determined that the estimated acquisition-date fair value of the intangible asset related to IPR&amp;D was $55.8 million, which was comprised of $44.1 million related to the KRAS</w:t>
      </w:r>
      <w:r>
        <w:rPr>
          <w:rFonts w:ascii="Arial" w:cs="Arial" w:eastAsia="Arial" w:hAnsi="Arial"/>
          <w:sz w:val="11"/>
          <w:szCs w:val="11"/>
          <w:color w:val="auto"/>
        </w:rPr>
        <w:t>G12C</w:t>
      </w:r>
      <w:r>
        <w:rPr>
          <w:rFonts w:ascii="Arial" w:cs="Arial" w:eastAsia="Arial" w:hAnsi="Arial"/>
          <w:sz w:val="18"/>
          <w:szCs w:val="18"/>
          <w:color w:val="auto"/>
        </w:rPr>
        <w:t xml:space="preserve"> program and $11.7 million related to the KRAS</w:t>
      </w:r>
      <w:r>
        <w:rPr>
          <w:rFonts w:ascii="Arial" w:cs="Arial" w:eastAsia="Arial" w:hAnsi="Arial"/>
          <w:sz w:val="11"/>
          <w:szCs w:val="11"/>
          <w:color w:val="auto"/>
        </w:rPr>
        <w:t>G12D</w:t>
      </w:r>
      <w:r>
        <w:rPr>
          <w:rFonts w:ascii="Arial" w:cs="Arial" w:eastAsia="Arial" w:hAnsi="Arial"/>
          <w:sz w:val="18"/>
          <w:szCs w:val="18"/>
          <w:color w:val="auto"/>
        </w:rPr>
        <w:t xml:space="preserve"> program. The KRAS</w:t>
      </w:r>
      <w:r>
        <w:rPr>
          <w:rFonts w:ascii="Arial" w:cs="Arial" w:eastAsia="Arial" w:hAnsi="Arial"/>
          <w:sz w:val="11"/>
          <w:szCs w:val="11"/>
          <w:color w:val="auto"/>
        </w:rPr>
        <w:t>G12C</w:t>
      </w:r>
      <w:r>
        <w:rPr>
          <w:rFonts w:ascii="Arial" w:cs="Arial" w:eastAsia="Arial" w:hAnsi="Arial"/>
          <w:sz w:val="18"/>
          <w:szCs w:val="18"/>
          <w:color w:val="auto"/>
        </w:rPr>
        <w:t xml:space="preserve"> and KRAS</w:t>
      </w:r>
      <w:r>
        <w:rPr>
          <w:rFonts w:ascii="Arial" w:cs="Arial" w:eastAsia="Arial" w:hAnsi="Arial"/>
          <w:sz w:val="11"/>
          <w:szCs w:val="11"/>
          <w:color w:val="auto"/>
        </w:rPr>
        <w:t>G12D</w:t>
      </w:r>
      <w:r>
        <w:rPr>
          <w:rFonts w:ascii="Arial" w:cs="Arial" w:eastAsia="Arial" w:hAnsi="Arial"/>
          <w:sz w:val="18"/>
          <w:szCs w:val="18"/>
          <w:color w:val="auto"/>
        </w:rPr>
        <w:t xml:space="preserve"> programs are each focused on developing inhibitors which target specific mutations of KRAS(ON) proteins. The acquired IPR&amp;D is considered to be an indefinite-lived asset until the completion or abandonment of the research and development efforts. The acquired IPR&amp;D will not be amortized until completion of the related products, which is determined by when the underlying programs reach technological feasibility and commence commercial production. Upon completion, the acquired IPR&amp;D will be amortized over its useful life.</w:t>
      </w:r>
    </w:p>
    <w:p>
      <w:pPr>
        <w:spacing w:after="0" w:line="10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valuation of the developed technology—tri-complex platform was based on a replacement cost approach as the Company’s management intends to leverage the platform internally, but does not have the ability to assign a specific income stream to the asset. The tri-complex platform was accounted for as developed technology and is being amortized over 7 years.</w:t>
      </w:r>
    </w:p>
    <w:p>
      <w:pPr>
        <w:spacing w:after="0" w:line="100"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The genome mining platform, including the associated Roche collaboration agreement, was accounted for as held for sale developed technology and was divested in January 2019 to Gingko Bioworks (Gingko). The Company received $6.0 million in cash consideration from Gingko and Roche as part of the transaction, and is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240" w:top="460" w:right="4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entitled to receive up to 25% of future milestones earned by Gingko under the collaboration agreement with Roche included as part of this sale. The Company recognized a loss on disposal of $0.6 million during the nine months ended September 30, 2019, which was recorded in research and development expenses in the condensed consolidated statements of operations and comprehensive loss.</w:t>
      </w:r>
    </w:p>
    <w:p>
      <w:pPr>
        <w:spacing w:after="0" w:line="100"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The Company assumed a convertible promissory note (Convertible Note) as part of the Company’s acquisition of Warp Drive. See Note 14, “Related party relationships.”</w:t>
      </w:r>
    </w:p>
    <w:p>
      <w:pPr>
        <w:spacing w:after="0" w:line="101"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Deferred revenue consists of the remaining estimated cost obligations, including mark-up, associated with the collaboration with Roche. The entire amount was recognized as collaboration revenue, other during the year ended December 31, 2018.</w:t>
      </w:r>
    </w:p>
    <w:p>
      <w:pPr>
        <w:spacing w:after="0" w:line="10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The Company recorded $14.6 million in goodwill associated with this acquisition, which relates to the establishment of a deferred tax liability for the non-deductible in-process research and development intangible assets acquired and synergies resulting from the acquisition. Goodwill will not be amortized but will be tested at least annually for impairment. No impairment has been recognized as of September 30, 2019. Goodwill recorded is not deductible for income tax purposes.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9. Redeemable convertible preferred stock</w:t>
      </w:r>
    </w:p>
    <w:p>
      <w:pPr>
        <w:spacing w:after="0" w:line="134"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From December 2014 to May 2017, the Company issued a total of 14,430,799 shares of Series A redeemable convertible preferred stock at a price per share of $4.87 for proceeds of $70.1 million, net of issuance costs.</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March and June 2018, the Company issued a total of 7,731,155 shares of Series B redeemable convertible preferred stock at a price per share of $7.30 for proceeds of $56.2 million, net of issuance costs. In October 2018, the Company issued 6,797,915 shares of Series B redeemable convertible preferred stock in conjunction with acquiring Warp Drive. As part of the Warp Drive acquisition, the Company assumed $2.0 million in convertible notes payable, which was fully converted into 200,493 shares of Series B redeemable convertible preferred stock in October 2018. In November 2018, the Company issued 435,547 shares of Series B redeemable convertible preferred stock at a price per share of $10.03 for proceeds of $4.3 million, net of issuance costs.</w:t>
      </w:r>
    </w:p>
    <w:p>
      <w:pPr>
        <w:spacing w:after="0" w:line="10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In June and July 2019, the Company issued a total 10,004,514 shares of Series C redeemable convertible preferred stock at a price per share of $10.03 for proceeds of $100.0 million, net of issuance costs.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20"/>
          </w:cols>
          <w:pgMar w:left="24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Redeemable convertible preferred stock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8"/>
                <w:szCs w:val="18"/>
                <w:b w:val="1"/>
                <w:bCs w:val="1"/>
                <w:color w:val="auto"/>
                <w:w w:val="97"/>
              </w:rPr>
              <w:t>As of December 31, 2018</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6"/>
              </w:rPr>
              <w:t>Shares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w w:val="98"/>
              </w:rPr>
              <w:t>Aggregate</w:t>
            </w:r>
          </w:p>
        </w:tc>
        <w:tc>
          <w:tcPr>
            <w:tcW w:w="8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20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6"/>
              </w:rPr>
              <w:t>Shares</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issued and</w:t>
            </w:r>
          </w:p>
        </w:tc>
        <w:tc>
          <w:tcPr>
            <w:tcW w:w="140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Net carrying</w:t>
            </w:r>
          </w:p>
        </w:tc>
        <w:tc>
          <w:tcPr>
            <w:tcW w:w="1080" w:type="dxa"/>
            <w:vAlign w:val="bottom"/>
            <w:gridSpan w:val="3"/>
          </w:tcPr>
          <w:p>
            <w:pPr>
              <w:ind w:left="80"/>
              <w:spacing w:after="0" w:line="202" w:lineRule="exact"/>
              <w:rPr>
                <w:sz w:val="20"/>
                <w:szCs w:val="20"/>
                <w:color w:val="auto"/>
              </w:rPr>
            </w:pPr>
            <w:r>
              <w:rPr>
                <w:rFonts w:ascii="Arial" w:cs="Arial" w:eastAsia="Arial" w:hAnsi="Arial"/>
                <w:sz w:val="18"/>
                <w:szCs w:val="18"/>
                <w:b w:val="1"/>
                <w:bCs w:val="1"/>
                <w:color w:val="auto"/>
              </w:rPr>
              <w:t>liquidation</w:t>
            </w:r>
          </w:p>
        </w:tc>
      </w:tr>
      <w:tr>
        <w:trPr>
          <w:trHeight w:val="235"/>
        </w:trPr>
        <w:tc>
          <w:tcPr>
            <w:tcW w:w="20" w:type="dxa"/>
            <w:vAlign w:val="bottom"/>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8"/>
              </w:rPr>
              <w:t>authorized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outstanding</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value</w:t>
            </w: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preference</w:t>
            </w:r>
          </w:p>
        </w:tc>
      </w:tr>
      <w:tr>
        <w:trPr>
          <w:trHeight w:val="19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3900" w:type="dxa"/>
            <w:vAlign w:val="bottom"/>
            <w:gridSpan w:val="4"/>
          </w:tcPr>
          <w:p>
            <w:pPr>
              <w:jc w:val="center"/>
              <w:ind w:left="912"/>
              <w:spacing w:after="0" w:line="196" w:lineRule="exact"/>
              <w:rPr>
                <w:sz w:val="20"/>
                <w:szCs w:val="20"/>
                <w:color w:val="auto"/>
              </w:rPr>
            </w:pPr>
            <w:r>
              <w:rPr>
                <w:rFonts w:ascii="Arial" w:cs="Arial" w:eastAsia="Arial" w:hAnsi="Arial"/>
                <w:sz w:val="18"/>
                <w:szCs w:val="18"/>
                <w:b w:val="1"/>
                <w:bCs w:val="1"/>
                <w:color w:val="auto"/>
                <w:w w:val="97"/>
              </w:rPr>
              <w:t>(in thousands, except share data)</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12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70,221,732</w:t>
            </w:r>
          </w:p>
        </w:tc>
        <w:tc>
          <w:tcPr>
            <w:tcW w:w="1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14,430,799</w:t>
            </w:r>
          </w:p>
        </w:tc>
        <w:tc>
          <w:tcPr>
            <w:tcW w:w="3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72,248</w:t>
            </w:r>
          </w:p>
        </w:tc>
        <w:tc>
          <w:tcPr>
            <w:tcW w:w="2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80,641</w:t>
            </w:r>
          </w:p>
        </w:tc>
        <w:tc>
          <w:tcPr>
            <w:tcW w:w="80" w:type="dxa"/>
            <w:vAlign w:val="bottom"/>
            <w:shd w:val="clear" w:color="auto" w:fill="CCEEFF"/>
          </w:tcPr>
          <w:p>
            <w:pPr>
              <w:spacing w:after="0"/>
              <w:rPr>
                <w:sz w:val="17"/>
                <w:szCs w:val="17"/>
                <w:color w:val="auto"/>
              </w:rPr>
            </w:pPr>
          </w:p>
        </w:tc>
      </w:tr>
      <w:tr>
        <w:trPr>
          <w:trHeight w:val="210"/>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Series B</w:t>
            </w:r>
          </w:p>
        </w:tc>
        <w:tc>
          <w:tcPr>
            <w:tcW w:w="12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76,000,000</w:t>
            </w:r>
          </w:p>
        </w:tc>
        <w:tc>
          <w:tcPr>
            <w:tcW w:w="13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15,165,110</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132,833</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113,492</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146,221,732</w:t>
            </w:r>
          </w:p>
        </w:tc>
        <w:tc>
          <w:tcPr>
            <w:tcW w:w="1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29,595,909</w:t>
            </w:r>
          </w:p>
        </w:tc>
        <w:tc>
          <w:tcPr>
            <w:tcW w:w="3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205,081</w:t>
            </w:r>
          </w:p>
        </w:tc>
        <w:tc>
          <w:tcPr>
            <w:tcW w:w="2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194,133</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0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gridSpan w:val="3"/>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r>
        <w:trPr>
          <w:trHeight w:val="243"/>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3"/>
          </w:tcPr>
          <w:p>
            <w:pPr>
              <w:jc w:val="center"/>
              <w:ind w:right="132"/>
              <w:spacing w:after="0"/>
              <w:rPr>
                <w:sz w:val="20"/>
                <w:szCs w:val="20"/>
                <w:color w:val="auto"/>
              </w:rPr>
            </w:pPr>
            <w:r>
              <w:rPr>
                <w:rFonts w:ascii="Arial" w:cs="Arial" w:eastAsia="Arial" w:hAnsi="Arial"/>
                <w:sz w:val="18"/>
                <w:szCs w:val="18"/>
                <w:b w:val="1"/>
                <w:bCs w:val="1"/>
                <w:color w:val="auto"/>
                <w:w w:val="97"/>
              </w:rPr>
              <w:t>As of September 30, 2019</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77"/>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6"/>
              </w:rPr>
              <w:t>Shares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w w:val="98"/>
              </w:rPr>
              <w:t>Aggregate</w:t>
            </w:r>
          </w:p>
        </w:tc>
        <w:tc>
          <w:tcPr>
            <w:tcW w:w="8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20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6"/>
              </w:rPr>
              <w:t>Shares</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issued and</w:t>
            </w:r>
          </w:p>
        </w:tc>
        <w:tc>
          <w:tcPr>
            <w:tcW w:w="140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Net carrying</w:t>
            </w:r>
          </w:p>
        </w:tc>
        <w:tc>
          <w:tcPr>
            <w:tcW w:w="1080" w:type="dxa"/>
            <w:vAlign w:val="bottom"/>
            <w:gridSpan w:val="3"/>
          </w:tcPr>
          <w:p>
            <w:pPr>
              <w:ind w:left="80"/>
              <w:spacing w:after="0" w:line="202" w:lineRule="exact"/>
              <w:rPr>
                <w:sz w:val="20"/>
                <w:szCs w:val="20"/>
                <w:color w:val="auto"/>
              </w:rPr>
            </w:pPr>
            <w:r>
              <w:rPr>
                <w:rFonts w:ascii="Arial" w:cs="Arial" w:eastAsia="Arial" w:hAnsi="Arial"/>
                <w:sz w:val="18"/>
                <w:szCs w:val="18"/>
                <w:b w:val="1"/>
                <w:bCs w:val="1"/>
                <w:color w:val="auto"/>
              </w:rPr>
              <w:t>liquidation</w:t>
            </w:r>
          </w:p>
        </w:tc>
      </w:tr>
      <w:tr>
        <w:trPr>
          <w:trHeight w:val="235"/>
        </w:trPr>
        <w:tc>
          <w:tcPr>
            <w:tcW w:w="20" w:type="dxa"/>
            <w:vAlign w:val="bottom"/>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8"/>
              </w:rPr>
              <w:t>authorized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outstanding</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value</w:t>
            </w: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preference</w:t>
            </w:r>
          </w:p>
        </w:tc>
      </w:tr>
      <w:tr>
        <w:trPr>
          <w:trHeight w:val="19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3900" w:type="dxa"/>
            <w:vAlign w:val="bottom"/>
            <w:gridSpan w:val="4"/>
          </w:tcPr>
          <w:p>
            <w:pPr>
              <w:jc w:val="center"/>
              <w:ind w:left="912"/>
              <w:spacing w:after="0" w:line="196" w:lineRule="exact"/>
              <w:rPr>
                <w:sz w:val="20"/>
                <w:szCs w:val="20"/>
                <w:color w:val="auto"/>
              </w:rPr>
            </w:pPr>
            <w:r>
              <w:rPr>
                <w:rFonts w:ascii="Arial" w:cs="Arial" w:eastAsia="Arial" w:hAnsi="Arial"/>
                <w:sz w:val="18"/>
                <w:szCs w:val="18"/>
                <w:b w:val="1"/>
                <w:bCs w:val="1"/>
                <w:color w:val="auto"/>
                <w:w w:val="97"/>
              </w:rPr>
              <w:t>(in thousands, except share data)</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12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70,221,732</w:t>
            </w:r>
          </w:p>
        </w:tc>
        <w:tc>
          <w:tcPr>
            <w:tcW w:w="1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14,430,799</w:t>
            </w:r>
          </w:p>
        </w:tc>
        <w:tc>
          <w:tcPr>
            <w:tcW w:w="3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72,248</w:t>
            </w:r>
          </w:p>
        </w:tc>
        <w:tc>
          <w:tcPr>
            <w:tcW w:w="2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83,804</w:t>
            </w:r>
          </w:p>
        </w:tc>
        <w:tc>
          <w:tcPr>
            <w:tcW w:w="80" w:type="dxa"/>
            <w:vAlign w:val="bottom"/>
            <w:shd w:val="clear" w:color="auto" w:fill="CCEEFF"/>
          </w:tcPr>
          <w:p>
            <w:pPr>
              <w:spacing w:after="0"/>
              <w:rPr>
                <w:sz w:val="17"/>
                <w:szCs w:val="17"/>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Series B</w:t>
            </w:r>
          </w:p>
        </w:tc>
        <w:tc>
          <w:tcPr>
            <w:tcW w:w="12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74,000,000</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15,165,110</w:t>
            </w:r>
          </w:p>
        </w:tc>
        <w:tc>
          <w:tcPr>
            <w:tcW w:w="340" w:type="dxa"/>
            <w:vAlign w:val="bottom"/>
          </w:tcPr>
          <w:p>
            <w:pPr>
              <w:spacing w:after="0"/>
              <w:rPr>
                <w:sz w:val="17"/>
                <w:szCs w:val="17"/>
                <w:color w:val="auto"/>
              </w:rPr>
            </w:pPr>
          </w:p>
        </w:tc>
        <w:tc>
          <w:tcPr>
            <w:tcW w:w="10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132,833</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118,478</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20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48,683,038</w:t>
            </w:r>
          </w:p>
        </w:tc>
        <w:tc>
          <w:tcPr>
            <w:tcW w:w="13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10,004,514</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100,033</w:t>
            </w: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102,156</w:t>
            </w:r>
          </w:p>
        </w:tc>
        <w:tc>
          <w:tcPr>
            <w:tcW w:w="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192,904,770</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39,600,423</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305,114</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304,438</w:t>
            </w:r>
          </w:p>
        </w:tc>
        <w:tc>
          <w:tcPr>
            <w:tcW w:w="80" w:type="dxa"/>
            <w:vAlign w:val="bottom"/>
          </w:tcPr>
          <w:p>
            <w:pPr>
              <w:spacing w:after="0"/>
              <w:rPr>
                <w:sz w:val="19"/>
                <w:szCs w:val="19"/>
                <w:color w:val="auto"/>
              </w:rPr>
            </w:pPr>
          </w:p>
        </w:tc>
      </w:tr>
    </w:tbl>
    <w:p>
      <w:pPr>
        <w:spacing w:after="0" w:line="111" w:lineRule="exact"/>
        <w:rPr>
          <w:sz w:val="20"/>
          <w:szCs w:val="20"/>
          <w:color w:val="auto"/>
        </w:rPr>
      </w:pPr>
    </w:p>
    <w:p>
      <w:pPr>
        <w:ind w:left="200" w:right="340"/>
        <w:spacing w:after="0" w:line="237" w:lineRule="auto"/>
        <w:rPr>
          <w:sz w:val="20"/>
          <w:szCs w:val="20"/>
          <w:color w:val="auto"/>
        </w:rPr>
      </w:pPr>
      <w:r>
        <w:rPr>
          <w:rFonts w:ascii="Arial" w:cs="Arial" w:eastAsia="Arial" w:hAnsi="Arial"/>
          <w:sz w:val="18"/>
          <w:szCs w:val="18"/>
          <w:color w:val="auto"/>
        </w:rPr>
        <w:t>The redeemable convertible preferred stock is recorded outside of permanent equity because while it is not mandatorily redeemable, it will become redeemable upon the occurrence of certain liquidation events that are considered not solely within the Company’s control. Accordingly, the redeemable convertible preferred stock has been presented in the mezzanine section on the condensed consolidated balance sheets.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holders of the Company’s redeemable convertible preferred stock have various rights, preferences, and privileges as follows: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24" w:lineRule="exact"/>
        <w:rPr>
          <w:sz w:val="20"/>
          <w:szCs w:val="20"/>
          <w:color w:val="auto"/>
        </w:rPr>
      </w:pPr>
    </w:p>
    <w:p>
      <w:pPr>
        <w:ind w:left="200" w:right="80"/>
        <w:spacing w:after="0" w:line="273" w:lineRule="auto"/>
        <w:rPr>
          <w:sz w:val="20"/>
          <w:szCs w:val="20"/>
          <w:color w:val="auto"/>
        </w:rPr>
      </w:pPr>
      <w:r>
        <w:rPr>
          <w:rFonts w:ascii="Arial" w:cs="Arial" w:eastAsia="Arial" w:hAnsi="Arial"/>
          <w:sz w:val="16"/>
          <w:szCs w:val="16"/>
          <w:color w:val="auto"/>
        </w:rPr>
        <w:t>Each share of redeemable convertible preferred stock shall be convertible, at the option of the holder, into such number of fully paid shares of common stock as is determined by dividing the original issue price by the conversion price in effect at the time of conversion. As of December 31, 2018 and September 30, 2019, the initial conversion price per share of redeemable convertible preferred stock is equivalent to the original issue price. The original issuance price was $4.87 per share for the Series A redeemable convertible preferred stock, $7.30 per share for the Series B redeemable convertible preferred stock and $10.03 for the Series C redeemable convertible preferred stock.</w:t>
      </w:r>
    </w:p>
    <w:p>
      <w:pPr>
        <w:spacing w:after="0" w:line="75"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The respective applicable conversion price is subject to adjustment upon any future stock splits or stock combinations, reclassifications or exchanges of similar stock, upon a reorganization, recapitalization, merger or consolidation of the Company, or upon the issuance or sale by the Company of common stock for consideration less than the applicable conversion price.</w:t>
      </w:r>
    </w:p>
    <w:p>
      <w:pPr>
        <w:spacing w:after="0" w:line="10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Each share of Series A , B and C redeemable convertible preferred stock automatically converts into the number of shares of common stock determined in accordance with the conversion rate upon the earlier of (a) written consent of a majority of the then outstanding shares of Series A, B and C redeemable convertible preferred stock, voting together as a single class, or (b) the closing of a public offering in which the gross cash proceeds are at least $50.0 million and the minimum IPO price is $10.03 per share of common stock, subject to adjustment for stock dividends, stock splits, combinations or other similar recapitalizations.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240" w:top="459" w:right="41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The holders of the outstanding shares of each series of redeemable convertible preferred stock are entitled to receive, when and if declared by the Board of Directors, a cumulative cash dividend at the rate of 6% of the applicable original issue price per annum on each outstanding share of redeemable convertible preferred stock. Such dividends are payable in preference to any dividends for common stock declared by the Board of Directors. In the case of a dividend on common stock, the dividend per share of redeemable convertible preferred stock would also include the dividend payable on each share determined, if applicable, as if all redeemable convertible preferred stock had been converted to common stock. No dividends had been declared or paid to holders of redeemable convertible preferred stock as of September 30, 2019.</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the event of any liquidation, dissolution, winding up, or deemed liquidation event of the Company, either voluntary or involuntary, the holders of redeemable convertible preferred stock shall be entitled to receive pro rata, prior and in preference to any distribution to the holders of the common stock, an amount equal to the original issuance prices of each series (in each case, as adjusted for stock splits, stock dividends or distributions, recapitalizations, and similar events) and all declared but unpaid dividends, if any. If the assets and funds to be distributed among the holders of redeemable convertible preferred stock are insufficient to permit the payment to such holders, then the entire assets and funds of the Company legally available for distribution will be distributed ratably among the holders of redeemable convertible preferred stock in proportion to the preferential amount each such holder is otherwise entitled to receive.</w:t>
      </w:r>
    </w:p>
    <w:p>
      <w:pPr>
        <w:spacing w:after="0" w:line="101"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Upon the payment of the full liquidation preference of redeemable convertible preferred stock, the remaining assets of the Company, if any, shall be distributed ratably to the holders of common stock.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Each share of redeemable convertible preferred stock has a number of votes equal to the number of shares of common stock into which it is convertible. The holders of Series A redeemable convertible preferred stock have the right to elect two members of the Company’s Board of Directors. The holders of Series B redeemable convertible preferred stock have the right to elect one member of the Company’s Board of Directors. The holders of common stock have the right to elect one member of the Company’s Board of Directors. The holders of common stock and redeemable convertible preferred stock, voting together as a single class on an as-converted basis, are entitled to elect one member of the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10. Common stock</w:t>
      </w:r>
    </w:p>
    <w:p>
      <w:pPr>
        <w:spacing w:after="0" w:line="13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As of December 31, 2018 and September 30, 2019, the Company’s certificate of incorporation authorized the Company to issue 172,000,000 shares and 249,000,000 shares of common stock, respectively, at a par value of $0.0001 per share. Each share of common stock is entitled to one vote. The holders of common stock are also entitled to receive dividends whenever funds are legally available and when declared by the Board of Directors, subject to prior rights of the redeemable convertible preferred stockholders. As of September 30, 2019, no dividends have been declared to date.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00"/>
          </w:cols>
          <w:pgMar w:left="24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has reserved shares of common stock, on an as-converted basis, for future issuance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9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December 31,</w:t>
            </w: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2900" w:type="dxa"/>
            <w:vAlign w:val="bottom"/>
            <w:gridSpan w:val="2"/>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29,595,909</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39,600,423</w:t>
            </w:r>
          </w:p>
        </w:tc>
        <w:tc>
          <w:tcPr>
            <w:tcW w:w="60" w:type="dxa"/>
            <w:vAlign w:val="bottom"/>
            <w:shd w:val="clear" w:color="auto" w:fill="CCEEFF"/>
          </w:tcPr>
          <w:p>
            <w:pPr>
              <w:spacing w:after="0"/>
              <w:rPr>
                <w:sz w:val="17"/>
                <w:szCs w:val="17"/>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Outstanding options to purchase common stock</w:t>
            </w:r>
          </w:p>
        </w:tc>
        <w:tc>
          <w:tcPr>
            <w:tcW w:w="29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1,632,797</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4,670,745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Available for future issuance under the 2014 Equity Incentive Plan</w:t>
            </w:r>
          </w:p>
        </w:tc>
        <w:tc>
          <w:tcPr>
            <w:tcW w:w="162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401,447</w:t>
            </w: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1,041,448</w:t>
            </w:r>
          </w:p>
        </w:tc>
        <w:tc>
          <w:tcPr>
            <w:tcW w:w="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31,630,153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45,312,616</w:t>
            </w:r>
          </w:p>
        </w:tc>
        <w:tc>
          <w:tcPr>
            <w:tcW w:w="60" w:type="dxa"/>
            <w:vAlign w:val="bottom"/>
          </w:tcPr>
          <w:p>
            <w:pPr>
              <w:spacing w:after="0"/>
              <w:rPr>
                <w:sz w:val="19"/>
                <w:szCs w:val="19"/>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11. Stock-based compensation</w:t>
      </w:r>
    </w:p>
    <w:p>
      <w:pPr>
        <w:spacing w:after="0" w:line="134"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In December 2014, the Company adopted the 2014 Equity Incentive Plan (2014 Plan). The 2014 Plan provides for the Company to issue restricted common stock, or to grant incentive stock options or nonqualified stock options for the purchase of common stock, to employees, members of the Board of Directors and consultants of the Company under terms and provisions established by the Board of Directors. The Company generally grants stock-based awards with service-based vesting conditions only. Options granted typically vest over a four-year period but may be granted with different vesting terms.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summarizes option activity under the 2014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6"/>
              </w:rPr>
              <w:t>Weighted-</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average</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6"/>
              </w:rPr>
              <w:t>Number</w:t>
            </w:r>
          </w:p>
        </w:tc>
        <w:tc>
          <w:tcPr>
            <w:tcW w:w="360" w:type="dxa"/>
            <w:vAlign w:val="bottom"/>
          </w:tcPr>
          <w:p>
            <w:pPr>
              <w:spacing w:after="0"/>
              <w:rPr>
                <w:sz w:val="17"/>
                <w:szCs w:val="17"/>
                <w:color w:val="auto"/>
              </w:rPr>
            </w:pPr>
          </w:p>
        </w:tc>
        <w:tc>
          <w:tcPr>
            <w:tcW w:w="128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w w:val="98"/>
              </w:rPr>
              <w:t>Weighted-</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remaining</w:t>
            </w:r>
          </w:p>
        </w:tc>
        <w:tc>
          <w:tcPr>
            <w:tcW w:w="38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of</w:t>
            </w:r>
          </w:p>
        </w:tc>
        <w:tc>
          <w:tcPr>
            <w:tcW w:w="360" w:type="dxa"/>
            <w:vAlign w:val="bottom"/>
          </w:tcPr>
          <w:p>
            <w:pPr>
              <w:spacing w:after="0"/>
              <w:rPr>
                <w:sz w:val="17"/>
                <w:szCs w:val="17"/>
                <w:color w:val="auto"/>
              </w:rPr>
            </w:pPr>
          </w:p>
        </w:tc>
        <w:tc>
          <w:tcPr>
            <w:tcW w:w="128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average</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contractual</w:t>
            </w:r>
          </w:p>
        </w:tc>
        <w:tc>
          <w:tcPr>
            <w:tcW w:w="38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intrinsic</w:t>
            </w:r>
          </w:p>
        </w:tc>
      </w:tr>
      <w:tr>
        <w:trPr>
          <w:trHeight w:val="235"/>
        </w:trPr>
        <w:tc>
          <w:tcPr>
            <w:tcW w:w="20" w:type="dxa"/>
            <w:vAlign w:val="bottom"/>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5"/>
              </w:rPr>
              <w:t>options</w:t>
            </w:r>
          </w:p>
        </w:tc>
        <w:tc>
          <w:tcPr>
            <w:tcW w:w="16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exercise price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term</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value</w:t>
            </w: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7"/>
              </w:rPr>
              <w:t>(in years)</w:t>
            </w:r>
          </w:p>
        </w:tc>
        <w:tc>
          <w:tcPr>
            <w:tcW w:w="152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1,632,797</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0.98</w:t>
            </w:r>
          </w:p>
        </w:tc>
        <w:tc>
          <w:tcPr>
            <w:tcW w:w="14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8.76</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5,085</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Options granted</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9"/>
              </w:rPr>
              <w:t>3,239,263</w:t>
            </w:r>
          </w:p>
        </w:tc>
        <w:tc>
          <w:tcPr>
            <w:tcW w:w="280" w:type="dxa"/>
            <w:vAlign w:val="bottom"/>
          </w:tcPr>
          <w:p>
            <w:pPr>
              <w:spacing w:after="0"/>
              <w:rPr>
                <w:sz w:val="17"/>
                <w:szCs w:val="17"/>
                <w:color w:val="auto"/>
              </w:rPr>
            </w:pPr>
          </w:p>
        </w:tc>
        <w:tc>
          <w:tcPr>
            <w:tcW w:w="360" w:type="dxa"/>
            <w:vAlign w:val="bottom"/>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4.49</w:t>
            </w: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Options exercised</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(171,025)</w:t>
            </w: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2.01</w:t>
            </w: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Options cancelled</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(30,290)</w:t>
            </w:r>
          </w:p>
        </w:tc>
        <w:tc>
          <w:tcPr>
            <w:tcW w:w="360" w:type="dxa"/>
            <w:vAlign w:val="bottom"/>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3.41</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September 30, 2019</w:t>
            </w: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4,670,745</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3.36</w:t>
            </w:r>
          </w:p>
        </w:tc>
        <w:tc>
          <w:tcPr>
            <w:tcW w:w="14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9.15</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19,563</w:t>
            </w:r>
          </w:p>
        </w:tc>
        <w:tc>
          <w:tcPr>
            <w:tcW w:w="60" w:type="dxa"/>
            <w:vAlign w:val="bottom"/>
            <w:shd w:val="clear" w:color="auto" w:fill="CCEEFF"/>
          </w:tcPr>
          <w:p>
            <w:pPr>
              <w:spacing w:after="0"/>
              <w:rPr>
                <w:sz w:val="17"/>
                <w:szCs w:val="17"/>
                <w:color w:val="auto"/>
              </w:rPr>
            </w:pPr>
          </w:p>
        </w:tc>
      </w:tr>
      <w:tr>
        <w:trPr>
          <w:trHeight w:val="213"/>
        </w:trPr>
        <w:tc>
          <w:tcPr>
            <w:tcW w:w="5320" w:type="dxa"/>
            <w:vAlign w:val="bottom"/>
            <w:gridSpan w:val="2"/>
          </w:tcPr>
          <w:p>
            <w:pPr>
              <w:spacing w:after="0"/>
              <w:rPr>
                <w:sz w:val="20"/>
                <w:szCs w:val="20"/>
                <w:color w:val="auto"/>
              </w:rPr>
            </w:pPr>
            <w:r>
              <w:rPr>
                <w:rFonts w:ascii="Arial" w:cs="Arial" w:eastAsia="Arial" w:hAnsi="Arial"/>
                <w:sz w:val="18"/>
                <w:szCs w:val="18"/>
                <w:color w:val="auto"/>
              </w:rPr>
              <w:t>Options vested and expected to vest as of September 30,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532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2019</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w w:val="99"/>
              </w:rPr>
              <w:t>4,670,745</w:t>
            </w:r>
          </w:p>
        </w:tc>
        <w:tc>
          <w:tcPr>
            <w:tcW w:w="280" w:type="dxa"/>
            <w:vAlign w:val="bottom"/>
          </w:tcPr>
          <w:p>
            <w:pPr>
              <w:spacing w:after="0"/>
              <w:rPr>
                <w:sz w:val="17"/>
                <w:szCs w:val="17"/>
                <w:color w:val="auto"/>
              </w:rPr>
            </w:pPr>
          </w:p>
        </w:tc>
        <w:tc>
          <w:tcPr>
            <w:tcW w:w="360" w:type="dxa"/>
            <w:vAlign w:val="bottom"/>
          </w:tcPr>
          <w:p>
            <w:pPr>
              <w:ind w:left="240"/>
              <w:spacing w:after="0" w:line="200"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3.36</w:t>
            </w:r>
          </w:p>
        </w:tc>
        <w:tc>
          <w:tcPr>
            <w:tcW w:w="144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9.15</w:t>
            </w:r>
          </w:p>
        </w:tc>
        <w:tc>
          <w:tcPr>
            <w:tcW w:w="380" w:type="dxa"/>
            <w:vAlign w:val="bottom"/>
          </w:tcPr>
          <w:p>
            <w:pPr>
              <w:ind w:left="240"/>
              <w:spacing w:after="0" w:line="200"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19,563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vested and exercisable as of September 30, 2019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979,662</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1.45</w:t>
            </w:r>
          </w:p>
        </w:tc>
        <w:tc>
          <w:tcPr>
            <w:tcW w:w="14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8.01</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by the Board of Directors. The intrinsic value of the options exercised for the nine months ended September 30, 2019 was $0.3 million.</w:t>
      </w:r>
    </w:p>
    <w:p>
      <w:pPr>
        <w:spacing w:after="0" w:line="100"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8"/>
          <w:szCs w:val="18"/>
          <w:color w:val="auto"/>
        </w:rPr>
        <w:t>For the nine months ended September 30, 2019, the weighted-average grant-date fair value of options granted was $3.89 per share. As of September 30, 2019, there was $13.5 million of unrecognized stock-based compensation expense related to unvested stock options that is expected to be recognized over a weighted-average period of 3.4 years.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fair value of options vested during the nine months ended September 30, 2019 was $1.2 million.</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240" w:top="459" w:right="41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The fair value of employee and director stock option awards was estimated at the date of grant using a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5480" w:type="dxa"/>
            <w:vAlign w:val="bottom"/>
          </w:tcPr>
          <w:p>
            <w:pPr>
              <w:ind w:left="3820"/>
              <w:spacing w:after="0"/>
              <w:rPr>
                <w:sz w:val="20"/>
                <w:szCs w:val="20"/>
                <w:color w:val="auto"/>
              </w:rPr>
            </w:pPr>
            <w:r>
              <w:rPr>
                <w:rFonts w:ascii="Arial" w:cs="Arial" w:eastAsia="Arial" w:hAnsi="Arial"/>
                <w:sz w:val="18"/>
                <w:szCs w:val="18"/>
                <w:b w:val="1"/>
                <w:bCs w:val="1"/>
                <w:color w:val="auto"/>
                <w:w w:val="98"/>
              </w:rPr>
              <w:t>Nine months ended</w:t>
            </w:r>
          </w:p>
        </w:tc>
      </w:tr>
      <w:tr>
        <w:trPr>
          <w:trHeight w:val="221"/>
        </w:trPr>
        <w:tc>
          <w:tcPr>
            <w:tcW w:w="20" w:type="dxa"/>
            <w:vAlign w:val="bottom"/>
          </w:tcPr>
          <w:p>
            <w:pPr>
              <w:spacing w:after="0"/>
              <w:rPr>
                <w:sz w:val="19"/>
                <w:szCs w:val="19"/>
                <w:color w:val="auto"/>
              </w:rPr>
            </w:pPr>
          </w:p>
        </w:tc>
        <w:tc>
          <w:tcPr>
            <w:tcW w:w="55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ind w:left="3820"/>
              <w:spacing w:after="0"/>
              <w:rPr>
                <w:sz w:val="20"/>
                <w:szCs w:val="20"/>
                <w:color w:val="auto"/>
              </w:rPr>
            </w:pPr>
            <w:r>
              <w:rPr>
                <w:rFonts w:ascii="Arial" w:cs="Arial" w:eastAsia="Arial" w:hAnsi="Arial"/>
                <w:sz w:val="18"/>
                <w:szCs w:val="18"/>
                <w:b w:val="1"/>
                <w:bCs w:val="1"/>
                <w:color w:val="auto"/>
                <w:w w:val="97"/>
              </w:rPr>
              <w:t>September 30, 2019</w:t>
            </w: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5480" w:type="dxa"/>
            <w:vAlign w:val="bottom"/>
            <w:shd w:val="clear" w:color="auto" w:fill="CCEEFF"/>
          </w:tcPr>
          <w:p>
            <w:pPr>
              <w:jc w:val="center"/>
              <w:ind w:left="3712"/>
              <w:spacing w:after="0" w:line="196" w:lineRule="exact"/>
              <w:rPr>
                <w:sz w:val="20"/>
                <w:szCs w:val="20"/>
                <w:color w:val="auto"/>
              </w:rPr>
            </w:pPr>
            <w:r>
              <w:rPr>
                <w:rFonts w:ascii="Arial" w:cs="Arial" w:eastAsia="Arial" w:hAnsi="Arial"/>
                <w:sz w:val="18"/>
                <w:szCs w:val="18"/>
                <w:color w:val="auto"/>
                <w:w w:val="92"/>
              </w:rPr>
              <w:t>5-6</w:t>
            </w: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5480" w:type="dxa"/>
            <w:vAlign w:val="bottom"/>
          </w:tcPr>
          <w:p>
            <w:pPr>
              <w:jc w:val="center"/>
              <w:ind w:left="3712"/>
              <w:spacing w:after="0" w:line="202" w:lineRule="exact"/>
              <w:rPr>
                <w:sz w:val="20"/>
                <w:szCs w:val="20"/>
                <w:color w:val="auto"/>
              </w:rPr>
            </w:pPr>
            <w:r>
              <w:rPr>
                <w:rFonts w:ascii="Arial" w:cs="Arial" w:eastAsia="Arial" w:hAnsi="Arial"/>
                <w:sz w:val="18"/>
                <w:szCs w:val="18"/>
                <w:color w:val="auto"/>
                <w:w w:val="96"/>
              </w:rPr>
              <w:t>78-82%</w:t>
            </w: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5480" w:type="dxa"/>
            <w:vAlign w:val="bottom"/>
            <w:shd w:val="clear" w:color="auto" w:fill="CCEEFF"/>
          </w:tcPr>
          <w:p>
            <w:pPr>
              <w:jc w:val="center"/>
              <w:ind w:left="3712"/>
              <w:spacing w:after="0" w:line="202" w:lineRule="exact"/>
              <w:rPr>
                <w:sz w:val="20"/>
                <w:szCs w:val="20"/>
                <w:color w:val="auto"/>
              </w:rPr>
            </w:pPr>
            <w:r>
              <w:rPr>
                <w:rFonts w:ascii="Arial" w:cs="Arial" w:eastAsia="Arial" w:hAnsi="Arial"/>
                <w:sz w:val="18"/>
                <w:szCs w:val="18"/>
                <w:color w:val="auto"/>
                <w:w w:val="95"/>
              </w:rPr>
              <w:t>1.6%-2.5%</w:t>
            </w:r>
          </w:p>
        </w:tc>
      </w:tr>
      <w:tr>
        <w:trPr>
          <w:trHeight w:val="215"/>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Dividend yield</w:t>
            </w:r>
          </w:p>
        </w:tc>
        <w:tc>
          <w:tcPr>
            <w:tcW w:w="5480" w:type="dxa"/>
            <w:vAlign w:val="bottom"/>
            <w:tcBorders>
              <w:bottom w:val="single" w:sz="8" w:color="auto"/>
            </w:tcBorders>
          </w:tcPr>
          <w:p>
            <w:pPr>
              <w:jc w:val="center"/>
              <w:ind w:left="3712"/>
              <w:spacing w:after="0"/>
              <w:rPr>
                <w:sz w:val="20"/>
                <w:szCs w:val="20"/>
                <w:color w:val="auto"/>
              </w:rPr>
            </w:pPr>
            <w:r>
              <w:rPr>
                <w:rFonts w:ascii="Arial" w:cs="Arial" w:eastAsia="Arial" w:hAnsi="Arial"/>
                <w:sz w:val="18"/>
                <w:szCs w:val="18"/>
                <w:color w:val="auto"/>
                <w:w w:val="92"/>
              </w:rPr>
              <w:t>0%</w:t>
            </w:r>
          </w:p>
        </w:tc>
      </w:tr>
    </w:tbl>
    <w:p>
      <w:pPr>
        <w:spacing w:after="0" w:line="111"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Non-employee stock option awards were measured at fair value at each reporting period using a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5480" w:type="dxa"/>
            <w:vAlign w:val="bottom"/>
          </w:tcPr>
          <w:p>
            <w:pPr>
              <w:ind w:left="3820"/>
              <w:spacing w:after="0"/>
              <w:rPr>
                <w:sz w:val="20"/>
                <w:szCs w:val="20"/>
                <w:color w:val="auto"/>
              </w:rPr>
            </w:pPr>
            <w:r>
              <w:rPr>
                <w:rFonts w:ascii="Arial" w:cs="Arial" w:eastAsia="Arial" w:hAnsi="Arial"/>
                <w:sz w:val="18"/>
                <w:szCs w:val="18"/>
                <w:b w:val="1"/>
                <w:bCs w:val="1"/>
                <w:color w:val="auto"/>
                <w:w w:val="98"/>
              </w:rPr>
              <w:t>Nine months ended</w:t>
            </w:r>
          </w:p>
        </w:tc>
      </w:tr>
      <w:tr>
        <w:trPr>
          <w:trHeight w:val="221"/>
        </w:trPr>
        <w:tc>
          <w:tcPr>
            <w:tcW w:w="20" w:type="dxa"/>
            <w:vAlign w:val="bottom"/>
          </w:tcPr>
          <w:p>
            <w:pPr>
              <w:spacing w:after="0"/>
              <w:rPr>
                <w:sz w:val="19"/>
                <w:szCs w:val="19"/>
                <w:color w:val="auto"/>
              </w:rPr>
            </w:pPr>
          </w:p>
        </w:tc>
        <w:tc>
          <w:tcPr>
            <w:tcW w:w="55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ind w:left="3820"/>
              <w:spacing w:after="0"/>
              <w:rPr>
                <w:sz w:val="20"/>
                <w:szCs w:val="20"/>
                <w:color w:val="auto"/>
              </w:rPr>
            </w:pPr>
            <w:r>
              <w:rPr>
                <w:rFonts w:ascii="Arial" w:cs="Arial" w:eastAsia="Arial" w:hAnsi="Arial"/>
                <w:sz w:val="18"/>
                <w:szCs w:val="18"/>
                <w:b w:val="1"/>
                <w:bCs w:val="1"/>
                <w:color w:val="auto"/>
                <w:w w:val="97"/>
              </w:rPr>
              <w:t>September 30, 2019</w:t>
            </w: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5480" w:type="dxa"/>
            <w:vAlign w:val="bottom"/>
            <w:shd w:val="clear" w:color="auto" w:fill="CCEEFF"/>
          </w:tcPr>
          <w:p>
            <w:pPr>
              <w:jc w:val="center"/>
              <w:ind w:left="3712"/>
              <w:spacing w:after="0" w:line="196" w:lineRule="exact"/>
              <w:rPr>
                <w:sz w:val="20"/>
                <w:szCs w:val="20"/>
                <w:color w:val="auto"/>
              </w:rPr>
            </w:pPr>
            <w:r>
              <w:rPr>
                <w:rFonts w:ascii="Arial" w:cs="Arial" w:eastAsia="Arial" w:hAnsi="Arial"/>
                <w:sz w:val="18"/>
                <w:szCs w:val="18"/>
                <w:color w:val="auto"/>
                <w:w w:val="99"/>
              </w:rPr>
              <w:t>6-10</w:t>
            </w: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5480" w:type="dxa"/>
            <w:vAlign w:val="bottom"/>
          </w:tcPr>
          <w:p>
            <w:pPr>
              <w:jc w:val="center"/>
              <w:ind w:left="3712"/>
              <w:spacing w:after="0" w:line="202" w:lineRule="exact"/>
              <w:rPr>
                <w:sz w:val="20"/>
                <w:szCs w:val="20"/>
                <w:color w:val="auto"/>
              </w:rPr>
            </w:pPr>
            <w:r>
              <w:rPr>
                <w:rFonts w:ascii="Arial" w:cs="Arial" w:eastAsia="Arial" w:hAnsi="Arial"/>
                <w:sz w:val="18"/>
                <w:szCs w:val="18"/>
                <w:color w:val="auto"/>
                <w:w w:val="96"/>
              </w:rPr>
              <w:t>79-83%</w:t>
            </w: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5480" w:type="dxa"/>
            <w:vAlign w:val="bottom"/>
            <w:shd w:val="clear" w:color="auto" w:fill="CCEEFF"/>
          </w:tcPr>
          <w:p>
            <w:pPr>
              <w:jc w:val="center"/>
              <w:ind w:left="3712"/>
              <w:spacing w:after="0" w:line="202" w:lineRule="exact"/>
              <w:rPr>
                <w:sz w:val="20"/>
                <w:szCs w:val="20"/>
                <w:color w:val="auto"/>
              </w:rPr>
            </w:pPr>
            <w:r>
              <w:rPr>
                <w:rFonts w:ascii="Arial" w:cs="Arial" w:eastAsia="Arial" w:hAnsi="Arial"/>
                <w:sz w:val="18"/>
                <w:szCs w:val="18"/>
                <w:color w:val="auto"/>
                <w:w w:val="95"/>
              </w:rPr>
              <w:t>1.7%-2.6%</w:t>
            </w:r>
          </w:p>
        </w:tc>
      </w:tr>
      <w:tr>
        <w:trPr>
          <w:trHeight w:val="215"/>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Dividend yield</w:t>
            </w:r>
          </w:p>
        </w:tc>
        <w:tc>
          <w:tcPr>
            <w:tcW w:w="5480" w:type="dxa"/>
            <w:vAlign w:val="bottom"/>
            <w:tcBorders>
              <w:bottom w:val="single" w:sz="8" w:color="auto"/>
            </w:tcBorders>
          </w:tcPr>
          <w:p>
            <w:pPr>
              <w:jc w:val="center"/>
              <w:ind w:left="3712"/>
              <w:spacing w:after="0"/>
              <w:rPr>
                <w:sz w:val="20"/>
                <w:szCs w:val="20"/>
                <w:color w:val="auto"/>
              </w:rPr>
            </w:pPr>
            <w:r>
              <w:rPr>
                <w:rFonts w:ascii="Arial" w:cs="Arial" w:eastAsia="Arial" w:hAnsi="Arial"/>
                <w:sz w:val="18"/>
                <w:szCs w:val="18"/>
                <w:color w:val="auto"/>
                <w:w w:val="92"/>
              </w:rPr>
              <w:t>0%</w:t>
            </w:r>
          </w:p>
        </w:tc>
      </w:tr>
    </w:tbl>
    <w:p>
      <w:pPr>
        <w:spacing w:after="0" w:line="111" w:lineRule="exact"/>
        <w:rPr>
          <w:sz w:val="20"/>
          <w:szCs w:val="20"/>
          <w:color w:val="auto"/>
        </w:rPr>
      </w:pPr>
    </w:p>
    <w:p>
      <w:pPr>
        <w:ind w:left="200" w:right="80"/>
        <w:spacing w:after="0" w:line="271" w:lineRule="auto"/>
        <w:rPr>
          <w:sz w:val="20"/>
          <w:szCs w:val="20"/>
          <w:color w:val="auto"/>
        </w:rPr>
      </w:pPr>
      <w:r>
        <w:rPr>
          <w:rFonts w:ascii="Arial" w:cs="Arial" w:eastAsia="Arial" w:hAnsi="Arial"/>
          <w:sz w:val="16"/>
          <w:szCs w:val="16"/>
          <w:color w:val="auto"/>
        </w:rPr>
        <w:t>The fair value of the shares of common stock underlying stock options has historically been determined by the Company’s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redeemable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Black-Scholes model assumptions that determine the fair value of stock-based awards include:</w:t>
      </w:r>
    </w:p>
    <w:p>
      <w:pPr>
        <w:spacing w:after="0" w:line="84" w:lineRule="exact"/>
        <w:rPr>
          <w:sz w:val="20"/>
          <w:szCs w:val="20"/>
          <w:color w:val="auto"/>
        </w:rPr>
      </w:pPr>
    </w:p>
    <w:p>
      <w:pPr>
        <w:jc w:val="both"/>
        <w:ind w:left="200" w:right="360"/>
        <w:spacing w:after="0" w:line="248"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represents the weighted-average period the stock options are expected to remain outstanding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the options’ vesting terms, contractual terms and industry peers, as the Company did not have sufficient historical information to develop reasonable expectations about future exercise patterns and post-vesting employment termination behavior.</w:t>
      </w:r>
    </w:p>
    <w:p>
      <w:pPr>
        <w:spacing w:after="0" w:line="74" w:lineRule="exact"/>
        <w:rPr>
          <w:sz w:val="20"/>
          <w:szCs w:val="20"/>
          <w:color w:val="auto"/>
        </w:rPr>
      </w:pPr>
    </w:p>
    <w:p>
      <w:pPr>
        <w:ind w:left="200" w:right="120"/>
        <w:spacing w:after="0" w:line="244" w:lineRule="auto"/>
        <w:rPr>
          <w:sz w:val="20"/>
          <w:szCs w:val="20"/>
          <w:color w:val="auto"/>
        </w:rPr>
      </w:pPr>
      <w:r>
        <w:rPr>
          <w:rFonts w:ascii="Arial" w:cs="Arial" w:eastAsia="Arial" w:hAnsi="Arial"/>
          <w:sz w:val="18"/>
          <w:szCs w:val="18"/>
          <w:b w:val="1"/>
          <w:bCs w:val="1"/>
          <w:i w:val="1"/>
          <w:iCs w:val="1"/>
          <w:color w:val="auto"/>
        </w:rPr>
        <w:t>Expected volatility</w:t>
      </w:r>
      <w:r>
        <w:rPr>
          <w:rFonts w:ascii="Arial" w:cs="Arial" w:eastAsia="Arial" w:hAnsi="Arial"/>
          <w:sz w:val="18"/>
          <w:szCs w:val="18"/>
          <w:color w:val="auto"/>
        </w:rPr>
        <w:t>—Since the Company is privately held and does not have any trading history for its common stock, the expected volatility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estimated based on the average volatility for comparable publicly traded biotechnology companies over a period equal to the expected term of the stock option grants. The comparable companies were chosen based on their similar size, stage in the life cycle or area of specialty.</w:t>
      </w:r>
    </w:p>
    <w:p>
      <w:pPr>
        <w:spacing w:after="0" w:line="77" w:lineRule="exact"/>
        <w:rPr>
          <w:sz w:val="20"/>
          <w:szCs w:val="20"/>
          <w:color w:val="auto"/>
        </w:rPr>
      </w:pPr>
    </w:p>
    <w:p>
      <w:pPr>
        <w:ind w:left="200" w:right="120"/>
        <w:spacing w:after="0" w:line="262"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with the expected term of option.</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Expected dividend</w:t>
      </w:r>
      <w:r>
        <w:rPr>
          <w:rFonts w:ascii="Arial" w:cs="Arial" w:eastAsia="Arial" w:hAnsi="Arial"/>
          <w:sz w:val="16"/>
          <w:szCs w:val="16"/>
          <w:color w:val="auto"/>
        </w:rPr>
        <w:t>—The Company has never paid dividends on its common stock and has no plans to pay dividends on its common stock.</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Therefore, the Company used an expected dividend yield of zero.</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240" w:top="460" w:right="41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stock-based compensation expense by function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7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8"/>
                <w:szCs w:val="18"/>
                <w:b w:val="1"/>
                <w:bCs w:val="1"/>
                <w:color w:val="auto"/>
              </w:rPr>
              <w:t>Nine months ended September 30,</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40" w:type="dxa"/>
            <w:vAlign w:val="bottom"/>
            <w:gridSpan w:val="2"/>
          </w:tcPr>
          <w:p>
            <w:pPr>
              <w:jc w:val="right"/>
              <w:ind w:right="72"/>
              <w:spacing w:after="0" w:line="196" w:lineRule="exact"/>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3540" w:type="dxa"/>
            <w:vAlign w:val="bottom"/>
            <w:gridSpan w:val="2"/>
            <w:shd w:val="clear" w:color="auto" w:fill="CCEEFF"/>
          </w:tcPr>
          <w:p>
            <w:pPr>
              <w:jc w:val="right"/>
              <w:ind w:right="79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380</w:t>
            </w:r>
          </w:p>
        </w:tc>
        <w:tc>
          <w:tcPr>
            <w:tcW w:w="8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w:t>
            </w:r>
          </w:p>
        </w:tc>
        <w:tc>
          <w:tcPr>
            <w:tcW w:w="60" w:type="dxa"/>
            <w:vAlign w:val="bottom"/>
            <w:shd w:val="clear" w:color="auto" w:fill="CCEEFF"/>
          </w:tcPr>
          <w:p>
            <w:pPr>
              <w:spacing w:after="0"/>
              <w:rPr>
                <w:sz w:val="17"/>
                <w:szCs w:val="17"/>
                <w:color w:val="auto"/>
              </w:rPr>
            </w:pPr>
          </w:p>
        </w:tc>
      </w:tr>
      <w:tr>
        <w:trPr>
          <w:trHeight w:val="210"/>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w:t>
            </w:r>
          </w:p>
        </w:tc>
        <w:tc>
          <w:tcPr>
            <w:tcW w:w="25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line="202" w:lineRule="exact"/>
              <w:rPr>
                <w:sz w:val="20"/>
                <w:szCs w:val="20"/>
                <w:color w:val="auto"/>
              </w:rPr>
            </w:pPr>
            <w:r>
              <w:rPr>
                <w:rFonts w:ascii="Arial" w:cs="Arial" w:eastAsia="Arial" w:hAnsi="Arial"/>
                <w:sz w:val="18"/>
                <w:szCs w:val="18"/>
                <w:color w:val="auto"/>
              </w:rPr>
              <w:t>194</w:t>
            </w: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540" w:type="dxa"/>
            <w:vAlign w:val="bottom"/>
            <w:gridSpan w:val="2"/>
            <w:shd w:val="clear" w:color="auto" w:fill="CCEEFF"/>
          </w:tcPr>
          <w:p>
            <w:pPr>
              <w:jc w:val="right"/>
              <w:ind w:right="79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574</w:t>
            </w:r>
          </w:p>
        </w:tc>
        <w:tc>
          <w:tcPr>
            <w:tcW w:w="8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760"/>
        <w:spacing w:after="0" w:line="239" w:lineRule="auto"/>
        <w:rPr>
          <w:sz w:val="20"/>
          <w:szCs w:val="20"/>
          <w:color w:val="auto"/>
        </w:rPr>
      </w:pPr>
      <w:r>
        <w:rPr>
          <w:rFonts w:ascii="Arial" w:cs="Arial" w:eastAsia="Arial" w:hAnsi="Arial"/>
          <w:sz w:val="18"/>
          <w:szCs w:val="18"/>
          <w:color w:val="auto"/>
        </w:rPr>
        <w:t>Stock-based compensation related to options granted to non-employees was $0.2 million and $0.3 million for the nine months ended September 30, 2018 and 2019, respectively.</w:t>
      </w:r>
    </w:p>
    <w:p>
      <w:pPr>
        <w:spacing w:after="0" w:line="101"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Company allows its employees, non-employees and directors to exercise options granted under the 2014 Plan prior to vesting. The shares related to early exercised stock options are subject to the Company’s lapsing repurchase right upon termination of employment at the original purchase price. In order to vest, the holders are required to provide continued service to the Company. The proceeds are initially recorded in other noncurrent liabilities and are reclassified to common stock and additional paid-in capital as the repurchase right lapses. As of December 31, 2018 and September 30, 2019, there were 615,742 and 424,780 shares, respectively, and $0.3 million and $0.4 million, respectively, recorded in other noncurrent liabilities, related to early exercised shares that were subject to repurchase.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 Income taxes</w:t>
      </w:r>
    </w:p>
    <w:p>
      <w:pPr>
        <w:spacing w:after="0" w:line="134" w:lineRule="exact"/>
        <w:rPr>
          <w:sz w:val="20"/>
          <w:szCs w:val="20"/>
          <w:color w:val="auto"/>
        </w:rPr>
      </w:pPr>
    </w:p>
    <w:p>
      <w:pPr>
        <w:jc w:val="both"/>
        <w:ind w:left="200" w:right="560"/>
        <w:spacing w:after="0" w:line="238" w:lineRule="auto"/>
        <w:rPr>
          <w:sz w:val="20"/>
          <w:szCs w:val="20"/>
          <w:color w:val="auto"/>
        </w:rPr>
      </w:pPr>
      <w:r>
        <w:rPr>
          <w:rFonts w:ascii="Arial" w:cs="Arial" w:eastAsia="Arial" w:hAnsi="Arial"/>
          <w:sz w:val="18"/>
          <w:szCs w:val="18"/>
          <w:color w:val="auto"/>
        </w:rPr>
        <w:t>No provision for income taxes was recorded for the nine months ended September 30, 2018 and 2019. The Company has incurred net pre-tax losses in the United States only for all periods presented. The Company has not reflected any benefit of such net operating loss carryforwards in the accompanying condensed consolidated financial statements.</w:t>
      </w:r>
    </w:p>
    <w:p>
      <w:pPr>
        <w:spacing w:after="0" w:line="100" w:lineRule="exact"/>
        <w:rPr>
          <w:sz w:val="20"/>
          <w:szCs w:val="20"/>
          <w:color w:val="auto"/>
        </w:rPr>
      </w:pPr>
    </w:p>
    <w:p>
      <w:pPr>
        <w:jc w:val="both"/>
        <w:ind w:left="200" w:right="340"/>
        <w:spacing w:after="0" w:line="238" w:lineRule="auto"/>
        <w:rPr>
          <w:sz w:val="20"/>
          <w:szCs w:val="20"/>
          <w:color w:val="auto"/>
        </w:rPr>
      </w:pPr>
      <w:r>
        <w:rPr>
          <w:rFonts w:ascii="Arial" w:cs="Arial" w:eastAsia="Arial" w:hAnsi="Arial"/>
          <w:sz w:val="18"/>
          <w:szCs w:val="18"/>
          <w:color w:val="auto"/>
        </w:rPr>
        <w:t>During the nine months ended September 30, 2019, there were no material changes to the Company’s unrecognized tax benefits, and the Company does not expect to have any significant changes to unrecognized tax benefits through the end of the fiscal year. Because of the Company’s history of tax losses, all years remain open to tax audit.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240" w:top="459" w:right="41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13. Net loss per share attributable to common stockholders and unaudited pro forma net loss per share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20" w:type="dxa"/>
            <w:vAlign w:val="bottom"/>
          </w:tcPr>
          <w:p>
            <w:pPr>
              <w:spacing w:after="0"/>
              <w:rPr>
                <w:sz w:val="19"/>
                <w:szCs w:val="19"/>
                <w:color w:val="auto"/>
              </w:rPr>
            </w:pPr>
          </w:p>
        </w:tc>
        <w:tc>
          <w:tcPr>
            <w:tcW w:w="6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8"/>
                <w:szCs w:val="18"/>
                <w:b w:val="1"/>
                <w:bCs w:val="1"/>
                <w:color w:val="auto"/>
              </w:rPr>
              <w:t>2018</w:t>
            </w:r>
          </w:p>
        </w:tc>
        <w:tc>
          <w:tcPr>
            <w:tcW w:w="6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gridSpan w:val="4"/>
          </w:tcPr>
          <w:p>
            <w:pPr>
              <w:jc w:val="right"/>
              <w:ind w:right="440"/>
              <w:spacing w:after="0" w:line="177" w:lineRule="exact"/>
              <w:rPr>
                <w:sz w:val="20"/>
                <w:szCs w:val="20"/>
                <w:color w:val="auto"/>
              </w:rPr>
            </w:pPr>
            <w:r>
              <w:rPr>
                <w:rFonts w:ascii="Arial" w:cs="Arial" w:eastAsia="Arial" w:hAnsi="Arial"/>
                <w:sz w:val="18"/>
                <w:szCs w:val="18"/>
                <w:b w:val="1"/>
                <w:bCs w:val="1"/>
                <w:color w:val="auto"/>
              </w:rPr>
              <w:t>(in thousands, except share and per</w:t>
            </w:r>
          </w:p>
        </w:tc>
      </w:tr>
      <w:tr>
        <w:trPr>
          <w:trHeight w:val="233"/>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share data)</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6"/>
        </w:trPr>
        <w:tc>
          <w:tcPr>
            <w:tcW w:w="668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8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(30,450)</w:t>
            </w:r>
          </w:p>
        </w:tc>
        <w:tc>
          <w:tcPr>
            <w:tcW w:w="6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(33,068)</w:t>
            </w: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dividends-undeclared and cumulative</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(4,512)</w:t>
            </w:r>
          </w:p>
        </w:tc>
        <w:tc>
          <w:tcPr>
            <w:tcW w:w="6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(9,987)</w:t>
            </w:r>
          </w:p>
        </w:tc>
      </w:tr>
      <w:tr>
        <w:trPr>
          <w:trHeight w:val="20"/>
        </w:trPr>
        <w:tc>
          <w:tcPr>
            <w:tcW w:w="6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6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272"/>
              <w:spacing w:after="0"/>
              <w:rPr>
                <w:sz w:val="20"/>
                <w:szCs w:val="20"/>
                <w:color w:val="auto"/>
              </w:rPr>
            </w:pPr>
            <w:r>
              <w:rPr>
                <w:rFonts w:ascii="Arial" w:cs="Arial" w:eastAsia="Arial" w:hAnsi="Arial"/>
                <w:sz w:val="18"/>
                <w:szCs w:val="18"/>
                <w:color w:val="auto"/>
              </w:rPr>
              <w:t>(34,962)</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(43,055)</w:t>
            </w:r>
          </w:p>
        </w:tc>
      </w:tr>
      <w:tr>
        <w:trPr>
          <w:trHeight w:val="75"/>
        </w:trPr>
        <w:tc>
          <w:tcPr>
            <w:tcW w:w="20" w:type="dxa"/>
            <w:vAlign w:val="bottom"/>
          </w:tcPr>
          <w:p>
            <w:pPr>
              <w:spacing w:after="0"/>
              <w:rPr>
                <w:sz w:val="6"/>
                <w:szCs w:val="6"/>
                <w:color w:val="auto"/>
              </w:rPr>
            </w:pPr>
          </w:p>
        </w:tc>
        <w:tc>
          <w:tcPr>
            <w:tcW w:w="6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6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8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shares outstanding</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3,102,852</w:t>
            </w:r>
          </w:p>
        </w:tc>
        <w:tc>
          <w:tcPr>
            <w:tcW w:w="6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3,209,801</w:t>
            </w:r>
          </w:p>
        </w:tc>
        <w:tc>
          <w:tcPr>
            <w:tcW w:w="1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6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Less: Weighted-average unvested restricted shares and shares subject to</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repurchase</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272"/>
              <w:spacing w:after="0" w:line="200" w:lineRule="exact"/>
              <w:rPr>
                <w:sz w:val="20"/>
                <w:szCs w:val="20"/>
                <w:color w:val="auto"/>
              </w:rPr>
            </w:pPr>
            <w:r>
              <w:rPr>
                <w:rFonts w:ascii="Arial" w:cs="Arial" w:eastAsia="Arial" w:hAnsi="Arial"/>
                <w:sz w:val="18"/>
                <w:szCs w:val="18"/>
                <w:color w:val="auto"/>
              </w:rPr>
              <w:t>(885,693)</w:t>
            </w:r>
          </w:p>
        </w:tc>
        <w:tc>
          <w:tcPr>
            <w:tcW w:w="6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(486,260)</w:t>
            </w:r>
          </w:p>
        </w:tc>
      </w:tr>
      <w:tr>
        <w:trPr>
          <w:trHeight w:val="213"/>
        </w:trPr>
        <w:tc>
          <w:tcPr>
            <w:tcW w:w="668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net loss per share attributable to</w:t>
            </w:r>
          </w:p>
        </w:tc>
        <w:tc>
          <w:tcPr>
            <w:tcW w:w="6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660" w:type="dxa"/>
            <w:vAlign w:val="bottom"/>
          </w:tcPr>
          <w:p>
            <w:pPr>
              <w:ind w:left="200"/>
              <w:spacing w:after="0" w:line="200" w:lineRule="exact"/>
              <w:rPr>
                <w:sz w:val="20"/>
                <w:szCs w:val="20"/>
                <w:color w:val="auto"/>
              </w:rPr>
            </w:pPr>
            <w:r>
              <w:rPr>
                <w:rFonts w:ascii="Arial" w:cs="Arial" w:eastAsia="Arial" w:hAnsi="Arial"/>
                <w:sz w:val="18"/>
                <w:szCs w:val="18"/>
                <w:color w:val="auto"/>
              </w:rPr>
              <w:t>common stockholders-basic and diluted</w:t>
            </w:r>
          </w:p>
        </w:tc>
        <w:tc>
          <w:tcPr>
            <w:tcW w:w="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32"/>
              <w:spacing w:after="0" w:line="200" w:lineRule="exact"/>
              <w:rPr>
                <w:sz w:val="20"/>
                <w:szCs w:val="20"/>
                <w:color w:val="auto"/>
              </w:rPr>
            </w:pPr>
            <w:r>
              <w:rPr>
                <w:rFonts w:ascii="Arial" w:cs="Arial" w:eastAsia="Arial" w:hAnsi="Arial"/>
                <w:sz w:val="18"/>
                <w:szCs w:val="18"/>
                <w:color w:val="auto"/>
              </w:rPr>
              <w:t>2,217,159</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2,723,541</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8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(15.77)</w:t>
            </w:r>
          </w:p>
        </w:tc>
        <w:tc>
          <w:tcPr>
            <w:tcW w:w="6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(15.81)</w:t>
            </w:r>
          </w:p>
        </w:tc>
      </w:tr>
      <w:tr>
        <w:trPr>
          <w:trHeight w:val="20"/>
        </w:trPr>
        <w:tc>
          <w:tcPr>
            <w:tcW w:w="20" w:type="dxa"/>
            <w:vAlign w:val="bottom"/>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440" w:type="dxa"/>
            <w:vAlign w:val="bottom"/>
            <w:tcBorders>
              <w:bottom w:val="single" w:sz="8" w:color="auto"/>
            </w:tcBorders>
            <w:gridSpan w:val="2"/>
          </w:tcPr>
          <w:p>
            <w:pPr>
              <w:jc w:val="right"/>
              <w:ind w:right="532"/>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530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5300" w:type="dxa"/>
            <w:vAlign w:val="bottom"/>
            <w:gridSpan w:val="2"/>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22,161,954</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39,600,423</w:t>
            </w:r>
          </w:p>
        </w:tc>
        <w:tc>
          <w:tcPr>
            <w:tcW w:w="100" w:type="dxa"/>
            <w:vAlign w:val="bottom"/>
            <w:shd w:val="clear" w:color="auto" w:fill="CCEEFF"/>
          </w:tcPr>
          <w:p>
            <w:pPr>
              <w:spacing w:after="0"/>
              <w:rPr>
                <w:sz w:val="17"/>
                <w:szCs w:val="17"/>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5300" w:type="dxa"/>
            <w:vAlign w:val="bottom"/>
            <w:gridSpan w:val="2"/>
          </w:tcPr>
          <w:p>
            <w:pPr>
              <w:jc w:val="right"/>
              <w:ind w:right="132"/>
              <w:spacing w:after="0" w:line="202" w:lineRule="exact"/>
              <w:rPr>
                <w:sz w:val="20"/>
                <w:szCs w:val="20"/>
                <w:color w:val="auto"/>
              </w:rPr>
            </w:pPr>
            <w:r>
              <w:rPr>
                <w:rFonts w:ascii="Arial" w:cs="Arial" w:eastAsia="Arial" w:hAnsi="Arial"/>
                <w:sz w:val="18"/>
                <w:szCs w:val="18"/>
                <w:color w:val="auto"/>
              </w:rPr>
              <w:t>1,796,518</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4,670,745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early exercised subject to future vesting</w:t>
            </w:r>
          </w:p>
        </w:tc>
        <w:tc>
          <w:tcPr>
            <w:tcW w:w="530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826,355</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424,780</w:t>
            </w:r>
          </w:p>
        </w:tc>
        <w:tc>
          <w:tcPr>
            <w:tcW w:w="100" w:type="dxa"/>
            <w:vAlign w:val="bottom"/>
            <w:shd w:val="clear" w:color="auto" w:fill="CCEEFF"/>
          </w:tcPr>
          <w:p>
            <w:pPr>
              <w:spacing w:after="0"/>
              <w:rPr>
                <w:sz w:val="17"/>
                <w:szCs w:val="17"/>
                <w:color w:val="auto"/>
              </w:rPr>
            </w:pPr>
          </w:p>
        </w:tc>
      </w:tr>
      <w:tr>
        <w:trPr>
          <w:trHeight w:val="210"/>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Restricted stock subject to future vesting</w:t>
            </w:r>
          </w:p>
        </w:tc>
        <w:tc>
          <w:tcPr>
            <w:tcW w:w="3960" w:type="dxa"/>
            <w:vAlign w:val="bottom"/>
          </w:tcPr>
          <w:p>
            <w:pPr>
              <w:spacing w:after="0"/>
              <w:rPr>
                <w:sz w:val="18"/>
                <w:szCs w:val="18"/>
                <w:color w:val="auto"/>
              </w:rPr>
            </w:pP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17,767</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24,802,594</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44,695,948</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300" w:type="dxa"/>
            <w:vAlign w:val="bottom"/>
            <w:gridSpan w:val="2"/>
          </w:tcPr>
          <w:p>
            <w:pPr>
              <w:jc w:val="right"/>
              <w:ind w:right="4052"/>
              <w:spacing w:after="0"/>
              <w:rPr>
                <w:sz w:val="20"/>
                <w:szCs w:val="20"/>
                <w:color w:val="auto"/>
              </w:rPr>
            </w:pPr>
            <w:r>
              <w:rPr>
                <w:rFonts w:ascii="Arial" w:cs="Arial" w:eastAsia="Arial" w:hAnsi="Arial"/>
                <w:sz w:val="18"/>
                <w:szCs w:val="18"/>
                <w:color w:val="auto"/>
              </w:rPr>
              <w:t>F-64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 forma net loss per share</w:t>
      </w:r>
    </w:p>
    <w:p>
      <w:pPr>
        <w:spacing w:after="0" w:line="124"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The following table sets forth the computation of pro forma basic and diluted net loss per share 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rPr>
              <w:t>September 30, 2019</w:t>
            </w:r>
          </w:p>
        </w:tc>
      </w:tr>
      <w:tr>
        <w:trPr>
          <w:trHeight w:val="177"/>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220"/>
              <w:spacing w:after="0" w:line="177" w:lineRule="exact"/>
              <w:rPr>
                <w:sz w:val="20"/>
                <w:szCs w:val="20"/>
                <w:color w:val="auto"/>
              </w:rPr>
            </w:pPr>
            <w:r>
              <w:rPr>
                <w:rFonts w:ascii="Arial" w:cs="Arial" w:eastAsia="Arial" w:hAnsi="Arial"/>
                <w:sz w:val="18"/>
                <w:szCs w:val="18"/>
                <w:b w:val="1"/>
                <w:bCs w:val="1"/>
                <w:color w:val="auto"/>
                <w:w w:val="97"/>
              </w:rPr>
              <w:t>(in thousands,</w:t>
            </w:r>
          </w:p>
        </w:tc>
      </w:tr>
      <w:tr>
        <w:trPr>
          <w:trHeight w:val="203"/>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6"/>
              </w:rPr>
              <w:t>except share and</w:t>
            </w:r>
          </w:p>
        </w:tc>
      </w:tr>
      <w:tr>
        <w:trPr>
          <w:trHeight w:val="221"/>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per share data)</w:t>
            </w: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700" w:type="dxa"/>
            <w:vAlign w:val="bottom"/>
            <w:gridSpan w:val="2"/>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68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(43,055)</w:t>
            </w: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Redeemable convertible preferred stock dividends-undeclared and cumulative</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9,987</w:t>
            </w:r>
          </w:p>
        </w:tc>
        <w:tc>
          <w:tcPr>
            <w:tcW w:w="120" w:type="dxa"/>
            <w:vAlign w:val="bottom"/>
            <w:shd w:val="clear" w:color="auto" w:fill="CCEEFF"/>
          </w:tcPr>
          <w:p>
            <w:pPr>
              <w:spacing w:after="0"/>
              <w:rPr>
                <w:sz w:val="17"/>
                <w:szCs w:val="17"/>
                <w:color w:val="auto"/>
              </w:rPr>
            </w:pPr>
          </w:p>
        </w:tc>
      </w:tr>
      <w:tr>
        <w:trPr>
          <w:trHeight w:val="221"/>
        </w:trPr>
        <w:tc>
          <w:tcPr>
            <w:tcW w:w="870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(33,068)</w:t>
            </w:r>
          </w:p>
        </w:tc>
      </w:tr>
      <w:tr>
        <w:trPr>
          <w:trHeight w:val="56"/>
        </w:trPr>
        <w:tc>
          <w:tcPr>
            <w:tcW w:w="870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8700" w:type="dxa"/>
            <w:vAlign w:val="bottom"/>
            <w:gridSpan w:val="2"/>
          </w:tcPr>
          <w:p>
            <w:pPr>
              <w:spacing w:after="0" w:line="206" w:lineRule="exact"/>
              <w:rPr>
                <w:sz w:val="20"/>
                <w:szCs w:val="20"/>
                <w:color w:val="auto"/>
              </w:rPr>
            </w:pPr>
            <w:r>
              <w:rPr>
                <w:rFonts w:ascii="Arial" w:cs="Arial" w:eastAsia="Arial" w:hAnsi="Arial"/>
                <w:sz w:val="18"/>
                <w:szCs w:val="18"/>
                <w:color w:val="auto"/>
              </w:rPr>
              <w:t>Weighted-average shares used to compute net loss per share attributable to common stockholders-basic</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680" w:type="dxa"/>
            <w:vAlign w:val="bottom"/>
          </w:tcPr>
          <w:p>
            <w:pPr>
              <w:ind w:left="200"/>
              <w:spacing w:after="0" w:line="200" w:lineRule="exact"/>
              <w:rPr>
                <w:sz w:val="20"/>
                <w:szCs w:val="20"/>
                <w:color w:val="auto"/>
              </w:rPr>
            </w:pPr>
            <w:r>
              <w:rPr>
                <w:rFonts w:ascii="Arial" w:cs="Arial" w:eastAsia="Arial" w:hAnsi="Arial"/>
                <w:sz w:val="18"/>
                <w:szCs w:val="18"/>
                <w:color w:val="auto"/>
              </w:rPr>
              <w:t>and diluted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line="200" w:lineRule="exact"/>
              <w:rPr>
                <w:sz w:val="20"/>
                <w:szCs w:val="20"/>
                <w:color w:val="auto"/>
              </w:rPr>
            </w:pPr>
            <w:r>
              <w:rPr>
                <w:rFonts w:ascii="Arial" w:cs="Arial" w:eastAsia="Arial" w:hAnsi="Arial"/>
                <w:sz w:val="18"/>
                <w:szCs w:val="18"/>
                <w:color w:val="auto"/>
              </w:rPr>
              <w:t>2,723,541</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to reflect conversion of redeemable convertible preferred stock</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33,749,580</w:t>
            </w:r>
          </w:p>
        </w:tc>
        <w:tc>
          <w:tcPr>
            <w:tcW w:w="120" w:type="dxa"/>
            <w:vAlign w:val="bottom"/>
            <w:shd w:val="clear" w:color="auto" w:fill="CCEEFF"/>
          </w:tcPr>
          <w:p>
            <w:pPr>
              <w:spacing w:after="0"/>
              <w:rPr>
                <w:sz w:val="17"/>
                <w:szCs w:val="17"/>
                <w:color w:val="auto"/>
              </w:rPr>
            </w:pPr>
          </w:p>
        </w:tc>
      </w:tr>
      <w:tr>
        <w:trPr>
          <w:trHeight w:val="217"/>
        </w:trPr>
        <w:tc>
          <w:tcPr>
            <w:tcW w:w="870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pro forma net loss per share-basic and diluted</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36,473,121</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w:t>
            </w:r>
          </w:p>
        </w:tc>
        <w:tc>
          <w:tcPr>
            <w:tcW w:w="68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(0.91)</w:t>
            </w:r>
          </w:p>
        </w:tc>
      </w:tr>
      <w:tr>
        <w:trPr>
          <w:trHeight w:val="20"/>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 Related party relationships</w:t>
      </w:r>
    </w:p>
    <w:p>
      <w:pPr>
        <w:spacing w:after="0" w:line="13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October 2018, the Company acquired all outstanding shares of Warp Drive Bio, Inc., or Warp Drive. In connection with the acquisition, the Company issued 6,797,915 shares of Series B redeemable convertible preferred stock (the Acquisition Shares). Of the Acquisition Shares, 1,708,824 shares of Series B redeemable convertible preferred stock were issued to entities affiliated with Third Rock Ventures, a related party. In addition, Alexis Borisy, who is currently a member of the Company’s board of directors and was a member of the Company’s board of directors at the time of the acquisition of Warp Drive, was then an affiliate of Third Rock Ventures. Of the Acquisition Shares, 3,363,050 shares of Series B redeemable convertible preferred stock were issued to Sanofi, which became a related party following the acquisition. See Note 7, “Sanofi collaboration agreement,” for a discussion of the Sanofi collaboration agreement.</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connection with the Company’s acquisition of Warp Drive, the Company assumed a Convertible Note issued by Warp Drive to an entity affiliated with Third Rock Ventures, dated October 8, 2018. The Convertible Note was issued in a principal amount of $2.0 million, with interest at an annual rate of 8% computed on the basis of a 360-day year. On October 30, 2018, at the Company’s election, the Company converted the Convertible Note into 200,493 shares of Series B redeemable convertible preferred stock which were issued to an entity affiliated with Third Rock Ventures pursuant to the terms of the Convertible Note.</w:t>
      </w:r>
    </w:p>
    <w:p>
      <w:pPr>
        <w:spacing w:after="0" w:line="103"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Following the Company’s acquisition of Warp Drive, in January 2019, the Company entered into a sublease agreement with Casma to sublease the Cambridge Lease. The sublease by Casma and related sublease payments by Casma to the Company are fully guaranteed by an affiliate of Third Rock Ventures.</w:t>
      </w:r>
    </w:p>
    <w:p>
      <w:pPr>
        <w:spacing w:after="0" w:line="100"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From July 2015 to June 2018, the Company subleased a portion of its Redwood City Lease to Pliant Therapeutics, Inc., an entity affiliated with Third Rock Ventures.</w:t>
      </w:r>
    </w:p>
    <w:p>
      <w:pPr>
        <w:spacing w:after="0" w:line="101"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In connection with the Company’s obligations and responsibilities under the Sanofi Agreement, in April 2019, the Company entered into a Clinical Supply Agreement with Genzyme Corporation, or Genzyme, an affiliate of</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240" w:top="459" w:right="41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Sanofi, and a Quality Agreement with Sanofi-Aventis Recherche &amp; Developpement, an affiliate of Sanofi. The Quality Agreement was amended in December 2019. Sanofi was a related party at the time both agreements were entered into. The Clinical Supply Agreement governs how the Company will oversee the manufacture and supply of any SHP2 inhibitors requested by Genzyme for use in its clinical development activities under the Sanofi Agreement and provides that Genzyme will compensate the Company for the costs to manufacture any such product plus a 10% fee. The Quality Agreement requires that the production of RMC-4630 meets certain quality standards and puts certain conditions on the Company’s arrangements with subcontractors. The Quality Agreement does not contemplate that any consideration be paid separate from the Sanofi Agreement.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15. Subsequent events</w:t>
      </w:r>
    </w:p>
    <w:p>
      <w:pPr>
        <w:spacing w:after="0" w:line="13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Subsequent events have been evaluated through January 10, 2020, which is the date that these condensed consolidated financial statements were available to be issued. The Company has also evaluated subsequent events through February 7, 2020 for the effects of the reverse stock split described in Note 2.</w:t>
      </w:r>
    </w:p>
    <w:p>
      <w:pPr>
        <w:spacing w:after="0" w:line="100"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 November 2019, the Company entered into a clinical trial collaboration agreement with Amgen, Inc. (Amgen) to evaluate the combination of the Company’s SHP2 inhibitor, RMC-4630, with Amgen’s KRAS</w:t>
      </w:r>
      <w:r>
        <w:rPr>
          <w:rFonts w:ascii="Arial" w:cs="Arial" w:eastAsia="Arial" w:hAnsi="Arial"/>
          <w:sz w:val="11"/>
          <w:szCs w:val="11"/>
          <w:color w:val="auto"/>
        </w:rPr>
        <w:t>G12C</w:t>
      </w:r>
      <w:r>
        <w:rPr>
          <w:rFonts w:ascii="Arial" w:cs="Arial" w:eastAsia="Arial" w:hAnsi="Arial"/>
          <w:sz w:val="18"/>
          <w:szCs w:val="18"/>
          <w:color w:val="auto"/>
        </w:rPr>
        <w:t xml:space="preserve"> inhibitor, AMG 510, in a clinical study. Amgen will be responsible for conducting the clinical study at their cost. The Company will be responsible for providing Amgen with clinical supply of RMC-4630 for the planned study.</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December 2019, the Company granted options to purchase 277,012 shares of common stock with an exercise price of $7.50.</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20"/>
          </w:cols>
          <w:pgMar w:left="24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Report of Independent Auditors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of Warp Drive Bio, Inc.:</w:t>
      </w:r>
    </w:p>
    <w:p>
      <w:pPr>
        <w:spacing w:after="0" w:line="5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We have audited the accompanying financial statements of Warp Drive Bio, Inc., which comprise the balance sheet as of December 31, 2017, and the related statements of operations and comprehensive loss, of convertible preferred stock and stockholders’ deficit and of cash flows for the year then ended.</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Management’s Responsibility for the Financial Statements</w:t>
      </w:r>
    </w:p>
    <w:p>
      <w:pPr>
        <w:spacing w:after="0" w:line="80"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color w:val="auto"/>
        </w:rPr>
        <w:t>Management is responsible for the preparation and fair presentation of the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Auditors’ Responsibility</w:t>
      </w:r>
    </w:p>
    <w:p>
      <w:pPr>
        <w:spacing w:after="0" w:line="8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Our responsibility is to express an opinion on the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46"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our judgment, including the assessment of the risks of material misstatement of the financial statements, whether due to fraud or error. In making those risk assessments, we consider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that the audit evidence we have obtained is sufficient and appropriate to provide a basis for our audit opinion.</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Opinion</w:t>
      </w:r>
    </w:p>
    <w:p>
      <w:pPr>
        <w:spacing w:after="0" w:line="8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Warp Drive Bio, Inc. as of December 31, 2017, and the results of its operations and its cash flows for the year then ended in accordance with accounting principles generally accepted in the United States of America.</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Emphasis of Matter</w:t>
      </w:r>
    </w:p>
    <w:p>
      <w:pPr>
        <w:spacing w:after="0" w:line="80" w:lineRule="exact"/>
        <w:rPr>
          <w:sz w:val="20"/>
          <w:szCs w:val="20"/>
          <w:color w:val="auto"/>
        </w:rPr>
      </w:pPr>
    </w:p>
    <w:p>
      <w:pPr>
        <w:ind w:left="200" w:right="120"/>
        <w:spacing w:after="0" w:line="273"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the Company has suffered recurring losses, will require additional financing to fund future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ind w:left="200"/>
        <w:spacing w:after="0" w:line="234" w:lineRule="auto"/>
        <w:rPr>
          <w:sz w:val="20"/>
          <w:szCs w:val="20"/>
          <w:color w:val="auto"/>
        </w:rPr>
      </w:pPr>
      <w:r>
        <w:rPr>
          <w:rFonts w:ascii="Arial" w:cs="Arial" w:eastAsia="Arial" w:hAnsi="Arial"/>
          <w:sz w:val="18"/>
          <w:szCs w:val="18"/>
          <w:color w:val="auto"/>
        </w:rPr>
        <w:t>Boston, Massachusetts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October 16, 2018</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00"/>
          </w:cols>
          <w:pgMar w:left="240" w:top="460"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Report of Independent Auditors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Warp Drive Bio, Inc.</w:t>
      </w:r>
    </w:p>
    <w:p>
      <w:pPr>
        <w:spacing w:after="0" w:line="104" w:lineRule="exact"/>
        <w:rPr>
          <w:sz w:val="20"/>
          <w:szCs w:val="20"/>
          <w:color w:val="auto"/>
        </w:rPr>
      </w:pPr>
    </w:p>
    <w:p>
      <w:pPr>
        <w:jc w:val="both"/>
        <w:ind w:left="200" w:right="360"/>
        <w:spacing w:after="0" w:line="238" w:lineRule="auto"/>
        <w:rPr>
          <w:sz w:val="20"/>
          <w:szCs w:val="20"/>
          <w:color w:val="auto"/>
        </w:rPr>
      </w:pPr>
      <w:r>
        <w:rPr>
          <w:rFonts w:ascii="Arial" w:cs="Arial" w:eastAsia="Arial" w:hAnsi="Arial"/>
          <w:sz w:val="18"/>
          <w:szCs w:val="18"/>
          <w:color w:val="auto"/>
        </w:rPr>
        <w:t>We have audited the accompanying financial statements of Warp Drive Bio, Inc. (the Company), which comprise the balance sheet as of December 31, 2016, and the related statements of operations and comprehensive loss, changes in stockholders’ (deficit) equity and cash flows for the year then ended, and the related notes to the financial statements.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Management’s Responsibility for the Financial Statements</w:t>
      </w:r>
    </w:p>
    <w:p>
      <w:pPr>
        <w:spacing w:after="0" w:line="134"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Auditor’s Responsibility</w:t>
      </w:r>
    </w:p>
    <w:p>
      <w:pPr>
        <w:spacing w:after="0" w:line="134"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00"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that the audit evidence we have obtained is sufficient and appropriate to provide a basis for our audit opinion.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Opinion</w:t>
      </w:r>
    </w:p>
    <w:p>
      <w:pPr>
        <w:spacing w:after="0" w:line="13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Warp Drive Bio, Inc. at December 31, 2016, and the results of its operations and its cash flows for the year then ended in conformity with U.S. generally accepted accounting principles.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The Company’s Ability to Continue as a Going Concern</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accompanying financial statements for the year ended December 31, 2016 have been prepared assuming that the Company will continue as a going concern. As discussed in Note 1 to the financial statements, the Company’s recurring use of cash to fund operations, recurring losses and net capital deficiency raise substantial doubt about its ability to continue as a going concern. Management’s plans in regard these matters are also discussed in Note 1 to the financial statements. The accompanying financial statements do not include any adjustments that might result from the outcome of this uncertainty. Our opinion is not modified with respect to this matter.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ind w:left="200"/>
        <w:spacing w:after="0" w:line="234" w:lineRule="auto"/>
        <w:rPr>
          <w:sz w:val="20"/>
          <w:szCs w:val="20"/>
          <w:color w:val="auto"/>
        </w:rPr>
      </w:pPr>
      <w:r>
        <w:rPr>
          <w:rFonts w:ascii="Arial" w:cs="Arial" w:eastAsia="Arial" w:hAnsi="Arial"/>
          <w:sz w:val="18"/>
          <w:szCs w:val="18"/>
          <w:color w:val="auto"/>
        </w:rPr>
        <w:t>Boston, MA</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2017, except for Notes 7, 8 and 13, as to which the date is September 19, 2019</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20"/>
          </w:cols>
          <w:pgMar w:left="24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7" w:lineRule="exact"/>
        <w:rPr>
          <w:sz w:val="20"/>
          <w:szCs w:val="20"/>
          <w:color w:val="auto"/>
        </w:rPr>
      </w:pPr>
    </w:p>
    <w:p>
      <w:pPr>
        <w:ind w:left="91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8890</wp:posOffset>
            </wp:positionV>
            <wp:extent cx="174117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6" w:lineRule="exact"/>
        <w:rPr>
          <w:sz w:val="20"/>
          <w:szCs w:val="20"/>
          <w:color w:val="auto"/>
        </w:rPr>
      </w:pPr>
    </w:p>
    <w:p>
      <w:pPr>
        <w:jc w:val="both"/>
        <w:ind w:left="8760"/>
        <w:spacing w:after="0"/>
        <w:tabs>
          <w:tab w:leader="none" w:pos="103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6997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60" w:right="479" w:bottom="1440" w:gutter="0" w:footer="0" w:header="0"/>
        </w:sectPr>
      </w:pP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1289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Cash and cash equivalents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Total current assets</w:t>
      </w:r>
    </w:p>
    <w:p>
      <w:pPr>
        <w:ind w:left="200"/>
        <w:spacing w:after="0" w:line="234" w:lineRule="auto"/>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Restricted cash</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assets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1289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Accounts payable</w:t>
      </w:r>
    </w:p>
    <w:p>
      <w:pPr>
        <w:ind w:left="420"/>
        <w:spacing w:after="0" w:line="235" w:lineRule="auto"/>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5" w:lineRule="auto"/>
        <w:rPr>
          <w:sz w:val="20"/>
          <w:szCs w:val="20"/>
          <w:color w:val="auto"/>
        </w:rPr>
      </w:pPr>
      <w:r>
        <w:rPr>
          <w:rFonts w:ascii="Arial" w:cs="Arial" w:eastAsia="Arial" w:hAnsi="Arial"/>
          <w:sz w:val="18"/>
          <w:szCs w:val="18"/>
          <w:color w:val="auto"/>
        </w:rPr>
        <w:t>Current portion of capital lease</w:t>
      </w:r>
    </w:p>
    <w:p>
      <w:pPr>
        <w:ind w:left="420"/>
        <w:spacing w:after="0" w:line="235" w:lineRule="auto"/>
        <w:rPr>
          <w:sz w:val="20"/>
          <w:szCs w:val="20"/>
          <w:color w:val="auto"/>
        </w:rPr>
      </w:pPr>
      <w:r>
        <w:rPr>
          <w:rFonts w:ascii="Arial" w:cs="Arial" w:eastAsia="Arial" w:hAnsi="Arial"/>
          <w:sz w:val="18"/>
          <w:szCs w:val="18"/>
          <w:color w:val="auto"/>
        </w:rPr>
        <w:t>Current portion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Current portion of deferred rent</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18"/>
          <w:szCs w:val="18"/>
          <w:color w:val="auto"/>
        </w:rPr>
        <w:t>Convertible Notes payable, related party</w:t>
      </w:r>
    </w:p>
    <w:p>
      <w:pPr>
        <w:ind w:left="200"/>
        <w:spacing w:after="0" w:line="235" w:lineRule="auto"/>
        <w:rPr>
          <w:sz w:val="20"/>
          <w:szCs w:val="20"/>
          <w:color w:val="auto"/>
        </w:rPr>
      </w:pPr>
      <w:r>
        <w:rPr>
          <w:rFonts w:ascii="Arial" w:cs="Arial" w:eastAsia="Arial" w:hAnsi="Arial"/>
          <w:sz w:val="18"/>
          <w:szCs w:val="18"/>
          <w:color w:val="auto"/>
        </w:rPr>
        <w:t>Capital lease,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Deferred revenue, less current portion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rent,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Total liabilities</w:t>
      </w:r>
    </w:p>
    <w:p>
      <w:pPr>
        <w:ind w:left="200"/>
        <w:spacing w:after="0" w:line="234" w:lineRule="auto"/>
        <w:rPr>
          <w:sz w:val="20"/>
          <w:szCs w:val="20"/>
          <w:color w:val="auto"/>
        </w:rPr>
      </w:pPr>
      <w:r>
        <w:rPr>
          <w:rFonts w:ascii="Arial" w:cs="Arial" w:eastAsia="Arial" w:hAnsi="Arial"/>
          <w:sz w:val="18"/>
          <w:szCs w:val="18"/>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Convertible preferred stock</w:t>
      </w:r>
    </w:p>
    <w:p>
      <w:pPr>
        <w:spacing w:after="0" w:line="1" w:lineRule="exact"/>
        <w:rPr>
          <w:sz w:val="20"/>
          <w:szCs w:val="20"/>
          <w:color w:val="auto"/>
        </w:rPr>
      </w:pPr>
    </w:p>
    <w:p>
      <w:pPr>
        <w:ind w:left="640" w:right="120" w:hanging="215"/>
        <w:spacing w:after="0" w:line="264" w:lineRule="auto"/>
        <w:rPr>
          <w:sz w:val="20"/>
          <w:szCs w:val="20"/>
          <w:color w:val="auto"/>
        </w:rPr>
      </w:pPr>
      <w:r>
        <w:rPr>
          <w:rFonts w:ascii="Arial" w:cs="Arial" w:eastAsia="Arial" w:hAnsi="Arial"/>
          <w:sz w:val="16"/>
          <w:szCs w:val="16"/>
          <w:color w:val="auto"/>
        </w:rPr>
        <w:t>Series A convertible preferred stock, $0.001 par value; 75,000,000 shares authorized, issued and outstanding at December 31, 2017 and 2016; aggregate liquidation preference of $99,983,111 and $93,983,111 at December 31, 2017 and 2016, respectively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Stockholders’ deficit</w:t>
      </w:r>
    </w:p>
    <w:p>
      <w:pPr>
        <w:ind w:left="640" w:hanging="215"/>
        <w:spacing w:after="0" w:line="234" w:lineRule="auto"/>
        <w:rPr>
          <w:sz w:val="20"/>
          <w:szCs w:val="20"/>
          <w:color w:val="auto"/>
        </w:rPr>
      </w:pPr>
      <w:r>
        <w:rPr>
          <w:rFonts w:ascii="Arial" w:cs="Arial" w:eastAsia="Arial" w:hAnsi="Arial"/>
          <w:sz w:val="18"/>
          <w:szCs w:val="18"/>
          <w:color w:val="auto"/>
        </w:rPr>
        <w:t>Common stock, $0.001 par value; 121,500,000 shares authorized, 19,083,561 and 21,254,788 shares issued and outstanding at December 31,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6" w:lineRule="auto"/>
        <w:rPr>
          <w:sz w:val="20"/>
          <w:szCs w:val="20"/>
          <w:color w:val="auto"/>
        </w:rPr>
      </w:pPr>
      <w:r>
        <w:rPr>
          <w:rFonts w:ascii="Arial" w:cs="Arial" w:eastAsia="Arial" w:hAnsi="Arial"/>
          <w:sz w:val="18"/>
          <w:szCs w:val="18"/>
          <w:color w:val="auto"/>
        </w:rPr>
        <w:t>Additional paid-in capital</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stockholders’ deficit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wp:posOffset>
            </wp:positionV>
            <wp:extent cx="69291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18,616,527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2,173,765</w:t>
            </w:r>
          </w:p>
        </w:tc>
      </w:tr>
      <w:tr>
        <w:trPr>
          <w:trHeight w:val="199"/>
        </w:trPr>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2"/>
              <w:spacing w:after="0" w:line="200" w:lineRule="exact"/>
              <w:rPr>
                <w:sz w:val="20"/>
                <w:szCs w:val="20"/>
                <w:color w:val="auto"/>
              </w:rPr>
            </w:pPr>
            <w:r>
              <w:rPr>
                <w:rFonts w:ascii="Arial" w:cs="Arial" w:eastAsia="Arial" w:hAnsi="Arial"/>
                <w:sz w:val="18"/>
                <w:szCs w:val="18"/>
                <w:color w:val="auto"/>
              </w:rPr>
              <w:t>527,558</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543,802</w:t>
            </w:r>
          </w:p>
        </w:tc>
      </w:tr>
      <w:tr>
        <w:trPr>
          <w:trHeight w:val="213"/>
        </w:trPr>
        <w:tc>
          <w:tcPr>
            <w:tcW w:w="18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19,144,085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2,717,567</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4,008,581</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5,438,180</w:t>
            </w:r>
          </w:p>
        </w:tc>
      </w:tr>
      <w:tr>
        <w:trPr>
          <w:trHeight w:val="199"/>
        </w:trPr>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2"/>
              <w:spacing w:after="0" w:line="200" w:lineRule="exact"/>
              <w:rPr>
                <w:sz w:val="20"/>
                <w:szCs w:val="20"/>
                <w:color w:val="auto"/>
              </w:rPr>
            </w:pPr>
            <w:r>
              <w:rPr>
                <w:rFonts w:ascii="Arial" w:cs="Arial" w:eastAsia="Arial" w:hAnsi="Arial"/>
                <w:sz w:val="18"/>
                <w:szCs w:val="18"/>
                <w:color w:val="auto"/>
              </w:rPr>
              <w:t>213,581</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320,261</w:t>
            </w: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23,366,247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8,476,008</w:t>
            </w:r>
          </w:p>
        </w:tc>
      </w:tr>
      <w:tr>
        <w:trPr>
          <w:trHeight w:val="75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1,816,045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1,296,483</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2,159,209</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1,854,562</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114,866</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5,482,353</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663,201</w:t>
            </w:r>
          </w:p>
        </w:tc>
      </w:tr>
      <w:tr>
        <w:trPr>
          <w:trHeight w:val="199"/>
        </w:trPr>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2"/>
              <w:spacing w:after="0" w:line="200" w:lineRule="exact"/>
              <w:rPr>
                <w:sz w:val="20"/>
                <w:szCs w:val="20"/>
                <w:color w:val="auto"/>
              </w:rPr>
            </w:pPr>
            <w:r>
              <w:rPr>
                <w:rFonts w:ascii="Arial" w:cs="Arial" w:eastAsia="Arial" w:hAnsi="Arial"/>
                <w:sz w:val="18"/>
                <w:szCs w:val="18"/>
                <w:color w:val="auto"/>
              </w:rPr>
              <w:t>107,783</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815,991</w:t>
            </w:r>
          </w:p>
        </w:tc>
      </w:tr>
      <w:tr>
        <w:trPr>
          <w:trHeight w:val="213"/>
        </w:trPr>
        <w:tc>
          <w:tcPr>
            <w:tcW w:w="18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9,680,256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4,630,237</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33,989,320</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22,055,057</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301,364</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17,250,000</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2,228,174</w:t>
            </w:r>
          </w:p>
        </w:tc>
      </w:tr>
      <w:tr>
        <w:trPr>
          <w:trHeight w:val="199"/>
        </w:trPr>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2"/>
              <w:spacing w:after="0" w:line="200" w:lineRule="exact"/>
              <w:rPr>
                <w:sz w:val="20"/>
                <w:szCs w:val="20"/>
                <w:color w:val="auto"/>
              </w:rPr>
            </w:pPr>
            <w:r>
              <w:rPr>
                <w:rFonts w:ascii="Arial" w:cs="Arial" w:eastAsia="Arial" w:hAnsi="Arial"/>
                <w:sz w:val="18"/>
                <w:szCs w:val="18"/>
                <w:color w:val="auto"/>
              </w:rPr>
              <w:t>255,067</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143,494</w:t>
            </w:r>
          </w:p>
        </w:tc>
      </w:tr>
      <w:tr>
        <w:trPr>
          <w:trHeight w:val="221"/>
        </w:trPr>
        <w:tc>
          <w:tcPr>
            <w:tcW w:w="180" w:type="dxa"/>
            <w:vAlign w:val="bottom"/>
          </w:tcPr>
          <w:p>
            <w:pPr>
              <w:spacing w:after="0"/>
              <w:rPr>
                <w:sz w:val="19"/>
                <w:szCs w:val="19"/>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61,476,007</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29,056,962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tabs>
          <w:tab w:leader="none" w:pos="1840" w:val="left"/>
        </w:tabs>
        <w:rPr>
          <w:sz w:val="20"/>
          <w:szCs w:val="20"/>
          <w:color w:val="auto"/>
        </w:rPr>
      </w:pPr>
      <w:r>
        <w:rPr>
          <w:rFonts w:ascii="Arial" w:cs="Arial" w:eastAsia="Arial" w:hAnsi="Arial"/>
          <w:sz w:val="18"/>
          <w:szCs w:val="18"/>
          <w:color w:val="auto"/>
        </w:rPr>
        <w:t>74,259,411</w:t>
      </w:r>
      <w:r>
        <w:rPr>
          <w:sz w:val="20"/>
          <w:szCs w:val="20"/>
          <w:color w:val="auto"/>
        </w:rPr>
        <w:tab/>
      </w:r>
      <w:r>
        <w:rPr>
          <w:rFonts w:ascii="Arial" w:cs="Arial" w:eastAsia="Arial" w:hAnsi="Arial"/>
          <w:sz w:val="18"/>
          <w:szCs w:val="18"/>
          <w:color w:val="auto"/>
        </w:rPr>
        <w:t>74,259,411</w:t>
      </w:r>
    </w:p>
    <w:p>
      <w:pPr>
        <w:spacing w:after="0" w:line="396" w:lineRule="exact"/>
        <w:rPr>
          <w:sz w:val="20"/>
          <w:szCs w:val="20"/>
          <w:color w:val="auto"/>
        </w:rPr>
      </w:pPr>
    </w:p>
    <w:p>
      <w:pPr>
        <w:ind w:left="600"/>
        <w:spacing w:after="0"/>
        <w:tabs>
          <w:tab w:leader="none" w:pos="2180" w:val="left"/>
        </w:tabs>
        <w:rPr>
          <w:sz w:val="20"/>
          <w:szCs w:val="20"/>
          <w:color w:val="auto"/>
        </w:rPr>
      </w:pPr>
      <w:r>
        <w:rPr>
          <w:rFonts w:ascii="Arial" w:cs="Arial" w:eastAsia="Arial" w:hAnsi="Arial"/>
          <w:sz w:val="18"/>
          <w:szCs w:val="18"/>
          <w:color w:val="auto"/>
        </w:rPr>
        <w:t>19,084</w:t>
      </w:r>
      <w:r>
        <w:rPr>
          <w:sz w:val="20"/>
          <w:szCs w:val="20"/>
          <w:color w:val="auto"/>
        </w:rPr>
        <w:tab/>
      </w:r>
      <w:r>
        <w:rPr>
          <w:rFonts w:ascii="Arial" w:cs="Arial" w:eastAsia="Arial" w:hAnsi="Arial"/>
          <w:sz w:val="18"/>
          <w:szCs w:val="18"/>
          <w:color w:val="auto"/>
        </w:rPr>
        <w:t>21,255</w:t>
      </w:r>
    </w:p>
    <w:p>
      <w:pPr>
        <w:ind w:left="360"/>
        <w:spacing w:after="0" w:line="234" w:lineRule="auto"/>
        <w:tabs>
          <w:tab w:leader="none" w:pos="1940" w:val="left"/>
        </w:tabs>
        <w:rPr>
          <w:sz w:val="20"/>
          <w:szCs w:val="20"/>
          <w:color w:val="auto"/>
        </w:rPr>
      </w:pPr>
      <w:r>
        <w:rPr>
          <w:rFonts w:ascii="Arial" w:cs="Arial" w:eastAsia="Arial" w:hAnsi="Arial"/>
          <w:sz w:val="18"/>
          <w:szCs w:val="18"/>
          <w:color w:val="auto"/>
        </w:rPr>
        <w:t>5,088,905</w:t>
      </w:r>
      <w:r>
        <w:rPr>
          <w:sz w:val="20"/>
          <w:szCs w:val="20"/>
          <w:color w:val="auto"/>
        </w:rPr>
        <w:tab/>
      </w:r>
      <w:r>
        <w:rPr>
          <w:rFonts w:ascii="Arial" w:cs="Arial" w:eastAsia="Arial" w:hAnsi="Arial"/>
          <w:sz w:val="18"/>
          <w:szCs w:val="18"/>
          <w:color w:val="auto"/>
        </w:rPr>
        <w:t>4,447,929</w:t>
      </w:r>
    </w:p>
    <w:p>
      <w:pPr>
        <w:spacing w:after="0" w:line="1"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16"/>
          <w:szCs w:val="16"/>
          <w:color w:val="auto"/>
        </w:rPr>
        <w:t>(117,477,160)</w:t>
      </w:r>
      <w:r>
        <w:rPr>
          <w:sz w:val="20"/>
          <w:szCs w:val="20"/>
          <w:color w:val="auto"/>
        </w:rPr>
        <w:tab/>
      </w:r>
      <w:r>
        <w:rPr>
          <w:rFonts w:ascii="Arial" w:cs="Arial" w:eastAsia="Arial" w:hAnsi="Arial"/>
          <w:sz w:val="16"/>
          <w:szCs w:val="16"/>
          <w:color w:val="auto"/>
        </w:rPr>
        <w:t>(99,309,549)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17411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6"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16"/>
          <w:szCs w:val="16"/>
          <w:color w:val="auto"/>
        </w:rPr>
        <w:t>(112,369,171)</w:t>
      </w:r>
      <w:r>
        <w:rPr>
          <w:sz w:val="20"/>
          <w:szCs w:val="20"/>
          <w:color w:val="auto"/>
        </w:rPr>
        <w:tab/>
      </w:r>
      <w:r>
        <w:rPr>
          <w:rFonts w:ascii="Arial" w:cs="Arial" w:eastAsia="Arial" w:hAnsi="Arial"/>
          <w:sz w:val="16"/>
          <w:szCs w:val="16"/>
          <w:color w:val="auto"/>
        </w:rPr>
        <w:t>(94,840,365)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17411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6" w:lineRule="exact"/>
        <w:rPr>
          <w:sz w:val="20"/>
          <w:szCs w:val="20"/>
          <w:color w:val="auto"/>
        </w:rPr>
      </w:pPr>
    </w:p>
    <w:p>
      <w:pPr>
        <w:spacing w:after="0"/>
        <w:tabs>
          <w:tab w:leader="none" w:pos="240" w:val="left"/>
          <w:tab w:leader="none" w:pos="1660" w:val="left"/>
          <w:tab w:leader="none" w:pos="1940" w:val="left"/>
        </w:tabs>
        <w:rPr>
          <w:sz w:val="20"/>
          <w:szCs w:val="20"/>
          <w:color w:val="auto"/>
        </w:rPr>
      </w:pPr>
      <w:r>
        <w:rPr>
          <w:rFonts w:ascii="Arial" w:cs="Arial" w:eastAsia="Arial" w:hAnsi="Arial"/>
          <w:sz w:val="18"/>
          <w:szCs w:val="18"/>
          <w:color w:val="auto"/>
        </w:rPr>
        <w:t>$</w:t>
        <w:tab/>
        <w:t>23,366,247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8,476,008</w:t>
      </w:r>
    </w:p>
    <w:p>
      <w:pPr>
        <w:spacing w:after="0" w:line="200" w:lineRule="exact"/>
        <w:rPr>
          <w:sz w:val="20"/>
          <w:szCs w:val="20"/>
          <w:color w:val="auto"/>
        </w:rPr>
      </w:pPr>
    </w:p>
    <w:p>
      <w:pPr>
        <w:sectPr>
          <w:pgSz w:w="11900" w:h="16838" w:orient="portrait"/>
          <w:cols w:equalWidth="0" w:num="2">
            <w:col w:w="7760" w:space="620"/>
            <w:col w:w="2800"/>
          </w:cols>
          <w:pgMar w:left="240" w:top="460" w:right="479" w:bottom="1440" w:gutter="0" w:footer="0" w:header="0"/>
          <w:type w:val="continuous"/>
        </w:sectPr>
      </w:pPr>
    </w:p>
    <w:p>
      <w:pPr>
        <w:spacing w:after="0" w:line="29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F-69</w:t>
      </w:r>
    </w:p>
    <w:p>
      <w:pPr>
        <w:sectPr>
          <w:pgSz w:w="11900" w:h="16838" w:orient="portrait"/>
          <w:cols w:equalWidth="0" w:num="1">
            <w:col w:w="11180"/>
          </w:cols>
          <w:pgMar w:left="240" w:top="460" w:right="479" w:bottom="1440" w:gutter="0" w:footer="0" w:header="0"/>
          <w:type w:val="continuous"/>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Collaboration revenue, related party</w:t>
            </w:r>
          </w:p>
        </w:tc>
        <w:tc>
          <w:tcPr>
            <w:tcW w:w="2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13,009,022</w:t>
            </w:r>
          </w:p>
        </w:tc>
        <w:tc>
          <w:tcPr>
            <w:tcW w:w="180" w:type="dxa"/>
            <w:vAlign w:val="bottom"/>
          </w:tcPr>
          <w:p>
            <w:pPr>
              <w:spacing w:after="0"/>
              <w:rPr>
                <w:sz w:val="17"/>
                <w:szCs w:val="17"/>
                <w:color w:val="auto"/>
              </w:rPr>
            </w:pPr>
          </w:p>
        </w:tc>
        <w:tc>
          <w:tcPr>
            <w:tcW w:w="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1,858,625</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Collaboration revenue</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1,150,000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Grant revenue</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1,671,881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revenue</w:t>
            </w:r>
          </w:p>
        </w:tc>
        <w:tc>
          <w:tcPr>
            <w:tcW w:w="25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15,830,903</w:t>
            </w: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1,858,625</w:t>
            </w:r>
          </w:p>
        </w:tc>
        <w:tc>
          <w:tcPr>
            <w:tcW w:w="140" w:type="dxa"/>
            <w:vAlign w:val="bottom"/>
            <w:shd w:val="clear" w:color="auto" w:fill="CCEEFF"/>
          </w:tcPr>
          <w:p>
            <w:pPr>
              <w:spacing w:after="0"/>
              <w:rPr>
                <w:sz w:val="17"/>
                <w:szCs w:val="17"/>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23,584,888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20,192,431</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7,524,205</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8,034,661</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operating expenses</w:t>
            </w:r>
          </w:p>
        </w:tc>
        <w:tc>
          <w:tcPr>
            <w:tcW w:w="2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31,109,093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28,227,092</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Loss from operations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(15,278,190)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(26,368,467)</w:t>
            </w: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45,111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18,747</w:t>
            </w:r>
          </w:p>
        </w:tc>
        <w:tc>
          <w:tcPr>
            <w:tcW w:w="140" w:type="dxa"/>
            <w:vAlign w:val="bottom"/>
            <w:shd w:val="clear" w:color="auto" w:fill="CCEEFF"/>
          </w:tcPr>
          <w:p>
            <w:pPr>
              <w:spacing w:after="0"/>
              <w:rPr>
                <w:sz w:val="17"/>
                <w:szCs w:val="17"/>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(2,934,532)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(1,062,213)</w:t>
            </w: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loss and comprehensive loss</w:t>
            </w:r>
          </w:p>
        </w:tc>
        <w:tc>
          <w:tcPr>
            <w:tcW w:w="2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(18,167,611)</w:t>
            </w:r>
          </w:p>
        </w:tc>
        <w:tc>
          <w:tcPr>
            <w:tcW w:w="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(27,411,933)</w:t>
            </w:r>
          </w:p>
        </w:tc>
      </w:tr>
      <w:tr>
        <w:trPr>
          <w:trHeight w:val="20"/>
        </w:trPr>
        <w:tc>
          <w:tcPr>
            <w:tcW w:w="20" w:type="dxa"/>
            <w:vAlign w:val="bottom"/>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240" w:top="459" w:right="41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Statements of convertible preferred stock and stockholders’ deficit</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96"/>
              </w:rPr>
              <w:t>Series A</w:t>
            </w: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Series A preferred units</w:t>
            </w:r>
          </w:p>
        </w:tc>
        <w:tc>
          <w:tcPr>
            <w:tcW w:w="1660" w:type="dxa"/>
            <w:vAlign w:val="bottom"/>
            <w:tcBorders>
              <w:right w:val="single" w:sz="8" w:color="auto"/>
            </w:tcBorders>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convertible preferred</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capital interests</w:t>
            </w:r>
          </w:p>
        </w:tc>
        <w:tc>
          <w:tcPr>
            <w:tcW w:w="1660" w:type="dxa"/>
            <w:vAlign w:val="bottom"/>
            <w:tcBorders>
              <w:right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92"/>
              </w:rPr>
              <w:t>stock</w:t>
            </w:r>
          </w:p>
        </w:tc>
        <w:tc>
          <w:tcPr>
            <w:tcW w:w="20" w:type="dxa"/>
            <w:vAlign w:val="bottom"/>
          </w:tcPr>
          <w:p>
            <w:pPr>
              <w:spacing w:after="0"/>
              <w:rPr>
                <w:sz w:val="14"/>
                <w:szCs w:val="14"/>
                <w:color w:val="auto"/>
              </w:rPr>
            </w:pPr>
          </w:p>
        </w:tc>
        <w:tc>
          <w:tcPr>
            <w:tcW w:w="15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Capital interests</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25"/>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jc w:val="right"/>
              <w:ind w:right="212"/>
              <w:spacing w:after="0" w:line="125"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152"/>
              <w:spacing w:after="0" w:line="125" w:lineRule="exact"/>
              <w:rPr>
                <w:sz w:val="20"/>
                <w:szCs w:val="20"/>
                <w:color w:val="auto"/>
              </w:rPr>
            </w:pPr>
            <w:r>
              <w:rPr>
                <w:rFonts w:ascii="Arial" w:cs="Arial" w:eastAsia="Arial" w:hAnsi="Arial"/>
                <w:sz w:val="14"/>
                <w:szCs w:val="14"/>
                <w:b w:val="1"/>
                <w:bCs w:val="1"/>
                <w:color w:val="auto"/>
              </w:rPr>
              <w:t>paid-in</w:t>
            </w:r>
          </w:p>
        </w:tc>
        <w:tc>
          <w:tcPr>
            <w:tcW w:w="102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60"/>
              <w:spacing w:after="0" w:line="125" w:lineRule="exact"/>
              <w:rPr>
                <w:sz w:val="20"/>
                <w:szCs w:val="20"/>
                <w:color w:val="auto"/>
              </w:rPr>
            </w:pPr>
            <w:r>
              <w:rPr>
                <w:rFonts w:ascii="Arial" w:cs="Arial" w:eastAsia="Arial" w:hAnsi="Arial"/>
                <w:sz w:val="14"/>
                <w:szCs w:val="14"/>
                <w:b w:val="1"/>
                <w:bCs w:val="1"/>
                <w:color w:val="auto"/>
              </w:rPr>
              <w:t>stockholders’</w:t>
            </w:r>
          </w:p>
        </w:tc>
      </w:tr>
      <w:tr>
        <w:trPr>
          <w:trHeight w:val="165"/>
        </w:trPr>
        <w:tc>
          <w:tcPr>
            <w:tcW w:w="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r>
      <w:tr>
        <w:trPr>
          <w:trHeight w:val="125"/>
        </w:trPr>
        <w:tc>
          <w:tcPr>
            <w:tcW w:w="20" w:type="dxa"/>
            <w:vAlign w:val="bottom"/>
          </w:tcPr>
          <w:p>
            <w:pPr>
              <w:spacing w:after="0"/>
              <w:rPr>
                <w:sz w:val="10"/>
                <w:szCs w:val="10"/>
                <w:color w:val="auto"/>
              </w:rPr>
            </w:pPr>
          </w:p>
        </w:tc>
        <w:tc>
          <w:tcPr>
            <w:tcW w:w="1320" w:type="dxa"/>
            <w:vAlign w:val="bottom"/>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Balances at</w:t>
            </w: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January 1, 2016</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75,000,000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74,259,411</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1,323,530</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17,155,708</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3,454,622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(71,897,616)</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(68,441,670)</w:t>
            </w:r>
          </w:p>
        </w:tc>
      </w:tr>
      <w:tr>
        <w:trPr>
          <w:trHeight w:val="148"/>
        </w:trPr>
        <w:tc>
          <w:tcPr>
            <w:tcW w:w="20" w:type="dxa"/>
            <w:vAlign w:val="bottom"/>
          </w:tcPr>
          <w:p>
            <w:pPr>
              <w:spacing w:after="0"/>
              <w:rPr>
                <w:sz w:val="12"/>
                <w:szCs w:val="12"/>
                <w:color w:val="auto"/>
              </w:rPr>
            </w:pPr>
          </w:p>
        </w:tc>
        <w:tc>
          <w:tcPr>
            <w:tcW w:w="1320" w:type="dxa"/>
            <w:vAlign w:val="bottom"/>
          </w:tcPr>
          <w:p>
            <w:pPr>
              <w:ind w:left="200"/>
              <w:spacing w:after="0" w:line="148" w:lineRule="exact"/>
              <w:rPr>
                <w:sz w:val="20"/>
                <w:szCs w:val="20"/>
                <w:color w:val="auto"/>
              </w:rPr>
            </w:pPr>
            <w:r>
              <w:rPr>
                <w:rFonts w:ascii="Arial" w:cs="Arial" w:eastAsia="Arial" w:hAnsi="Arial"/>
                <w:sz w:val="14"/>
                <w:szCs w:val="14"/>
                <w:color w:val="auto"/>
              </w:rPr>
              <w:t>Effect of</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restructuring</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(Note 8)</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w w:val="98"/>
              </w:rPr>
              <w:t>(75,000,000)</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(74,259,411)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9"/>
              </w:rPr>
              <w:t>75,000,000</w:t>
            </w: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w w:val="94"/>
              </w:rPr>
              <w:t>74,259,411</w:t>
            </w:r>
          </w:p>
        </w:tc>
        <w:tc>
          <w:tcPr>
            <w:tcW w:w="8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17,155,708</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3"/>
              </w:rPr>
              <w:t>17,156</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(17,155,708)</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(3,454,622)</w:t>
            </w:r>
          </w:p>
        </w:tc>
        <w:tc>
          <w:tcPr>
            <w:tcW w:w="1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3"/>
              </w:rPr>
              <w:t>3,437,466</w:t>
            </w:r>
          </w:p>
        </w:tc>
        <w:tc>
          <w:tcPr>
            <w:tcW w:w="1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Issuance of</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3,742,345</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3,742</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33,681</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37,423</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320" w:type="dxa"/>
            <w:vAlign w:val="bottom"/>
          </w:tcPr>
          <w:p>
            <w:pPr>
              <w:ind w:left="200"/>
              <w:spacing w:after="0" w:line="148" w:lineRule="exact"/>
              <w:rPr>
                <w:sz w:val="20"/>
                <w:szCs w:val="20"/>
                <w:color w:val="auto"/>
              </w:rPr>
            </w:pPr>
            <w:r>
              <w:rPr>
                <w:rFonts w:ascii="Arial" w:cs="Arial" w:eastAsia="Arial" w:hAnsi="Arial"/>
                <w:sz w:val="14"/>
                <w:szCs w:val="14"/>
                <w:color w:val="auto"/>
              </w:rPr>
              <w:t>Cancellation of</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unvested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restricted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(966,795)</w:t>
            </w:r>
          </w:p>
        </w:tc>
        <w:tc>
          <w:tcPr>
            <w:tcW w:w="12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(967)</w:t>
            </w: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(8,701)</w:t>
            </w:r>
          </w:p>
        </w:tc>
        <w:tc>
          <w:tcPr>
            <w:tcW w:w="1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(9,668)</w:t>
            </w:r>
          </w:p>
        </w:tc>
      </w:tr>
      <w:tr>
        <w:trPr>
          <w:trHeight w:val="148"/>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Stock-based</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compensation</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985,483</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985,483</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(27,411,933)</w:t>
            </w:r>
          </w:p>
        </w:tc>
        <w:tc>
          <w:tcPr>
            <w:tcW w:w="140" w:type="dxa"/>
            <w:vAlign w:val="bottom"/>
          </w:tcPr>
          <w:p>
            <w:pPr>
              <w:spacing w:after="0"/>
              <w:rPr>
                <w:sz w:val="13"/>
                <w:szCs w:val="13"/>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(27,411,933)</w:t>
            </w:r>
          </w:p>
        </w:tc>
      </w:tr>
      <w:tr>
        <w:trPr>
          <w:trHeight w:val="132"/>
        </w:trPr>
        <w:tc>
          <w:tcPr>
            <w:tcW w:w="20" w:type="dxa"/>
            <w:vAlign w:val="bottom"/>
          </w:tcPr>
          <w:p>
            <w:pPr>
              <w:spacing w:after="0"/>
              <w:rPr>
                <w:sz w:val="11"/>
                <w:szCs w:val="11"/>
                <w:color w:val="auto"/>
              </w:rPr>
            </w:pPr>
          </w:p>
        </w:tc>
        <w:tc>
          <w:tcPr>
            <w:tcW w:w="1320" w:type="dxa"/>
            <w:vAlign w:val="bottom"/>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Balances at</w:t>
            </w: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right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December 31,</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2016</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75,000,000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94"/>
              </w:rPr>
              <w:t>74,259,411</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21,254,788</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21,255</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3"/>
              </w:rPr>
              <w:t>4,447,929</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(99,309,549)</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(94,840,365)</w:t>
            </w:r>
          </w:p>
        </w:tc>
      </w:tr>
      <w:tr>
        <w:trPr>
          <w:trHeight w:val="148"/>
        </w:trPr>
        <w:tc>
          <w:tcPr>
            <w:tcW w:w="20" w:type="dxa"/>
            <w:vAlign w:val="bottom"/>
          </w:tcPr>
          <w:p>
            <w:pPr>
              <w:spacing w:after="0"/>
              <w:rPr>
                <w:sz w:val="12"/>
                <w:szCs w:val="12"/>
                <w:color w:val="auto"/>
              </w:rPr>
            </w:pPr>
          </w:p>
        </w:tc>
        <w:tc>
          <w:tcPr>
            <w:tcW w:w="1320" w:type="dxa"/>
            <w:vAlign w:val="bottom"/>
          </w:tcPr>
          <w:p>
            <w:pPr>
              <w:ind w:left="200"/>
              <w:spacing w:after="0" w:line="148" w:lineRule="exact"/>
              <w:rPr>
                <w:sz w:val="20"/>
                <w:szCs w:val="20"/>
                <w:color w:val="auto"/>
              </w:rPr>
            </w:pPr>
            <w:r>
              <w:rPr>
                <w:rFonts w:ascii="Arial" w:cs="Arial" w:eastAsia="Arial" w:hAnsi="Arial"/>
                <w:sz w:val="14"/>
                <w:szCs w:val="14"/>
                <w:color w:val="auto"/>
              </w:rPr>
              <w:t>Issuance of</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restricted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1,107,150</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1,107</w:t>
            </w:r>
          </w:p>
        </w:tc>
        <w:tc>
          <w:tcPr>
            <w:tcW w:w="14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9,965</w:t>
            </w:r>
          </w:p>
        </w:tc>
        <w:tc>
          <w:tcPr>
            <w:tcW w:w="1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11,072</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Cancellation of</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unvested</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(3,278,377)</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(3,278)</w:t>
            </w:r>
          </w:p>
        </w:tc>
        <w:tc>
          <w:tcPr>
            <w:tcW w:w="8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(9,467)</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(12,745)</w:t>
            </w:r>
          </w:p>
        </w:tc>
      </w:tr>
      <w:tr>
        <w:trPr>
          <w:trHeight w:val="148"/>
        </w:trPr>
        <w:tc>
          <w:tcPr>
            <w:tcW w:w="20" w:type="dxa"/>
            <w:vAlign w:val="bottom"/>
          </w:tcPr>
          <w:p>
            <w:pPr>
              <w:spacing w:after="0"/>
              <w:rPr>
                <w:sz w:val="12"/>
                <w:szCs w:val="12"/>
                <w:color w:val="auto"/>
              </w:rPr>
            </w:pPr>
          </w:p>
        </w:tc>
        <w:tc>
          <w:tcPr>
            <w:tcW w:w="1320" w:type="dxa"/>
            <w:vAlign w:val="bottom"/>
          </w:tcPr>
          <w:p>
            <w:pPr>
              <w:ind w:left="200"/>
              <w:spacing w:after="0" w:line="148" w:lineRule="exact"/>
              <w:rPr>
                <w:sz w:val="20"/>
                <w:szCs w:val="20"/>
                <w:color w:val="auto"/>
              </w:rPr>
            </w:pPr>
            <w:r>
              <w:rPr>
                <w:rFonts w:ascii="Arial" w:cs="Arial" w:eastAsia="Arial" w:hAnsi="Arial"/>
                <w:sz w:val="14"/>
                <w:szCs w:val="14"/>
                <w:color w:val="auto"/>
              </w:rPr>
              <w:t>Stock-based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compensation</w:t>
            </w: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640,478</w:t>
            </w:r>
          </w:p>
        </w:tc>
        <w:tc>
          <w:tcPr>
            <w:tcW w:w="1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640,478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(18,167,611)</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(18,167,611)</w:t>
            </w:r>
          </w:p>
        </w:tc>
      </w:tr>
      <w:tr>
        <w:trPr>
          <w:trHeight w:val="139"/>
        </w:trPr>
        <w:tc>
          <w:tcPr>
            <w:tcW w:w="13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Balance at</w:t>
            </w: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2017</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9"/>
              </w:rPr>
              <w:t>75,000,000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w w:val="94"/>
              </w:rPr>
              <w:t>74,259,411</w:t>
            </w:r>
          </w:p>
        </w:tc>
        <w:tc>
          <w:tcPr>
            <w:tcW w:w="840" w:type="dxa"/>
            <w:vAlign w:val="bottom"/>
            <w:gridSpan w:val="2"/>
          </w:tcPr>
          <w:p>
            <w:pPr>
              <w:jc w:val="right"/>
              <w:ind w:right="32"/>
              <w:spacing w:after="0"/>
              <w:rPr>
                <w:sz w:val="20"/>
                <w:szCs w:val="20"/>
                <w:color w:val="auto"/>
              </w:rPr>
            </w:pPr>
            <w:r>
              <w:rPr>
                <w:rFonts w:ascii="Arial" w:cs="Arial" w:eastAsia="Arial" w:hAnsi="Arial"/>
                <w:sz w:val="14"/>
                <w:szCs w:val="14"/>
                <w:color w:val="auto"/>
              </w:rPr>
              <w:t>19,083,561</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3"/>
              </w:rPr>
              <w:t>19,084</w:t>
            </w:r>
          </w:p>
        </w:tc>
        <w:tc>
          <w:tcPr>
            <w:tcW w:w="14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w w:val="93"/>
              </w:rPr>
              <w:t>5,088,905</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w w:val="94"/>
              </w:rPr>
              <w:t>(117,477,160)</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(112,369,171)</w:t>
            </w: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240" w:top="460" w:right="41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-4445</wp:posOffset>
            </wp:positionV>
            <wp:extent cx="174117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jc w:val="both"/>
        <w:ind w:left="8760"/>
        <w:spacing w:after="0"/>
        <w:tabs>
          <w:tab w:leader="none" w:pos="102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699770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240"/>
          </w:cols>
          <w:pgMar w:left="240" w:top="460" w:right="419" w:bottom="1440" w:gutter="0" w:footer="0" w:header="0"/>
        </w:sectPr>
      </w:pPr>
    </w:p>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activities</w:t>
      </w:r>
    </w:p>
    <w:p>
      <w:pPr>
        <w:ind w:left="200"/>
        <w:spacing w:after="0" w:line="235" w:lineRule="auto"/>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Noncash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Stock-based compensation</w:t>
      </w:r>
    </w:p>
    <w:p>
      <w:pPr>
        <w:ind w:left="420"/>
        <w:spacing w:after="0" w:line="235" w:lineRule="auto"/>
        <w:rPr>
          <w:sz w:val="20"/>
          <w:szCs w:val="20"/>
          <w:color w:val="auto"/>
        </w:rPr>
      </w:pPr>
      <w:r>
        <w:rPr>
          <w:rFonts w:ascii="Arial" w:cs="Arial" w:eastAsia="Arial" w:hAnsi="Arial"/>
          <w:sz w:val="18"/>
          <w:szCs w:val="18"/>
          <w:color w:val="auto"/>
        </w:rPr>
        <w:t>Gain on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5" w:lineRule="auto"/>
        <w:rPr>
          <w:sz w:val="20"/>
          <w:szCs w:val="20"/>
          <w:color w:val="auto"/>
        </w:rPr>
      </w:pPr>
      <w:r>
        <w:rPr>
          <w:rFonts w:ascii="Arial" w:cs="Arial" w:eastAsia="Arial" w:hAnsi="Arial"/>
          <w:sz w:val="18"/>
          <w:szCs w:val="18"/>
          <w:color w:val="auto"/>
        </w:rPr>
        <w:t>Depreciation and amortization</w:t>
      </w:r>
    </w:p>
    <w:p>
      <w:pPr>
        <w:ind w:left="420"/>
        <w:spacing w:after="0" w:line="235" w:lineRule="auto"/>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line="235" w:lineRule="auto"/>
        <w:rPr>
          <w:sz w:val="20"/>
          <w:szCs w:val="20"/>
          <w:color w:val="auto"/>
        </w:rPr>
      </w:pPr>
      <w:r>
        <w:rPr>
          <w:rFonts w:ascii="Arial" w:cs="Arial" w:eastAsia="Arial" w:hAnsi="Arial"/>
          <w:sz w:val="18"/>
          <w:szCs w:val="18"/>
          <w:color w:val="auto"/>
        </w:rPr>
        <w:t>Prepaid expenses and other current assets</w:t>
      </w:r>
    </w:p>
    <w:p>
      <w:pPr>
        <w:ind w:left="640"/>
        <w:spacing w:after="0" w:line="235" w:lineRule="auto"/>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line="235" w:lineRule="auto"/>
        <w:rPr>
          <w:sz w:val="20"/>
          <w:szCs w:val="20"/>
          <w:color w:val="auto"/>
        </w:rPr>
      </w:pPr>
      <w:r>
        <w:rPr>
          <w:rFonts w:ascii="Arial" w:cs="Arial" w:eastAsia="Arial" w:hAnsi="Arial"/>
          <w:sz w:val="18"/>
          <w:szCs w:val="18"/>
          <w:color w:val="auto"/>
        </w:rPr>
        <w:t>Accrued expenses</w:t>
      </w:r>
    </w:p>
    <w:p>
      <w:pPr>
        <w:ind w:left="640"/>
        <w:spacing w:after="0" w:line="235" w:lineRule="auto"/>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Deferred rent</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Net cash provided by (used in) operating activities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-120650</wp:posOffset>
            </wp:positionV>
            <wp:extent cx="6997700" cy="1289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Change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18"/>
          <w:szCs w:val="18"/>
          <w:color w:val="auto"/>
        </w:rPr>
        <w:t>Purchases of property and equipment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Net cash used in investing activities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wp:posOffset>
            </wp:positionV>
            <wp:extent cx="6997700" cy="1289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Proceeds from the issuance of restricted stock</w:t>
      </w:r>
    </w:p>
    <w:p>
      <w:pPr>
        <w:ind w:left="200"/>
        <w:spacing w:after="0" w:line="234" w:lineRule="auto"/>
        <w:rPr>
          <w:sz w:val="20"/>
          <w:szCs w:val="20"/>
          <w:color w:val="auto"/>
        </w:rPr>
      </w:pPr>
      <w:r>
        <w:rPr>
          <w:rFonts w:ascii="Arial" w:cs="Arial" w:eastAsia="Arial" w:hAnsi="Arial"/>
          <w:sz w:val="18"/>
          <w:szCs w:val="18"/>
          <w:color w:val="auto"/>
        </w:rPr>
        <w:t>Repurchase of unvested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2" w:lineRule="auto"/>
        <w:rPr>
          <w:sz w:val="20"/>
          <w:szCs w:val="20"/>
          <w:color w:val="auto"/>
        </w:rPr>
      </w:pPr>
      <w:r>
        <w:rPr>
          <w:rFonts w:ascii="Arial" w:cs="Arial" w:eastAsia="Arial" w:hAnsi="Arial"/>
          <w:sz w:val="18"/>
          <w:szCs w:val="18"/>
          <w:color w:val="auto"/>
        </w:rPr>
        <w:t>Proceeds from convertible notes payable with related party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tabs>
          <w:tab w:leader="none" w:pos="260" w:val="left"/>
          <w:tab w:leader="none" w:pos="1520" w:val="left"/>
          <w:tab w:leader="none" w:pos="1800" w:val="left"/>
        </w:tabs>
        <w:rPr>
          <w:sz w:val="20"/>
          <w:szCs w:val="20"/>
          <w:color w:val="auto"/>
        </w:rPr>
      </w:pPr>
      <w:r>
        <w:rPr>
          <w:rFonts w:ascii="Arial" w:cs="Arial" w:eastAsia="Arial" w:hAnsi="Arial"/>
          <w:sz w:val="18"/>
          <w:szCs w:val="18"/>
          <w:color w:val="auto"/>
        </w:rPr>
        <w:t>$</w:t>
        <w:tab/>
        <w:t>(18,167,611)</w:t>
        <w:tab/>
        <w:t>$</w:t>
      </w:r>
      <w:r>
        <w:rPr>
          <w:sz w:val="20"/>
          <w:szCs w:val="20"/>
          <w:color w:val="auto"/>
        </w:rPr>
        <w:tab/>
      </w:r>
      <w:r>
        <w:rPr>
          <w:rFonts w:ascii="Arial" w:cs="Arial" w:eastAsia="Arial" w:hAnsi="Arial"/>
          <w:sz w:val="16"/>
          <w:szCs w:val="16"/>
          <w:color w:val="auto"/>
        </w:rPr>
        <w:t>(27,411,933)</w:t>
      </w:r>
    </w:p>
    <w:p>
      <w:pPr>
        <w:spacing w:after="0" w:line="194" w:lineRule="exact"/>
        <w:rPr>
          <w:sz w:val="20"/>
          <w:szCs w:val="20"/>
          <w:color w:val="auto"/>
        </w:rPr>
      </w:pPr>
    </w:p>
    <w:p>
      <w:pPr>
        <w:ind w:left="420"/>
        <w:spacing w:after="0"/>
        <w:tabs>
          <w:tab w:leader="none" w:pos="1940" w:val="left"/>
        </w:tabs>
        <w:rPr>
          <w:sz w:val="20"/>
          <w:szCs w:val="20"/>
          <w:color w:val="auto"/>
        </w:rPr>
      </w:pPr>
      <w:r>
        <w:rPr>
          <w:rFonts w:ascii="Arial" w:cs="Arial" w:eastAsia="Arial" w:hAnsi="Arial"/>
          <w:sz w:val="18"/>
          <w:szCs w:val="18"/>
          <w:color w:val="auto"/>
        </w:rPr>
        <w:t>2,934,532</w:t>
      </w:r>
      <w:r>
        <w:rPr>
          <w:sz w:val="20"/>
          <w:szCs w:val="20"/>
          <w:color w:val="auto"/>
        </w:rPr>
        <w:tab/>
      </w:r>
      <w:r>
        <w:rPr>
          <w:rFonts w:ascii="Arial" w:cs="Arial" w:eastAsia="Arial" w:hAnsi="Arial"/>
          <w:sz w:val="18"/>
          <w:szCs w:val="18"/>
          <w:color w:val="auto"/>
        </w:rPr>
        <w:t>1,062,213</w:t>
      </w:r>
    </w:p>
    <w:p>
      <w:pPr>
        <w:ind w:left="580"/>
        <w:spacing w:after="0" w:line="234" w:lineRule="auto"/>
        <w:tabs>
          <w:tab w:leader="none" w:pos="2100" w:val="left"/>
        </w:tabs>
        <w:rPr>
          <w:sz w:val="20"/>
          <w:szCs w:val="20"/>
          <w:color w:val="auto"/>
        </w:rPr>
      </w:pPr>
      <w:r>
        <w:rPr>
          <w:rFonts w:ascii="Arial" w:cs="Arial" w:eastAsia="Arial" w:hAnsi="Arial"/>
          <w:sz w:val="18"/>
          <w:szCs w:val="18"/>
          <w:color w:val="auto"/>
        </w:rPr>
        <w:t>640,478</w:t>
      </w:r>
      <w:r>
        <w:rPr>
          <w:sz w:val="20"/>
          <w:szCs w:val="20"/>
          <w:color w:val="auto"/>
        </w:rPr>
        <w:tab/>
      </w:r>
      <w:r>
        <w:rPr>
          <w:rFonts w:ascii="Arial" w:cs="Arial" w:eastAsia="Arial" w:hAnsi="Arial"/>
          <w:sz w:val="18"/>
          <w:szCs w:val="18"/>
          <w:color w:val="auto"/>
        </w:rPr>
        <w:t>985,483</w:t>
      </w: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(12,138)</w:t>
      </w:r>
    </w:p>
    <w:p>
      <w:pPr>
        <w:ind w:left="420"/>
        <w:spacing w:after="0"/>
        <w:rPr>
          <w:sz w:val="20"/>
          <w:szCs w:val="20"/>
          <w:color w:val="auto"/>
        </w:rPr>
      </w:pPr>
      <w:r>
        <w:rPr>
          <w:rFonts w:ascii="Arial" w:cs="Arial" w:eastAsia="Arial" w:hAnsi="Arial"/>
          <w:sz w:val="18"/>
          <w:szCs w:val="18"/>
          <w:color w:val="auto"/>
        </w:rPr>
        <w:t>2,497,208</w:t>
      </w:r>
      <w:r>
        <w:rPr>
          <w:rFonts w:ascii="Arial" w:cs="Arial" w:eastAsia="Arial" w:hAnsi="Arial"/>
          <w:sz w:val="16"/>
          <w:szCs w:val="16"/>
          <w:color w:val="auto"/>
        </w:rPr>
        <w:t>2,367,426</w:t>
      </w:r>
    </w:p>
    <w:p>
      <w:pPr>
        <w:spacing w:after="0" w:line="194" w:lineRule="exact"/>
        <w:rPr>
          <w:sz w:val="20"/>
          <w:szCs w:val="20"/>
          <w:color w:val="auto"/>
        </w:rPr>
      </w:pPr>
    </w:p>
    <w:p>
      <w:pPr>
        <w:jc w:val="both"/>
        <w:ind w:left="680"/>
        <w:spacing w:after="0"/>
        <w:tabs>
          <w:tab w:leader="none" w:pos="2140" w:val="left"/>
        </w:tabs>
        <w:rPr>
          <w:sz w:val="20"/>
          <w:szCs w:val="20"/>
          <w:color w:val="auto"/>
        </w:rPr>
      </w:pPr>
      <w:r>
        <w:rPr>
          <w:rFonts w:ascii="Arial" w:cs="Arial" w:eastAsia="Arial" w:hAnsi="Arial"/>
          <w:sz w:val="18"/>
          <w:szCs w:val="18"/>
          <w:color w:val="auto"/>
        </w:rPr>
        <w:t>45,240</w:t>
      </w:r>
      <w:r>
        <w:rPr>
          <w:sz w:val="20"/>
          <w:szCs w:val="20"/>
          <w:color w:val="auto"/>
        </w:rPr>
        <w:tab/>
      </w:r>
      <w:r>
        <w:rPr>
          <w:rFonts w:ascii="Arial" w:cs="Arial" w:eastAsia="Arial" w:hAnsi="Arial"/>
          <w:sz w:val="18"/>
          <w:szCs w:val="18"/>
          <w:color w:val="auto"/>
        </w:rPr>
        <w:t>(57,482)</w:t>
      </w:r>
    </w:p>
    <w:p>
      <w:pPr>
        <w:ind w:left="580"/>
        <w:spacing w:after="0" w:line="234" w:lineRule="auto"/>
        <w:tabs>
          <w:tab w:leader="none" w:pos="2200" w:val="left"/>
        </w:tabs>
        <w:rPr>
          <w:sz w:val="20"/>
          <w:szCs w:val="20"/>
          <w:color w:val="auto"/>
        </w:rPr>
      </w:pPr>
      <w:r>
        <w:rPr>
          <w:rFonts w:ascii="Arial" w:cs="Arial" w:eastAsia="Arial" w:hAnsi="Arial"/>
          <w:sz w:val="18"/>
          <w:szCs w:val="18"/>
          <w:color w:val="auto"/>
        </w:rPr>
        <w:t>772,994</w:t>
      </w:r>
      <w:r>
        <w:rPr>
          <w:sz w:val="20"/>
          <w:szCs w:val="20"/>
          <w:color w:val="auto"/>
        </w:rPr>
        <w:tab/>
      </w:r>
      <w:r>
        <w:rPr>
          <w:rFonts w:ascii="Arial" w:cs="Arial" w:eastAsia="Arial" w:hAnsi="Arial"/>
          <w:sz w:val="18"/>
          <w:szCs w:val="18"/>
          <w:color w:val="auto"/>
        </w:rPr>
        <w:t>71,977</w:t>
      </w:r>
    </w:p>
    <w:p>
      <w:pPr>
        <w:jc w:val="both"/>
        <w:ind w:left="580"/>
        <w:spacing w:after="0" w:line="235" w:lineRule="auto"/>
        <w:tabs>
          <w:tab w:leader="none" w:pos="2040" w:val="left"/>
        </w:tabs>
        <w:rPr>
          <w:sz w:val="20"/>
          <w:szCs w:val="20"/>
          <w:color w:val="auto"/>
        </w:rPr>
      </w:pPr>
      <w:r>
        <w:rPr>
          <w:rFonts w:ascii="Arial" w:cs="Arial" w:eastAsia="Arial" w:hAnsi="Arial"/>
          <w:sz w:val="18"/>
          <w:szCs w:val="18"/>
          <w:color w:val="auto"/>
        </w:rPr>
        <w:t>304,647</w:t>
      </w:r>
      <w:r>
        <w:rPr>
          <w:sz w:val="20"/>
          <w:szCs w:val="20"/>
          <w:color w:val="auto"/>
        </w:rPr>
        <w:tab/>
      </w:r>
      <w:r>
        <w:rPr>
          <w:rFonts w:ascii="Arial" w:cs="Arial" w:eastAsia="Arial" w:hAnsi="Arial"/>
          <w:sz w:val="18"/>
          <w:szCs w:val="18"/>
          <w:color w:val="auto"/>
        </w:rPr>
        <w:t>(562,992)</w:t>
      </w:r>
    </w:p>
    <w:p>
      <w:pPr>
        <w:ind w:left="340"/>
        <w:spacing w:after="0" w:line="235" w:lineRule="auto"/>
        <w:tabs>
          <w:tab w:leader="none" w:pos="1940" w:val="left"/>
        </w:tabs>
        <w:rPr>
          <w:sz w:val="20"/>
          <w:szCs w:val="20"/>
          <w:color w:val="auto"/>
        </w:rPr>
      </w:pPr>
      <w:r>
        <w:rPr>
          <w:rFonts w:ascii="Arial" w:cs="Arial" w:eastAsia="Arial" w:hAnsi="Arial"/>
          <w:sz w:val="18"/>
          <w:szCs w:val="18"/>
          <w:color w:val="auto"/>
        </w:rPr>
        <w:t>19,840,978</w:t>
      </w:r>
      <w:r>
        <w:rPr>
          <w:sz w:val="20"/>
          <w:szCs w:val="20"/>
          <w:color w:val="auto"/>
        </w:rPr>
        <w:tab/>
      </w:r>
      <w:r>
        <w:rPr>
          <w:rFonts w:ascii="Arial" w:cs="Arial" w:eastAsia="Arial" w:hAnsi="Arial"/>
          <w:sz w:val="18"/>
          <w:szCs w:val="18"/>
          <w:color w:val="auto"/>
        </w:rPr>
        <w:t>2,891,375</w:t>
      </w:r>
    </w:p>
    <w:p>
      <w:pPr>
        <w:spacing w:after="0" w:line="1" w:lineRule="exact"/>
        <w:rPr>
          <w:sz w:val="20"/>
          <w:szCs w:val="20"/>
          <w:color w:val="auto"/>
        </w:rPr>
      </w:pPr>
    </w:p>
    <w:p>
      <w:pPr>
        <w:jc w:val="both"/>
        <w:ind w:left="520"/>
        <w:spacing w:after="0"/>
        <w:tabs>
          <w:tab w:leader="none" w:pos="2040" w:val="left"/>
        </w:tabs>
        <w:rPr>
          <w:sz w:val="20"/>
          <w:szCs w:val="20"/>
          <w:color w:val="auto"/>
        </w:rPr>
      </w:pPr>
      <w:r>
        <w:rPr>
          <w:rFonts w:ascii="Arial" w:cs="Arial" w:eastAsia="Arial" w:hAnsi="Arial"/>
          <w:sz w:val="18"/>
          <w:szCs w:val="18"/>
          <w:color w:val="auto"/>
        </w:rPr>
        <w:t>(596,635)</w:t>
      </w:r>
      <w:r>
        <w:rPr>
          <w:sz w:val="20"/>
          <w:szCs w:val="20"/>
          <w:color w:val="auto"/>
        </w:rPr>
        <w:tab/>
      </w:r>
      <w:r>
        <w:rPr>
          <w:rFonts w:ascii="Arial" w:cs="Arial" w:eastAsia="Arial" w:hAnsi="Arial"/>
          <w:sz w:val="18"/>
          <w:szCs w:val="18"/>
          <w:color w:val="auto"/>
        </w:rPr>
        <w:t>(777,190)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174117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 w:lineRule="exact"/>
        <w:rPr>
          <w:sz w:val="20"/>
          <w:szCs w:val="20"/>
          <w:color w:val="auto"/>
        </w:rPr>
      </w:pPr>
    </w:p>
    <w:p>
      <w:pPr>
        <w:jc w:val="both"/>
        <w:ind w:left="420"/>
        <w:spacing w:after="0"/>
        <w:tabs>
          <w:tab w:leader="none" w:pos="1800" w:val="left"/>
        </w:tabs>
        <w:rPr>
          <w:sz w:val="20"/>
          <w:szCs w:val="20"/>
          <w:color w:val="auto"/>
        </w:rPr>
      </w:pPr>
      <w:r>
        <w:rPr>
          <w:rFonts w:ascii="Arial" w:cs="Arial" w:eastAsia="Arial" w:hAnsi="Arial"/>
          <w:sz w:val="18"/>
          <w:szCs w:val="18"/>
          <w:color w:val="auto"/>
        </w:rPr>
        <w:t>8,271,831</w:t>
      </w:r>
      <w:r>
        <w:rPr>
          <w:sz w:val="20"/>
          <w:szCs w:val="20"/>
          <w:color w:val="auto"/>
        </w:rPr>
        <w:tab/>
      </w:r>
      <w:r>
        <w:rPr>
          <w:rFonts w:ascii="Arial" w:cs="Arial" w:eastAsia="Arial" w:hAnsi="Arial"/>
          <w:sz w:val="18"/>
          <w:szCs w:val="18"/>
          <w:color w:val="auto"/>
        </w:rPr>
        <w:t>(21,443,261)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17411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1" w:lineRule="exact"/>
        <w:rPr>
          <w:sz w:val="20"/>
          <w:szCs w:val="20"/>
          <w:color w:val="auto"/>
        </w:rPr>
      </w:pPr>
    </w:p>
    <w:p>
      <w:pPr>
        <w:ind w:left="580"/>
        <w:spacing w:after="0"/>
        <w:tabs>
          <w:tab w:leader="none" w:pos="2560" w:val="left"/>
        </w:tabs>
        <w:rPr>
          <w:sz w:val="20"/>
          <w:szCs w:val="20"/>
          <w:color w:val="auto"/>
        </w:rPr>
      </w:pPr>
      <w:r>
        <w:rPr>
          <w:rFonts w:ascii="Arial" w:cs="Arial" w:eastAsia="Arial" w:hAnsi="Arial"/>
          <w:sz w:val="18"/>
          <w:szCs w:val="18"/>
          <w:color w:val="auto"/>
        </w:rPr>
        <w:t>106,754</w:t>
      </w:r>
      <w:r>
        <w:rPr>
          <w:sz w:val="20"/>
          <w:szCs w:val="20"/>
          <w:color w:val="auto"/>
        </w:rPr>
        <w:tab/>
      </w:r>
      <w:r>
        <w:rPr>
          <w:rFonts w:ascii="Arial" w:cs="Arial" w:eastAsia="Arial" w:hAnsi="Arial"/>
          <w:sz w:val="18"/>
          <w:szCs w:val="18"/>
          <w:color w:val="auto"/>
        </w:rPr>
        <w:t>—</w:t>
      </w:r>
    </w:p>
    <w:p>
      <w:pPr>
        <w:jc w:val="both"/>
        <w:ind w:left="520"/>
        <w:spacing w:after="0" w:line="234" w:lineRule="auto"/>
        <w:tabs>
          <w:tab w:leader="none" w:pos="1880" w:val="left"/>
        </w:tabs>
        <w:rPr>
          <w:sz w:val="20"/>
          <w:szCs w:val="20"/>
          <w:color w:val="auto"/>
        </w:rPr>
      </w:pPr>
      <w:r>
        <w:rPr>
          <w:rFonts w:ascii="Arial" w:cs="Arial" w:eastAsia="Arial" w:hAnsi="Arial"/>
          <w:sz w:val="18"/>
          <w:szCs w:val="18"/>
          <w:color w:val="auto"/>
        </w:rPr>
        <w:t>(933,881)</w:t>
      </w:r>
      <w:r>
        <w:rPr>
          <w:sz w:val="20"/>
          <w:szCs w:val="20"/>
          <w:color w:val="auto"/>
        </w:rPr>
        <w:tab/>
      </w:r>
      <w:r>
        <w:rPr>
          <w:rFonts w:ascii="Arial" w:cs="Arial" w:eastAsia="Arial" w:hAnsi="Arial"/>
          <w:sz w:val="18"/>
          <w:szCs w:val="18"/>
          <w:color w:val="auto"/>
        </w:rPr>
        <w:t>(2,071,413)</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40,000</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(827,127)</w:t>
      </w:r>
      <w:r>
        <w:rPr>
          <w:rFonts w:ascii="Arial" w:cs="Arial" w:eastAsia="Arial" w:hAnsi="Arial"/>
          <w:sz w:val="16"/>
          <w:szCs w:val="16"/>
          <w:color w:val="auto"/>
        </w:rPr>
        <w:t>(2,031,413)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174117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-4445</wp:posOffset>
            </wp:positionV>
            <wp:extent cx="174117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1" w:lineRule="exact"/>
        <w:rPr>
          <w:sz w:val="20"/>
          <w:szCs w:val="20"/>
          <w:color w:val="auto"/>
        </w:rPr>
      </w:pPr>
    </w:p>
    <w:p>
      <w:pPr>
        <w:ind w:left="680"/>
        <w:spacing w:after="0"/>
        <w:tabs>
          <w:tab w:leader="none" w:pos="2200" w:val="left"/>
        </w:tabs>
        <w:rPr>
          <w:sz w:val="20"/>
          <w:szCs w:val="20"/>
          <w:color w:val="auto"/>
        </w:rPr>
      </w:pPr>
      <w:r>
        <w:rPr>
          <w:rFonts w:ascii="Arial" w:cs="Arial" w:eastAsia="Arial" w:hAnsi="Arial"/>
          <w:sz w:val="18"/>
          <w:szCs w:val="18"/>
          <w:color w:val="auto"/>
        </w:rPr>
        <w:t>11,072</w:t>
      </w:r>
      <w:r>
        <w:rPr>
          <w:sz w:val="20"/>
          <w:szCs w:val="20"/>
          <w:color w:val="auto"/>
        </w:rPr>
        <w:tab/>
      </w:r>
      <w:r>
        <w:rPr>
          <w:rFonts w:ascii="Arial" w:cs="Arial" w:eastAsia="Arial" w:hAnsi="Arial"/>
          <w:sz w:val="18"/>
          <w:szCs w:val="18"/>
          <w:color w:val="auto"/>
        </w:rPr>
        <w:t>37,423</w:t>
      </w:r>
    </w:p>
    <w:p>
      <w:pPr>
        <w:jc w:val="both"/>
        <w:ind w:left="620"/>
        <w:spacing w:after="0" w:line="234" w:lineRule="auto"/>
        <w:tabs>
          <w:tab w:leader="none" w:pos="2240" w:val="left"/>
        </w:tabs>
        <w:rPr>
          <w:sz w:val="20"/>
          <w:szCs w:val="20"/>
          <w:color w:val="auto"/>
        </w:rPr>
      </w:pPr>
      <w:r>
        <w:rPr>
          <w:rFonts w:ascii="Arial" w:cs="Arial" w:eastAsia="Arial" w:hAnsi="Arial"/>
          <w:sz w:val="18"/>
          <w:szCs w:val="18"/>
          <w:color w:val="auto"/>
        </w:rPr>
        <w:t>(12,745)</w:t>
      </w:r>
      <w:r>
        <w:rPr>
          <w:sz w:val="20"/>
          <w:szCs w:val="20"/>
          <w:color w:val="auto"/>
        </w:rPr>
        <w:tab/>
      </w:r>
      <w:r>
        <w:rPr>
          <w:rFonts w:ascii="Arial" w:cs="Arial" w:eastAsia="Arial" w:hAnsi="Arial"/>
          <w:sz w:val="18"/>
          <w:szCs w:val="18"/>
          <w:color w:val="auto"/>
        </w:rPr>
        <w:t>(9,668)</w:t>
      </w:r>
    </w:p>
    <w:p>
      <w:pPr>
        <w:ind w:left="420"/>
        <w:spacing w:after="0" w:line="232" w:lineRule="auto"/>
        <w:tabs>
          <w:tab w:leader="none" w:pos="1860" w:val="left"/>
        </w:tabs>
        <w:rPr>
          <w:sz w:val="20"/>
          <w:szCs w:val="20"/>
          <w:color w:val="auto"/>
        </w:rPr>
      </w:pPr>
      <w:r>
        <w:rPr>
          <w:rFonts w:ascii="Arial" w:cs="Arial" w:eastAsia="Arial" w:hAnsi="Arial"/>
          <w:sz w:val="18"/>
          <w:szCs w:val="18"/>
          <w:color w:val="auto"/>
        </w:rPr>
        <w:t>8,999,731</w:t>
      </w:r>
      <w:r>
        <w:rPr>
          <w:sz w:val="20"/>
          <w:szCs w:val="20"/>
          <w:color w:val="auto"/>
        </w:rPr>
        <w:tab/>
      </w:r>
      <w:r>
        <w:rPr>
          <w:rFonts w:ascii="Arial" w:cs="Arial" w:eastAsia="Arial" w:hAnsi="Arial"/>
          <w:sz w:val="18"/>
          <w:szCs w:val="18"/>
          <w:color w:val="auto"/>
        </w:rPr>
        <w:t>17,451,965</w:t>
      </w:r>
    </w:p>
    <w:p>
      <w:pPr>
        <w:spacing w:after="0" w:line="1" w:lineRule="exact"/>
        <w:rPr>
          <w:sz w:val="20"/>
          <w:szCs w:val="20"/>
          <w:color w:val="auto"/>
        </w:rPr>
      </w:pPr>
    </w:p>
    <w:p>
      <w:pPr>
        <w:sectPr>
          <w:pgSz w:w="11900" w:h="16838" w:orient="portrait"/>
          <w:cols w:equalWidth="0" w:num="2">
            <w:col w:w="7620" w:space="720"/>
            <w:col w:w="2900"/>
          </w:cols>
          <w:pgMar w:left="240" w:top="460" w:right="419" w:bottom="1440" w:gutter="0" w:footer="0" w:header="0"/>
          <w:type w:val="continuous"/>
        </w:sectPr>
      </w:pPr>
    </w:p>
    <w:tbl>
      <w:tblPr>
        <w:tblLayout w:type="fixed"/>
        <w:tblInd w:w="2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580" w:type="dxa"/>
            <w:vAlign w:val="bottom"/>
          </w:tcPr>
          <w:p>
            <w:pPr>
              <w:ind w:left="840"/>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8,998,058</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17,479,720</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16,442,762</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(5,994,954)</w:t>
            </w: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1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of year</w:t>
            </w:r>
          </w:p>
        </w:tc>
        <w:tc>
          <w:tcPr>
            <w:tcW w:w="15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2,173,765</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8,168,719</w:t>
            </w:r>
          </w:p>
        </w:tc>
        <w:tc>
          <w:tcPr>
            <w:tcW w:w="140" w:type="dxa"/>
            <w:vAlign w:val="bottom"/>
            <w:shd w:val="clear" w:color="auto" w:fill="CCEEFF"/>
          </w:tcPr>
          <w:p>
            <w:pPr>
              <w:spacing w:after="0"/>
              <w:rPr>
                <w:sz w:val="17"/>
                <w:szCs w:val="17"/>
                <w:color w:val="auto"/>
              </w:rPr>
            </w:pPr>
          </w:p>
        </w:tc>
      </w:tr>
      <w:tr>
        <w:trPr>
          <w:trHeight w:val="217"/>
        </w:trPr>
        <w:tc>
          <w:tcPr>
            <w:tcW w:w="660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18,616,527</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2,173,765</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activities</w:t>
            </w:r>
          </w:p>
        </w:tc>
        <w:tc>
          <w:tcPr>
            <w:tcW w:w="15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color w:val="auto"/>
              </w:rPr>
              <w:t>Equipment purchases included in accounts payable</w:t>
            </w:r>
          </w:p>
        </w:tc>
        <w:tc>
          <w:tcPr>
            <w:tcW w:w="1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23,636</w:t>
            </w:r>
          </w:p>
        </w:tc>
        <w:tc>
          <w:tcPr>
            <w:tcW w:w="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277,068</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purchases under capital lease</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416,230</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240" w:top="460" w:right="419" w:bottom="1440" w:gutter="0" w:footer="0" w:header="0"/>
          <w:type w:val="continuous"/>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Notes to the financial statements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 Organization and basis of presentation</w:t>
      </w:r>
    </w:p>
    <w:p>
      <w:pPr>
        <w:spacing w:after="0" w:line="134"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Warp Drive Bio, Inc. (the “Company”) operates on the core principle that nature is the most powerful inventor of new drugs, unconstrained by the boundaries of modern science. The Company is deploying innovative Small Molecule-Assisted Receptor Targeting (SMART</w:t>
      </w:r>
      <w:r>
        <w:rPr>
          <w:rFonts w:ascii="Arial" w:cs="Arial" w:eastAsia="Arial" w:hAnsi="Arial"/>
          <w:sz w:val="10"/>
          <w:szCs w:val="10"/>
          <w:color w:val="auto"/>
        </w:rPr>
        <w:t>™</w:t>
      </w:r>
      <w:r>
        <w:rPr>
          <w:rFonts w:ascii="Arial" w:cs="Arial" w:eastAsia="Arial" w:hAnsi="Arial"/>
          <w:sz w:val="16"/>
          <w:szCs w:val="16"/>
          <w:color w:val="auto"/>
        </w:rPr>
        <w:t>) and Genomic Mining / antibiotic platforms to discover new medicines that have the potential to make a significant difference in the lives of patients. The Company was launched in 2011 through a partnership with Sanofi and with financing from Third Rock Ventures and Greylock Partners.</w:t>
      </w:r>
    </w:p>
    <w:p>
      <w:pPr>
        <w:spacing w:after="0" w:line="75" w:lineRule="exact"/>
        <w:rPr>
          <w:sz w:val="20"/>
          <w:szCs w:val="20"/>
          <w:color w:val="auto"/>
        </w:rPr>
      </w:pPr>
    </w:p>
    <w:p>
      <w:pPr>
        <w:jc w:val="both"/>
        <w:ind w:left="200" w:right="560"/>
        <w:spacing w:after="0" w:line="238"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after a series of mergers with certain affiliates in a tax-free manner. The Company’s shareholders stayed predominantly the same after these transactions.</w:t>
      </w:r>
    </w:p>
    <w:p>
      <w:pPr>
        <w:spacing w:after="0" w:line="100" w:lineRule="exact"/>
        <w:rPr>
          <w:sz w:val="20"/>
          <w:szCs w:val="20"/>
          <w:color w:val="auto"/>
        </w:rPr>
      </w:pPr>
    </w:p>
    <w:p>
      <w:pPr>
        <w:ind w:left="200" w:right="380"/>
        <w:spacing w:after="0" w:line="238" w:lineRule="auto"/>
        <w:rPr>
          <w:sz w:val="20"/>
          <w:szCs w:val="20"/>
          <w:color w:val="auto"/>
        </w:rPr>
      </w:pPr>
      <w:r>
        <w:rPr>
          <w:rFonts w:ascii="Arial" w:cs="Arial" w:eastAsia="Arial" w:hAnsi="Arial"/>
          <w:sz w:val="18"/>
          <w:szCs w:val="18"/>
          <w:color w:val="auto"/>
        </w:rPr>
        <w:t>The Company is subject to a number of risks similar to other life science companies including, but not limited to, raising additional capital, development by its competitors of new technological innovations, protection of proprietary technology, and market acceptance of the Company’s products.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The Company’s financial statements have been prepared on the basis of continuity of operations, realization of assets and the satisfaction of liabilities and commitments in the ordinary course of business. The Company has primarily funded its operations with proceeds from the sales of preferred units and milestones achieved as a result of collaboration arrangements. The Company has incurred losses since its inception, including net losses of approximately $18.2 million and $27.4 million for the years ended December 31, 2017 and 2016. As of December 31, 2017, the Company had an accumulated deficit of approximately $117.5 million. The Company expects that its operating losses will continue for the foreseeable future. As of October 16, 2018, the issuance date of the financial statements for the year ended December 31, 2017, the Company expects that its cash and cash equivalents will not be sufficient to fund its operating expenses and capital expenditure requirements for at least the next 12 months from the date that the financial statements are issued. The future viability of the Company is dependent on its ability to raise additional capital to finance its operations. These conditions raise substantial doubt about the Company’s ability to continue as a going concern within one year after the date that the financial statements are issued.</w:t>
      </w:r>
    </w:p>
    <w:p>
      <w:pPr>
        <w:spacing w:after="0" w:line="107"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Management’s plans to alleviate these conditions that raise substantial doubt regarding the Company’s ability to continue as a going concern include pursuing one or more of the following steps to raise additional funding, none of which can be guaranteed or are entirely within the Company’s control:</w:t>
      </w:r>
    </w:p>
    <w:p>
      <w:pPr>
        <w:spacing w:after="0" w:line="109" w:lineRule="exact"/>
        <w:rPr>
          <w:sz w:val="20"/>
          <w:szCs w:val="20"/>
          <w:color w:val="auto"/>
        </w:rPr>
      </w:pPr>
    </w:p>
    <w:p>
      <w:pPr>
        <w:ind w:left="420" w:hanging="216"/>
        <w:spacing w:after="0"/>
        <w:tabs>
          <w:tab w:leader="none" w:pos="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Sell Company’s stock in private equity financings.</w:t>
      </w:r>
    </w:p>
    <w:p>
      <w:pPr>
        <w:ind w:left="420" w:hanging="216"/>
        <w:spacing w:after="0"/>
        <w:tabs>
          <w:tab w:leader="none" w:pos="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Earn milestones payments under the Company’s collaboration with Roche. See Note 4.</w:t>
      </w:r>
    </w:p>
    <w:p>
      <w:pPr>
        <w:spacing w:after="0" w:line="104"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There can be no assurance, however, that the Company will receive cash proceeds from any of these potential resources or, to the extent cash proceeds are received, those proceeds would be sufficient to support the Company’s operations for at least the next year following the date that the financial statements are issued. Management has concluded the likelihood that its plan to obtain sufficient funding from one or more of these sources will be successful, while reasonably possible, is less than probable. Accordingly, management has concluded that substantial doubt exists regarding the Company’s ability to continue as a going concern.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20"/>
          </w:cols>
          <w:pgMar w:left="24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presentation of financial statements in conformity with generally accepted accounting principles requires management to make estimates and assumptions that affect the amounts of assets and liabilities and disclosure of contingent assets and liabilities as of the date of the financial statements and the reported amounts of revenue and expenses during the reporting period.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costs</w:t>
      </w:r>
    </w:p>
    <w:p>
      <w:pPr>
        <w:spacing w:after="0" w:line="124"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The Company expenses patent and related legal costs as incurred as general and administrative expenses in the statements of operations and comprehensive loss.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4"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Comprehensive loss is comprised of net loss and other comprehensive income (loss), if any. For the years ended December 31, 2017 and 2016, comprehensive loss was equal to net loss.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Cash equivalents are short-term, highly liquid investments that are readily convertible into cash, with original maturities of three months or less.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As of December 31, 2017 and 2016, the Company has $213,581 and $320,261, respectively, of long-term restricted cash related to deposits with a financial institution, which are used to collateralize letters of credit issued to the landlord of the Company’s leased facility (Note 10). During the year ended December 31, 2017, the Company reduced its restricted cash by $106,754 in accordance with the Company’s facility lease.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Property and equipment are stated at cost and are depreciated over their estimated useful lives using the straight-line method. Expenditures for maintenance and repairs are recorded to expense as incurred, whereas major improvements are capitalized as additions to property and equipment. Amortization of capital leases are included in depreciation expense. The Company reviews its property and equipment whenever events or changes in circumstances indicate that the carrying value of certain assets might not be recoverable, and recognizes an impairment loss when it is probable that an asset’s realizable value is less than the carrying value. To date, no such impairment losses have been recorded.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4"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8"/>
          <w:szCs w:val="18"/>
          <w:color w:val="auto"/>
        </w:rPr>
        <w:t>Financial Accounting Standards Board Accounting Standards Codification (ASC) 825, Financial Instruments, requires disclosure of the fair value of financial instruments. For financial instruments including cash equivalents, accounts payable and accrued expenses, the carrying amount approximates fair value due to their short-term nature.</w:t>
      </w:r>
    </w:p>
    <w:p>
      <w:pPr>
        <w:spacing w:after="0" w:line="100"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The Company believes that its debt obligations bear interest at rates which approximate prevailing market rates for instruments with similar characteristics and, accordingly, the carrying values for these instruments approximate fair value. The debt fair value measurements are considered Level 2 in the fair value hierarchy.</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80"/>
          </w:cols>
          <w:pgMar w:left="240" w:top="460" w:right="4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ASC 820, Fair Value Measurements and Disclosures (ASC 820), defines fair value and establishes a framework for measuring fair value in accordance with GAAP and expands disclosures about fair value measurements. ASC 820 codifies the definition of fair value as the price that would be received to sell an asset or paid to transfer a liability in an orderly transaction between market participants at the measurement date, clarifies the principle that fair value should be based on the assumptions market participants would use when pricing the asset or liability, and establishes a fair value hierarchy that prioritizes the information used to develop those assumptions. The valuation hierarchy is based upon the transparency of inputs to the valuation of an asset or liability as of the measurement date.</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Fair value measurements are classified and disclosed in one of the following three categories: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04" w:lineRule="exact"/>
        <w:rPr>
          <w:sz w:val="20"/>
          <w:szCs w:val="20"/>
          <w:color w:val="auto"/>
        </w:rPr>
      </w:pPr>
    </w:p>
    <w:p>
      <w:pPr>
        <w:jc w:val="both"/>
        <w:ind w:left="420" w:right="500"/>
        <w:spacing w:after="0" w:line="238" w:lineRule="auto"/>
        <w:rPr>
          <w:sz w:val="20"/>
          <w:szCs w:val="20"/>
          <w:color w:val="auto"/>
        </w:rPr>
      </w:pPr>
      <w:r>
        <w:rPr>
          <w:rFonts w:ascii="Arial" w:cs="Arial" w:eastAsia="Arial" w:hAnsi="Arial"/>
          <w:sz w:val="18"/>
          <w:szCs w:val="18"/>
          <w:color w:val="auto"/>
        </w:rPr>
        <w:t>Level 2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assets or liabilities.</w:t>
      </w:r>
    </w:p>
    <w:p>
      <w:pPr>
        <w:spacing w:after="0" w:line="127"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The Company measures the following financial assets at fair value on a recurring basis. The fair value of these assets was determined as follows at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4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98"/>
              </w:rPr>
              <w:t>Quoted prices in</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Significant</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40" w:type="dxa"/>
            <w:vAlign w:val="bottom"/>
            <w:gridSpan w:val="2"/>
          </w:tcPr>
          <w:p>
            <w:pPr>
              <w:jc w:val="center"/>
              <w:ind w:left="32"/>
              <w:spacing w:after="0" w:line="202" w:lineRule="exact"/>
              <w:rPr>
                <w:sz w:val="20"/>
                <w:szCs w:val="20"/>
                <w:color w:val="auto"/>
              </w:rPr>
            </w:pPr>
            <w:r>
              <w:rPr>
                <w:rFonts w:ascii="Arial" w:cs="Arial" w:eastAsia="Arial" w:hAnsi="Arial"/>
                <w:sz w:val="18"/>
                <w:szCs w:val="18"/>
                <w:b w:val="1"/>
                <w:bCs w:val="1"/>
                <w:color w:val="auto"/>
                <w:w w:val="97"/>
              </w:rPr>
              <w:t>active markets</w:t>
            </w:r>
          </w:p>
        </w:tc>
        <w:tc>
          <w:tcPr>
            <w:tcW w:w="420" w:type="dxa"/>
            <w:vAlign w:val="bottom"/>
          </w:tcPr>
          <w:p>
            <w:pPr>
              <w:spacing w:after="0"/>
              <w:rPr>
                <w:sz w:val="17"/>
                <w:szCs w:val="17"/>
                <w:color w:val="auto"/>
              </w:rPr>
            </w:pPr>
          </w:p>
        </w:tc>
        <w:tc>
          <w:tcPr>
            <w:tcW w:w="108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3"/>
              </w:rPr>
              <w:t>other</w:t>
            </w:r>
          </w:p>
        </w:tc>
        <w:tc>
          <w:tcPr>
            <w:tcW w:w="380" w:type="dxa"/>
            <w:vAlign w:val="bottom"/>
          </w:tcPr>
          <w:p>
            <w:pPr>
              <w:spacing w:after="0"/>
              <w:rPr>
                <w:sz w:val="17"/>
                <w:szCs w:val="17"/>
                <w:color w:val="auto"/>
              </w:rPr>
            </w:pPr>
          </w:p>
        </w:tc>
        <w:tc>
          <w:tcPr>
            <w:tcW w:w="11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7"/>
              </w:rPr>
              <w:t>Significant</w:t>
            </w: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232"/>
              <w:spacing w:after="0" w:line="202" w:lineRule="exact"/>
              <w:rPr>
                <w:sz w:val="20"/>
                <w:szCs w:val="20"/>
                <w:color w:val="auto"/>
              </w:rPr>
            </w:pPr>
            <w:r>
              <w:rPr>
                <w:rFonts w:ascii="Arial" w:cs="Arial" w:eastAsia="Arial" w:hAnsi="Arial"/>
                <w:sz w:val="18"/>
                <w:szCs w:val="18"/>
                <w:b w:val="1"/>
                <w:bCs w:val="1"/>
                <w:color w:val="auto"/>
                <w:w w:val="97"/>
              </w:rPr>
              <w:t>Balance at</w:t>
            </w:r>
          </w:p>
        </w:tc>
        <w:tc>
          <w:tcPr>
            <w:tcW w:w="480" w:type="dxa"/>
            <w:vAlign w:val="bottom"/>
          </w:tcPr>
          <w:p>
            <w:pPr>
              <w:spacing w:after="0"/>
              <w:rPr>
                <w:sz w:val="17"/>
                <w:szCs w:val="17"/>
                <w:color w:val="auto"/>
              </w:rPr>
            </w:pPr>
          </w:p>
        </w:tc>
        <w:tc>
          <w:tcPr>
            <w:tcW w:w="146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7"/>
              </w:rPr>
              <w:t>for identical</w:t>
            </w:r>
          </w:p>
        </w:tc>
        <w:tc>
          <w:tcPr>
            <w:tcW w:w="15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observable</w:t>
            </w:r>
          </w:p>
        </w:tc>
        <w:tc>
          <w:tcPr>
            <w:tcW w:w="1480" w:type="dxa"/>
            <w:vAlign w:val="bottom"/>
            <w:gridSpan w:val="3"/>
          </w:tcPr>
          <w:p>
            <w:pPr>
              <w:ind w:left="26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7"/>
              </w:rPr>
              <w:t>December 31,</w:t>
            </w:r>
          </w:p>
        </w:tc>
        <w:tc>
          <w:tcPr>
            <w:tcW w:w="480" w:type="dxa"/>
            <w:vAlign w:val="bottom"/>
          </w:tcPr>
          <w:p>
            <w:pPr>
              <w:spacing w:after="0"/>
              <w:rPr>
                <w:sz w:val="17"/>
                <w:szCs w:val="17"/>
                <w:color w:val="auto"/>
              </w:rPr>
            </w:pPr>
          </w:p>
        </w:tc>
        <w:tc>
          <w:tcPr>
            <w:tcW w:w="146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9"/>
              </w:rPr>
              <w:t>assets</w:t>
            </w:r>
          </w:p>
        </w:tc>
        <w:tc>
          <w:tcPr>
            <w:tcW w:w="420" w:type="dxa"/>
            <w:vAlign w:val="bottom"/>
          </w:tcPr>
          <w:p>
            <w:pPr>
              <w:spacing w:after="0"/>
              <w:rPr>
                <w:sz w:val="17"/>
                <w:szCs w:val="17"/>
                <w:color w:val="auto"/>
              </w:rPr>
            </w:pPr>
          </w:p>
        </w:tc>
        <w:tc>
          <w:tcPr>
            <w:tcW w:w="108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9"/>
              </w:rPr>
              <w:t>inputs</w:t>
            </w:r>
          </w:p>
        </w:tc>
        <w:tc>
          <w:tcPr>
            <w:tcW w:w="380" w:type="dxa"/>
            <w:vAlign w:val="bottom"/>
          </w:tcPr>
          <w:p>
            <w:pPr>
              <w:spacing w:after="0"/>
              <w:rPr>
                <w:sz w:val="17"/>
                <w:szCs w:val="17"/>
                <w:color w:val="auto"/>
              </w:rPr>
            </w:pPr>
          </w:p>
        </w:tc>
        <w:tc>
          <w:tcPr>
            <w:tcW w:w="11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inputs</w:t>
            </w:r>
          </w:p>
        </w:tc>
      </w:tr>
      <w:tr>
        <w:trPr>
          <w:trHeight w:val="235"/>
        </w:trPr>
        <w:tc>
          <w:tcPr>
            <w:tcW w:w="2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94"/>
              </w:rPr>
              <w:t>2017</w:t>
            </w: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95"/>
              </w:rPr>
              <w:t>(level 1)</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98"/>
              </w:rPr>
              <w:t>(level 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(level 3)</w:t>
            </w:r>
          </w:p>
        </w:tc>
      </w:tr>
      <w:tr>
        <w:trPr>
          <w:trHeight w:val="48"/>
        </w:trPr>
        <w:tc>
          <w:tcPr>
            <w:tcW w:w="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7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18,411,704</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18,411,704</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18,411,704</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18,411,704</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spacing w:after="0"/>
              <w:rPr>
                <w:sz w:val="17"/>
                <w:szCs w:val="17"/>
                <w:color w:val="auto"/>
              </w:rPr>
            </w:pPr>
          </w:p>
        </w:tc>
        <w:tc>
          <w:tcPr>
            <w:tcW w:w="1500" w:type="dxa"/>
            <w:vAlign w:val="bottom"/>
            <w:tcBorders>
              <w:bottom w:val="single" w:sz="8" w:color="auto"/>
            </w:tcBorders>
            <w:gridSpan w:val="2"/>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4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97"/>
              </w:rPr>
              <w:t>Quoted prices in</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Significant</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40" w:type="dxa"/>
            <w:vAlign w:val="bottom"/>
            <w:gridSpan w:val="2"/>
          </w:tcPr>
          <w:p>
            <w:pPr>
              <w:jc w:val="center"/>
              <w:ind w:right="72"/>
              <w:spacing w:after="0" w:line="202" w:lineRule="exact"/>
              <w:rPr>
                <w:sz w:val="20"/>
                <w:szCs w:val="20"/>
                <w:color w:val="auto"/>
              </w:rPr>
            </w:pPr>
            <w:r>
              <w:rPr>
                <w:rFonts w:ascii="Arial" w:cs="Arial" w:eastAsia="Arial" w:hAnsi="Arial"/>
                <w:sz w:val="18"/>
                <w:szCs w:val="18"/>
                <w:b w:val="1"/>
                <w:bCs w:val="1"/>
                <w:color w:val="auto"/>
                <w:w w:val="97"/>
              </w:rPr>
              <w:t>active markets</w:t>
            </w:r>
          </w:p>
        </w:tc>
        <w:tc>
          <w:tcPr>
            <w:tcW w:w="420" w:type="dxa"/>
            <w:vAlign w:val="bottom"/>
          </w:tcPr>
          <w:p>
            <w:pPr>
              <w:spacing w:after="0"/>
              <w:rPr>
                <w:sz w:val="17"/>
                <w:szCs w:val="17"/>
                <w:color w:val="auto"/>
              </w:rPr>
            </w:pPr>
          </w:p>
        </w:tc>
        <w:tc>
          <w:tcPr>
            <w:tcW w:w="1080" w:type="dxa"/>
            <w:vAlign w:val="bottom"/>
          </w:tcPr>
          <w:p>
            <w:pPr>
              <w:jc w:val="center"/>
              <w:ind w:right="432"/>
              <w:spacing w:after="0" w:line="202" w:lineRule="exact"/>
              <w:rPr>
                <w:sz w:val="20"/>
                <w:szCs w:val="20"/>
                <w:color w:val="auto"/>
              </w:rPr>
            </w:pPr>
            <w:r>
              <w:rPr>
                <w:rFonts w:ascii="Arial" w:cs="Arial" w:eastAsia="Arial" w:hAnsi="Arial"/>
                <w:sz w:val="18"/>
                <w:szCs w:val="18"/>
                <w:b w:val="1"/>
                <w:bCs w:val="1"/>
                <w:color w:val="auto"/>
                <w:w w:val="97"/>
              </w:rPr>
              <w:t>other</w:t>
            </w:r>
          </w:p>
        </w:tc>
        <w:tc>
          <w:tcPr>
            <w:tcW w:w="380" w:type="dxa"/>
            <w:vAlign w:val="bottom"/>
          </w:tcPr>
          <w:p>
            <w:pPr>
              <w:spacing w:after="0"/>
              <w:rPr>
                <w:sz w:val="17"/>
                <w:szCs w:val="17"/>
                <w:color w:val="auto"/>
              </w:rPr>
            </w:pPr>
          </w:p>
        </w:tc>
        <w:tc>
          <w:tcPr>
            <w:tcW w:w="11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7"/>
              </w:rPr>
              <w:t>Significant</w:t>
            </w: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40" w:type="dxa"/>
            <w:vAlign w:val="bottom"/>
            <w:gridSpan w:val="3"/>
          </w:tcPr>
          <w:p>
            <w:pPr>
              <w:jc w:val="right"/>
              <w:ind w:right="452"/>
              <w:spacing w:after="0" w:line="202" w:lineRule="exact"/>
              <w:rPr>
                <w:sz w:val="20"/>
                <w:szCs w:val="20"/>
                <w:color w:val="auto"/>
              </w:rPr>
            </w:pPr>
            <w:r>
              <w:rPr>
                <w:rFonts w:ascii="Arial" w:cs="Arial" w:eastAsia="Arial" w:hAnsi="Arial"/>
                <w:sz w:val="18"/>
                <w:szCs w:val="18"/>
                <w:b w:val="1"/>
                <w:bCs w:val="1"/>
                <w:color w:val="auto"/>
              </w:rPr>
              <w:t>Balance at</w:t>
            </w:r>
          </w:p>
        </w:tc>
        <w:tc>
          <w:tcPr>
            <w:tcW w:w="1940" w:type="dxa"/>
            <w:vAlign w:val="bottom"/>
            <w:gridSpan w:val="2"/>
          </w:tcPr>
          <w:p>
            <w:pPr>
              <w:jc w:val="center"/>
              <w:ind w:right="92"/>
              <w:spacing w:after="0" w:line="202" w:lineRule="exact"/>
              <w:rPr>
                <w:sz w:val="20"/>
                <w:szCs w:val="20"/>
                <w:color w:val="auto"/>
              </w:rPr>
            </w:pPr>
            <w:r>
              <w:rPr>
                <w:rFonts w:ascii="Arial" w:cs="Arial" w:eastAsia="Arial" w:hAnsi="Arial"/>
                <w:sz w:val="18"/>
                <w:szCs w:val="18"/>
                <w:b w:val="1"/>
                <w:bCs w:val="1"/>
                <w:color w:val="auto"/>
                <w:w w:val="97"/>
              </w:rPr>
              <w:t>for identical</w:t>
            </w:r>
          </w:p>
        </w:tc>
        <w:tc>
          <w:tcPr>
            <w:tcW w:w="1500" w:type="dxa"/>
            <w:vAlign w:val="bottom"/>
            <w:gridSpan w:val="2"/>
          </w:tcPr>
          <w:p>
            <w:pPr>
              <w:jc w:val="center"/>
              <w:ind w:right="12"/>
              <w:spacing w:after="0" w:line="202" w:lineRule="exact"/>
              <w:rPr>
                <w:sz w:val="20"/>
                <w:szCs w:val="20"/>
                <w:color w:val="auto"/>
              </w:rPr>
            </w:pPr>
            <w:r>
              <w:rPr>
                <w:rFonts w:ascii="Arial" w:cs="Arial" w:eastAsia="Arial" w:hAnsi="Arial"/>
                <w:sz w:val="18"/>
                <w:szCs w:val="18"/>
                <w:b w:val="1"/>
                <w:bCs w:val="1"/>
                <w:color w:val="auto"/>
                <w:w w:val="96"/>
              </w:rPr>
              <w:t>observable</w:t>
            </w:r>
          </w:p>
        </w:tc>
        <w:tc>
          <w:tcPr>
            <w:tcW w:w="1480" w:type="dxa"/>
            <w:vAlign w:val="bottom"/>
            <w:gridSpan w:val="3"/>
          </w:tcPr>
          <w:p>
            <w:pPr>
              <w:ind w:left="26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40" w:type="dxa"/>
            <w:vAlign w:val="bottom"/>
            <w:gridSpan w:val="4"/>
          </w:tcPr>
          <w:p>
            <w:pPr>
              <w:ind w:left="1400"/>
              <w:spacing w:after="0" w:line="202" w:lineRule="exact"/>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17"/>
                <w:szCs w:val="17"/>
                <w:color w:val="auto"/>
              </w:rPr>
            </w:pPr>
          </w:p>
        </w:tc>
        <w:tc>
          <w:tcPr>
            <w:tcW w:w="1460" w:type="dxa"/>
            <w:vAlign w:val="bottom"/>
          </w:tcPr>
          <w:p>
            <w:pPr>
              <w:jc w:val="center"/>
              <w:ind w:right="552"/>
              <w:spacing w:after="0" w:line="202" w:lineRule="exact"/>
              <w:rPr>
                <w:sz w:val="20"/>
                <w:szCs w:val="20"/>
                <w:color w:val="auto"/>
              </w:rPr>
            </w:pPr>
            <w:r>
              <w:rPr>
                <w:rFonts w:ascii="Arial" w:cs="Arial" w:eastAsia="Arial" w:hAnsi="Arial"/>
                <w:sz w:val="18"/>
                <w:szCs w:val="18"/>
                <w:b w:val="1"/>
                <w:bCs w:val="1"/>
                <w:color w:val="auto"/>
                <w:w w:val="96"/>
              </w:rPr>
              <w:t>assets</w:t>
            </w:r>
          </w:p>
        </w:tc>
        <w:tc>
          <w:tcPr>
            <w:tcW w:w="420" w:type="dxa"/>
            <w:vAlign w:val="bottom"/>
          </w:tcPr>
          <w:p>
            <w:pPr>
              <w:spacing w:after="0"/>
              <w:rPr>
                <w:sz w:val="17"/>
                <w:szCs w:val="17"/>
                <w:color w:val="auto"/>
              </w:rPr>
            </w:pPr>
          </w:p>
        </w:tc>
        <w:tc>
          <w:tcPr>
            <w:tcW w:w="1080" w:type="dxa"/>
            <w:vAlign w:val="bottom"/>
          </w:tcPr>
          <w:p>
            <w:pPr>
              <w:jc w:val="center"/>
              <w:ind w:right="432"/>
              <w:spacing w:after="0" w:line="202" w:lineRule="exact"/>
              <w:rPr>
                <w:sz w:val="20"/>
                <w:szCs w:val="20"/>
                <w:color w:val="auto"/>
              </w:rPr>
            </w:pPr>
            <w:r>
              <w:rPr>
                <w:rFonts w:ascii="Arial" w:cs="Arial" w:eastAsia="Arial" w:hAnsi="Arial"/>
                <w:sz w:val="18"/>
                <w:szCs w:val="18"/>
                <w:b w:val="1"/>
                <w:bCs w:val="1"/>
                <w:color w:val="auto"/>
                <w:w w:val="96"/>
              </w:rPr>
              <w:t>inputs</w:t>
            </w:r>
          </w:p>
        </w:tc>
        <w:tc>
          <w:tcPr>
            <w:tcW w:w="380" w:type="dxa"/>
            <w:vAlign w:val="bottom"/>
          </w:tcPr>
          <w:p>
            <w:pPr>
              <w:spacing w:after="0"/>
              <w:rPr>
                <w:sz w:val="17"/>
                <w:szCs w:val="17"/>
                <w:color w:val="auto"/>
              </w:rPr>
            </w:pPr>
          </w:p>
        </w:tc>
        <w:tc>
          <w:tcPr>
            <w:tcW w:w="11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inputs</w:t>
            </w:r>
          </w:p>
        </w:tc>
      </w:tr>
      <w:tr>
        <w:trPr>
          <w:trHeight w:val="235"/>
        </w:trPr>
        <w:tc>
          <w:tcPr>
            <w:tcW w:w="2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52"/>
              <w:spacing w:after="0"/>
              <w:rPr>
                <w:sz w:val="20"/>
                <w:szCs w:val="20"/>
                <w:color w:val="auto"/>
              </w:rPr>
            </w:pPr>
            <w:r>
              <w:rPr>
                <w:rFonts w:ascii="Arial" w:cs="Arial" w:eastAsia="Arial" w:hAnsi="Arial"/>
                <w:sz w:val="18"/>
                <w:szCs w:val="18"/>
                <w:b w:val="1"/>
                <w:bCs w:val="1"/>
                <w:color w:val="auto"/>
                <w:w w:val="98"/>
              </w:rPr>
              <w:t>(level 1)</w:t>
            </w:r>
          </w:p>
        </w:tc>
        <w:tc>
          <w:tcPr>
            <w:tcW w:w="150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8"/>
                <w:szCs w:val="18"/>
                <w:b w:val="1"/>
                <w:bCs w:val="1"/>
                <w:color w:val="auto"/>
                <w:w w:val="95"/>
              </w:rPr>
              <w:t>(level 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(level 3)</w:t>
            </w:r>
          </w:p>
        </w:tc>
      </w:tr>
      <w:tr>
        <w:trPr>
          <w:trHeight w:val="48"/>
        </w:trPr>
        <w:tc>
          <w:tcPr>
            <w:tcW w:w="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600" w:type="dxa"/>
            <w:vAlign w:val="bottom"/>
            <w:gridSpan w:val="2"/>
          </w:tcPr>
          <w:p>
            <w:pPr>
              <w:ind w:left="1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tcPr>
          <w:p>
            <w:pPr>
              <w:jc w:val="center"/>
              <w:ind w:right="252"/>
              <w:spacing w:after="0" w:line="202" w:lineRule="exact"/>
              <w:rPr>
                <w:sz w:val="20"/>
                <w:szCs w:val="20"/>
                <w:color w:val="auto"/>
              </w:rPr>
            </w:pPr>
            <w:r>
              <w:rPr>
                <w:rFonts w:ascii="Arial" w:cs="Arial" w:eastAsia="Arial" w:hAnsi="Arial"/>
                <w:sz w:val="18"/>
                <w:szCs w:val="18"/>
                <w:color w:val="auto"/>
                <w:w w:val="97"/>
              </w:rPr>
              <w:t>2,072,164</w:t>
            </w:r>
          </w:p>
        </w:tc>
        <w:tc>
          <w:tcPr>
            <w:tcW w:w="4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2,072,164</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600" w:type="dxa"/>
            <w:vAlign w:val="bottom"/>
            <w:gridSpan w:val="2"/>
            <w:shd w:val="clear" w:color="auto" w:fill="CCEEFF"/>
          </w:tcPr>
          <w:p>
            <w:pPr>
              <w:ind w:left="1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right="252"/>
              <w:spacing w:after="0" w:line="202" w:lineRule="exact"/>
              <w:rPr>
                <w:sz w:val="20"/>
                <w:szCs w:val="20"/>
                <w:color w:val="auto"/>
              </w:rPr>
            </w:pPr>
            <w:r>
              <w:rPr>
                <w:rFonts w:ascii="Arial" w:cs="Arial" w:eastAsia="Arial" w:hAnsi="Arial"/>
                <w:sz w:val="18"/>
                <w:szCs w:val="18"/>
                <w:color w:val="auto"/>
                <w:w w:val="97"/>
              </w:rPr>
              <w:t>2,072,164</w:t>
            </w:r>
          </w:p>
        </w:tc>
        <w:tc>
          <w:tcPr>
            <w:tcW w:w="4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2,072,164</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F-75</w:t>
            </w: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0"/>
        <w:spacing w:after="0" w:line="236" w:lineRule="auto"/>
        <w:rPr>
          <w:sz w:val="20"/>
          <w:szCs w:val="20"/>
          <w:color w:val="auto"/>
        </w:rPr>
      </w:pPr>
      <w:r>
        <w:rPr>
          <w:rFonts w:ascii="Arial" w:cs="Arial" w:eastAsia="Arial" w:hAnsi="Arial"/>
          <w:sz w:val="18"/>
          <w:szCs w:val="18"/>
          <w:color w:val="auto"/>
        </w:rPr>
        <w:t>In 2018, the Company identified an error in the amount of cash equivalents, specifically money market funds, reported in its 2016 leveling disclosures which resulted in an understatement of money market funds balances of $2,036,577 at December 31, 2016 and an offsetting overstatement of its cash balance presentation in the leveling table. In accordance with accounting guidance in ASC 250, the Company concluded that this error was not material to the previously issued financials statements. The disclosure has been revised to reflect the corrected money market funds balance of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December 31, 2016</w:t>
            </w: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3"/>
          </w:tcPr>
          <w:p>
            <w:pPr>
              <w:ind w:left="2880"/>
              <w:spacing w:after="0"/>
              <w:rPr>
                <w:sz w:val="20"/>
                <w:szCs w:val="20"/>
                <w:color w:val="auto"/>
              </w:rPr>
            </w:pPr>
            <w:r>
              <w:rPr>
                <w:rFonts w:ascii="Arial" w:cs="Arial" w:eastAsia="Arial" w:hAnsi="Arial"/>
                <w:sz w:val="18"/>
                <w:szCs w:val="18"/>
                <w:b w:val="1"/>
                <w:bCs w:val="1"/>
                <w:color w:val="auto"/>
                <w:w w:val="96"/>
              </w:rPr>
              <w:t>As reported</w:t>
            </w:r>
          </w:p>
        </w:tc>
        <w:tc>
          <w:tcPr>
            <w:tcW w:w="16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Adjustment</w:t>
            </w: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As revised</w:t>
            </w: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3160" w:type="dxa"/>
            <w:vAlign w:val="bottom"/>
            <w:gridSpan w:val="2"/>
            <w:shd w:val="clear" w:color="auto" w:fill="CCEEFF"/>
          </w:tcPr>
          <w:p>
            <w:pPr>
              <w:ind w:left="288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35,587</w:t>
            </w:r>
          </w:p>
        </w:tc>
        <w:tc>
          <w:tcPr>
            <w:tcW w:w="166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$ 2,036,577</w:t>
            </w:r>
          </w:p>
        </w:tc>
        <w:tc>
          <w:tcPr>
            <w:tcW w:w="9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7"/>
              </w:rPr>
              <w:t>$2,072,164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In addition, cash balances were removed from the leveling table. The revisions had no impact to the previously reported Balance Sheets, Statements of Operations and Comprehensive Loss, Statements of Convertible Preferred Stock and Stockholders’ Deficit or the Statements of Cash Flows.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jc w:val="both"/>
        <w:ind w:left="200" w:right="300"/>
        <w:spacing w:after="0" w:line="238" w:lineRule="auto"/>
        <w:rPr>
          <w:sz w:val="20"/>
          <w:szCs w:val="20"/>
          <w:color w:val="auto"/>
        </w:rPr>
      </w:pPr>
      <w:r>
        <w:rPr>
          <w:rFonts w:ascii="Arial" w:cs="Arial" w:eastAsia="Arial" w:hAnsi="Arial"/>
          <w:sz w:val="18"/>
          <w:szCs w:val="18"/>
          <w:color w:val="auto"/>
        </w:rPr>
        <w:t>Beginning on October 5, 2017, the Company has earned revenue under the research collaboration with F. Hoffman-La Roche Limited and Hoffman-La Roche Inc. (Roche) concentrated on the development of drug candidates from novel natural products with antibiotic properties called Neomorphs.</w:t>
      </w:r>
    </w:p>
    <w:p>
      <w:pPr>
        <w:spacing w:after="0" w:line="100"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Beginning on January 8, 2016, the Company has earned revenue under the research collaboration with Sanofi Research Invest, LLC (Sanofi), a large shareholder, in which the Company granted an exclusive license focused on the development of drugs targeting important human oncogenes.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 4 regarding the notice of termination of this collaboration during the year ended December 31, 2017.</w:t>
      </w:r>
    </w:p>
    <w:p>
      <w:pPr>
        <w:spacing w:after="0" w:line="104"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The Company recognizes revenue in accordance with ASC Topic 605, Revenue Recognition (ASC 605). Accordingly, revenue is recognized for each unit of accounting when all of the following criteria are met:</w:t>
      </w:r>
    </w:p>
    <w:p>
      <w:pPr>
        <w:spacing w:after="0" w:line="110" w:lineRule="exact"/>
        <w:rPr>
          <w:sz w:val="20"/>
          <w:szCs w:val="20"/>
          <w:color w:val="auto"/>
        </w:rPr>
      </w:pPr>
    </w:p>
    <w:p>
      <w:pPr>
        <w:ind w:left="420" w:hanging="216"/>
        <w:spacing w:after="0"/>
        <w:tabs>
          <w:tab w:leader="none" w:pos="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ind w:left="420" w:hanging="216"/>
        <w:spacing w:after="0" w:line="234" w:lineRule="auto"/>
        <w:tabs>
          <w:tab w:leader="none" w:pos="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ind w:left="420" w:hanging="216"/>
        <w:spacing w:after="0" w:line="234" w:lineRule="auto"/>
        <w:tabs>
          <w:tab w:leader="none" w:pos="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ind w:left="420" w:hanging="216"/>
        <w:spacing w:after="0"/>
        <w:tabs>
          <w:tab w:leader="none" w:pos="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04" w:lineRule="exact"/>
        <w:rPr>
          <w:sz w:val="20"/>
          <w:szCs w:val="20"/>
          <w:color w:val="auto"/>
        </w:rPr>
      </w:pPr>
    </w:p>
    <w:p>
      <w:pPr>
        <w:jc w:val="both"/>
        <w:ind w:left="200" w:right="200"/>
        <w:spacing w:after="0" w:line="281" w:lineRule="auto"/>
        <w:rPr>
          <w:sz w:val="20"/>
          <w:szCs w:val="20"/>
          <w:color w:val="auto"/>
        </w:rPr>
      </w:pPr>
      <w:r>
        <w:rPr>
          <w:rFonts w:ascii="Arial" w:cs="Arial" w:eastAsia="Arial" w:hAnsi="Arial"/>
          <w:sz w:val="16"/>
          <w:szCs w:val="16"/>
          <w:color w:val="auto"/>
        </w:rPr>
        <w:t>Amounts received prior to satisfying the revenue recognition criteria are recorded as deferred revenue. Amounts expected to be recognized as revenue within the 12 months following the balance sheet date are classified in current liabilities. Amounts not expected to be recognized as revenue within the 12 months following the balance sheet date are classified as deferred revenue, less current portion.</w:t>
      </w:r>
    </w:p>
    <w:p>
      <w:pPr>
        <w:spacing w:after="0" w:line="70" w:lineRule="exact"/>
        <w:rPr>
          <w:sz w:val="20"/>
          <w:szCs w:val="20"/>
          <w:color w:val="auto"/>
        </w:rPr>
      </w:pPr>
    </w:p>
    <w:p>
      <w:pPr>
        <w:ind w:left="200" w:right="80"/>
        <w:spacing w:after="0" w:line="270" w:lineRule="auto"/>
        <w:rPr>
          <w:sz w:val="20"/>
          <w:szCs w:val="20"/>
          <w:color w:val="auto"/>
        </w:rPr>
      </w:pPr>
      <w:r>
        <w:rPr>
          <w:rFonts w:ascii="Arial" w:cs="Arial" w:eastAsia="Arial" w:hAnsi="Arial"/>
          <w:sz w:val="16"/>
          <w:szCs w:val="16"/>
          <w:color w:val="auto"/>
        </w:rPr>
        <w:t>The Company evaluates multiple—element arrangements based on the guidance in ASC Topic 605—25, Revenue Recognition Multiple— Element Arrangements (ASC 605—25). Pursuant to the guidance in ASC 605—25, the Company evaluates multiple—element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the Company to make judgments about the individual deliverables and whether such deliverables are separable from the other aspects of the contractual relationship. Deliverables are considered separate units of accounting provided that the delivered item has value to the customer on a standalone basis and, if the arrangement includes a general right of return relative to the delivered item,</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40"/>
          </w:cols>
          <w:pgMar w:left="240" w:top="459" w:right="41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delivery or performance of the undelivered item is considered probable and substantially in the Company’s control. In assessing whether an item has standalone value,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use a deliverable for its intended purpose without the receipt of the remaining deliverable, whether the value of the deliverable is dependent on the undelivered item and whether there are other vendors that can provide the undelivered items.</w:t>
      </w:r>
    </w:p>
    <w:p>
      <w:pPr>
        <w:spacing w:after="0" w:line="102" w:lineRule="exact"/>
        <w:rPr>
          <w:sz w:val="20"/>
          <w:szCs w:val="20"/>
          <w:color w:val="auto"/>
        </w:rPr>
      </w:pPr>
    </w:p>
    <w:p>
      <w:pPr>
        <w:ind w:left="200" w:right="40"/>
        <w:spacing w:after="0" w:line="269" w:lineRule="auto"/>
        <w:rPr>
          <w:sz w:val="20"/>
          <w:szCs w:val="20"/>
          <w:color w:val="auto"/>
        </w:rPr>
      </w:pPr>
      <w:r>
        <w:rPr>
          <w:rFonts w:ascii="Arial" w:cs="Arial" w:eastAsia="Arial" w:hAnsi="Arial"/>
          <w:sz w:val="16"/>
          <w:szCs w:val="16"/>
          <w:color w:val="auto"/>
        </w:rPr>
        <w:t>The consideration received under the arrangement that is fixed or determinable is then allocated among the separate units of accounting using the relative selling price method.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Determining the BESP for a unit of accounting requires significant judgment. In developing the BESP for a unit of accounting, the Company considers applicable market conditions and relevant entity—specific factors, including factors that were contemplated in negotiating the agreement with the customer and estimated costs. The Company validates the BESP for units of accounting by evaluating whether changes in the key assumptions used to determine the BESP will have a significant effect on the allocation of arrangement consideration between multiple units of accounting.</w:t>
      </w:r>
    </w:p>
    <w:p>
      <w:pPr>
        <w:spacing w:after="0" w:line="79"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The Company recognizes arrangement consideration allocated to each unit of accounting when all of the revenue recognition criteria in ASC 605 are satisfied for that particular unit of accounting. In the event that a deliverable does not represent a separate unit of accounting, the Company recognizes revenue from the combined unit of accounting over the Company’s contractual or estimated performance period for the undelivered elements, which is typically the term of the Company’s research and development obligations. If there is no discernible pattern of performance or objectively measurable performance measures do not exist, then the Company recognizes revenue under the arrangement on a straight—line basis over the period the Company is expected to complete its performance obligations.</w:t>
      </w:r>
    </w:p>
    <w:p>
      <w:pPr>
        <w:spacing w:after="0" w:line="77"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(1) the consideration is commensurate with either the Company’s performance to achieve the milestone or the enhancement of the value of the delivered item(s) as a result of a specific outcome resulting from its performance to achieve the milestone, (2) the consideration relates solely to past performance and (3) the consideration is reasonable relative to all of the deliverables and payment terms within the arrangement. The Company evaluates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Milestones that are not considered substantive are recognized as earned if here are no remaining performance obligations or over the remaining period of performance, assuming all other revenue recognition criteria are met. The Company uses the cumulative catch-up approach.</w:t>
      </w:r>
    </w:p>
    <w:p>
      <w:pPr>
        <w:spacing w:after="0" w:line="107"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00" w:lineRule="exact"/>
        <w:rPr>
          <w:sz w:val="20"/>
          <w:szCs w:val="20"/>
          <w:color w:val="auto"/>
        </w:rPr>
      </w:pPr>
    </w:p>
    <w:p>
      <w:pPr>
        <w:ind w:left="200" w:right="340"/>
        <w:spacing w:after="0" w:line="237" w:lineRule="auto"/>
        <w:rPr>
          <w:sz w:val="20"/>
          <w:szCs w:val="20"/>
          <w:color w:val="auto"/>
        </w:rPr>
      </w:pPr>
      <w:r>
        <w:rPr>
          <w:rFonts w:ascii="Arial" w:cs="Arial" w:eastAsia="Arial" w:hAnsi="Arial"/>
          <w:sz w:val="18"/>
          <w:szCs w:val="18"/>
          <w:color w:val="auto"/>
        </w:rPr>
        <w:t>The Company follows the accounting guidance in ASC 808 Collaborations for collaborative arrangements which require that certain transactions between collaborators be recorded in the Statement of Operations and Comprehensive Loss on either a gross or net basis, depending on the characteristics of the collaboration relationship, and provides for enhanced disclosure of collaborative relationships. The Company accounts for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20"/>
          </w:cols>
          <w:pgMar w:left="240" w:top="460"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collaborations within the scope of ASC 808 when both parties are actively participating and exposed to significant risks and rewards. The ASC 808 guidance is specific to presentation and disclosure and does not address recognition and measurement. The Company evaluated its collaborative agreements for proper classification in the Statement of Operations and Comprehensive Loss based on the nature of the underlying activity.</w:t>
      </w:r>
    </w:p>
    <w:p>
      <w:pPr>
        <w:spacing w:after="0" w:line="10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If payments to and from collaborative partners are not within the scope of other authoritative literature, the classification in the Statement of Operations and Comprehensive Loss for the payments is based on a reasonable, rational analogy to authoritative accounting that is applied in a consistent manner. Payments and services are reviewed in order to determine if gross or net presentation is appropriate.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Grant revenue</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Company has concluded to recognize funding received from antibiotic grants from the Gates Foundation, the Cystic Fibrosis Foundation and the Small Business Innovative Research program as revenue, rather than as a reduction of research and development expenses, because the Company is the principal in conducting the research and development activities and these contracts are central to its Neomorph antibiotic ongoing operations. Revenue is recognized as the qualifying expenses related to the contracts are incurred and at times approved by the counter- party. Revenue recognition commences only once persuasive evidence of a contract exists, services have been rendered, the reimbursement amounts under the contract are fixed or determinable and approved by the counter party, and collectability is reasonably assured.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24" w:lineRule="exact"/>
        <w:rPr>
          <w:sz w:val="20"/>
          <w:szCs w:val="20"/>
          <w:color w:val="auto"/>
        </w:rPr>
      </w:pPr>
    </w:p>
    <w:p>
      <w:pPr>
        <w:ind w:left="200" w:right="360"/>
        <w:spacing w:after="0" w:line="238" w:lineRule="auto"/>
        <w:rPr>
          <w:sz w:val="20"/>
          <w:szCs w:val="20"/>
          <w:color w:val="auto"/>
        </w:rPr>
      </w:pPr>
      <w:r>
        <w:rPr>
          <w:rFonts w:ascii="Arial" w:cs="Arial" w:eastAsia="Arial" w:hAnsi="Arial"/>
          <w:sz w:val="18"/>
          <w:szCs w:val="18"/>
          <w:color w:val="auto"/>
        </w:rPr>
        <w:t>Expenditures relating to research and development are expensed in the period incurred. R&amp;D costs consist of compensation and benefits (including stock-based compensation) for R&amp;D employees, an allocation of facility expenses, overhead expenses, fees paid to contract research organizations (CROs) and other outside expenses.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costs</w:t>
      </w:r>
    </w:p>
    <w:p>
      <w:pPr>
        <w:spacing w:after="0" w:line="124"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General and administrative costs primarily costs of compensation and benefits (including stock- based compensation) of executive, human resources, and finance employees. Other costs include facility costs not otherwise included in research and development expense, and professional fees for legal and accounting services. General and administrative expense also consists of the costs of maintaining the Company’s intellectual property.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after a series of mergers with certain affiliates in a tax-free manner. The holders of common units received an equivalent number of common stock.</w:t>
      </w:r>
    </w:p>
    <w:p>
      <w:pPr>
        <w:spacing w:after="0" w:line="100"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The Company uses the liability method to account for income taxes. Deferred tax assets and liabilities are determined based on differences between financial reporting and income tax basis of assets and liabilities, as well as net operating loss and tax credit carryforwards, and are measured using the enacted tax rates and laws that will be in effect when the differences reverse. Deferred tax assets are reduced by a valuation allowance to reflect the uncertainty associated with their ultimate realization. The effect of a change in tax rate on deferred taxes is recognized in income or loss in the period that includes the enactment date.</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20"/>
          </w:cols>
          <w:pgMar w:left="24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The Company uses its judgment for the financial statement recognition and measurement of a tax position taken or expected to be taken in a tax return. The Company recognizes any material interest and penalties related to unrecognized tax benefits in income tax expense.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124" w:lineRule="exact"/>
        <w:rPr>
          <w:sz w:val="20"/>
          <w:szCs w:val="20"/>
          <w:color w:val="auto"/>
        </w:rPr>
      </w:pPr>
    </w:p>
    <w:p>
      <w:pPr>
        <w:ind w:left="200" w:right="280"/>
        <w:spacing w:after="0" w:line="236" w:lineRule="auto"/>
        <w:rPr>
          <w:sz w:val="20"/>
          <w:szCs w:val="20"/>
          <w:color w:val="auto"/>
        </w:rPr>
      </w:pPr>
      <w:r>
        <w:rPr>
          <w:rFonts w:ascii="Arial" w:cs="Arial" w:eastAsia="Arial" w:hAnsi="Arial"/>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primarily consist of cash held in traditional bank accounts. At December 31, 2017, the Company’s cash was deposited with a large financial institution and, accordingly, the Company believes such funds are subject to minimal credit risk. The Company invests its cash equivalents in highly rated money market funds.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accounts for stock-based compensation awards in accordance with ASC Topic 718, Compensation—Stock Compensation (ASC 718). ASC 718 requires all share-based payments to employees, including unvested restricted stock, to be recognized as expense in the statements of operations based on their grant date fair values. In January 2016, the Company amended the Limited Liability Company Agreement with its preferred shareholders and restructured the Company as a C Corporation. In 2016 as a C Corporation, the Company granted unvested restricted stock to employees and members of the Board of Directors. Stock-based compensation for restricted stock issued for consideration less than the fair market value is recognized over the vesting period on a straight-line basis.</w:t>
      </w:r>
    </w:p>
    <w:p>
      <w:pPr>
        <w:spacing w:after="0" w:line="102" w:lineRule="exact"/>
        <w:rPr>
          <w:sz w:val="20"/>
          <w:szCs w:val="20"/>
          <w:color w:val="auto"/>
        </w:rPr>
      </w:pPr>
    </w:p>
    <w:p>
      <w:pPr>
        <w:ind w:left="200" w:right="160"/>
        <w:spacing w:after="0" w:line="264" w:lineRule="auto"/>
        <w:rPr>
          <w:sz w:val="20"/>
          <w:szCs w:val="20"/>
          <w:color w:val="auto"/>
        </w:rPr>
      </w:pPr>
      <w:r>
        <w:rPr>
          <w:rFonts w:ascii="Arial" w:cs="Arial" w:eastAsia="Arial" w:hAnsi="Arial"/>
          <w:sz w:val="16"/>
          <w:szCs w:val="16"/>
          <w:color w:val="auto"/>
        </w:rPr>
        <w:t>Share-based payments issued to nonemployees are initially recorded at their fair values, and are revalued at each reporting date and as the equity instruments vest and are recognized as expense over the related service period in accordance with the provisions of ASC Topic</w:t>
      </w:r>
    </w:p>
    <w:p>
      <w:pPr>
        <w:ind w:left="200" w:right="340"/>
        <w:spacing w:after="0" w:line="237" w:lineRule="auto"/>
        <w:rPr>
          <w:sz w:val="20"/>
          <w:szCs w:val="20"/>
          <w:color w:val="auto"/>
        </w:rPr>
      </w:pPr>
      <w:r>
        <w:rPr>
          <w:rFonts w:ascii="Arial" w:cs="Arial" w:eastAsia="Arial" w:hAnsi="Arial"/>
          <w:sz w:val="18"/>
          <w:szCs w:val="18"/>
          <w:color w:val="auto"/>
        </w:rPr>
        <w:t>505-50, Equity-Based Payments to Non Employees. During the year ended December 31, 2017, 25,000 unvested restricted stock was granted to nonemployees. During the year ended December 31, 2016, no unvested restricted stock was granted to nonemployees. Stock-based compensation costs for nonemployee awards is recognized as services are provided, which is generally the vesting period, on a straight-line basis. The unvested portion of the restricted stock is subject to remeasurement over the vesting period.</w:t>
      </w:r>
    </w:p>
    <w:p>
      <w:pPr>
        <w:spacing w:after="0" w:line="101" w:lineRule="exact"/>
        <w:rPr>
          <w:sz w:val="20"/>
          <w:szCs w:val="20"/>
          <w:color w:val="auto"/>
        </w:rPr>
      </w:pPr>
    </w:p>
    <w:p>
      <w:pPr>
        <w:ind w:left="200" w:right="300"/>
        <w:spacing w:after="0" w:line="238"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after a series of mergers with certain affiliates in a tax-free manner. The holders of common units and capital interests received an equivalent number of common stock with the same vesting provisions as the original awards.</w:t>
      </w:r>
    </w:p>
    <w:p>
      <w:pPr>
        <w:spacing w:after="0" w:line="100" w:lineRule="exact"/>
        <w:rPr>
          <w:sz w:val="20"/>
          <w:szCs w:val="20"/>
          <w:color w:val="auto"/>
        </w:rPr>
      </w:pPr>
    </w:p>
    <w:p>
      <w:pPr>
        <w:ind w:left="200" w:right="140"/>
        <w:spacing w:after="0" w:line="235" w:lineRule="auto"/>
        <w:rPr>
          <w:sz w:val="20"/>
          <w:szCs w:val="20"/>
          <w:color w:val="auto"/>
        </w:rPr>
      </w:pPr>
      <w:r>
        <w:rPr>
          <w:rFonts w:ascii="Arial" w:cs="Arial" w:eastAsia="Arial" w:hAnsi="Arial"/>
          <w:sz w:val="18"/>
          <w:szCs w:val="18"/>
          <w:color w:val="auto"/>
        </w:rPr>
        <w:t>The Company has utilized significant estimates and assumptions in determining the fair value of its common stock and common units. The Board of Directors determined the estimated fair value of the Company’s common stock based on a number of objective and subjective factors, including the lack of an active public market for the Company’s common and convertible preferred stock; the prices of shares of the Company’s convertible preferred stock that the Company had sold to outside investors in arm’s length transactions, and the rights, preferences, and privileges of that convertible preferred stock relative to the Company’s common stock; the Company’s results of operations and financial condition; the Company’s entry into collaboration agreements; the material risks related to the Company’s business; the Company’s business strategy; the market performance of publicly traded companies in the life sciences and biotechnology sectors; and the likelihood of achieving a liquidity event for the holders of the Company’s common stock, such as an initial public offering (IPO), given prevailing market conditions. Significant changes to the key assumptions used in the valuations could have resulted in different fair values of the Company’s common stock at each valuation date.</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20"/>
          </w:cols>
          <w:pgMar w:left="24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4"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In May 2014, the Financial Accounting Standards Board, or FASB, issued Accounting Standard Update, or ASU, No. 2014-9, Revenue from Contracts with Customers, or ASU No. 2014-9,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private companies for annual reporting periods beginning after December 15, 2018 and should be applied retrospectively to each prior reporting period presented or retrospectively with the cumulative effect of initially applying this update recognized at the date of initial application. The Company is currently evaluating the impact of the adoption of this standard on its financial statements.</w:t>
      </w:r>
    </w:p>
    <w:p>
      <w:pPr>
        <w:spacing w:after="0" w:line="282"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In February 2016, the FASB issued ASU 2016-02, Leases. This standard amends the existing guidance to require lessees to present most leases on their balance sheets and recognize corresponding expenses on their statements of operations. It is effective for annual reporting periods beginning after December 15, 2019, but early adoption is permitted. The Company is currently evaluating the impact that this standard will have on its financial statements.</w:t>
      </w:r>
    </w:p>
    <w:p>
      <w:pPr>
        <w:spacing w:after="0" w:line="101" w:lineRule="exact"/>
        <w:rPr>
          <w:sz w:val="20"/>
          <w:szCs w:val="20"/>
          <w:color w:val="auto"/>
        </w:rPr>
      </w:pPr>
    </w:p>
    <w:p>
      <w:pPr>
        <w:ind w:left="200" w:right="220"/>
        <w:spacing w:after="0" w:line="275" w:lineRule="auto"/>
        <w:rPr>
          <w:sz w:val="20"/>
          <w:szCs w:val="20"/>
          <w:color w:val="auto"/>
        </w:rPr>
      </w:pPr>
      <w:r>
        <w:rPr>
          <w:rFonts w:ascii="Arial" w:cs="Arial" w:eastAsia="Arial" w:hAnsi="Arial"/>
          <w:sz w:val="16"/>
          <w:szCs w:val="16"/>
          <w:color w:val="auto"/>
        </w:rPr>
        <w:t>In March 2016, the FASB issued ASU No. 2016-09, Improvements to Employee Share-Based Payment Accounting, or ASU No. 2016-09, which simplifies several aspects of the accounting for share-based payment transactions, including the income tax consequences, classification of awards as either equity or liabilities and classification of cash flows. ASU No. 2016-09 is effective for annual periods beginning after December 15, 2017. The Company is currently evaluating the impact that this standard will have on its financial statements.</w:t>
      </w:r>
    </w:p>
    <w:p>
      <w:pPr>
        <w:spacing w:after="0" w:line="75"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In November 2016, FASB issued ASU No. 2016-18, Statement of Cash Flows, Restricted Cash, or ASU No. 2016-18. ASU No. 2016-18 provides guidance on the presentation of restricted cash and restricted cash equivalents in the statement of cash flows. Under ASU No. 2016-18, the statement of cash flows shall explain the change during the period in the total of cash, cash equivalents, and amounts generally described as restricted cash or restricted cash equivalents. Amounts generally described as restricted cash and cash equivalents should now be included with cash and cash equivalents when reconciling the beginning-of-period and end-of-period amounts shown on the statements of cash flows. The amendments of this ASU are effective for reporting periods beginning after December 15, 2017, with early adoption permitted. Other than the revised statement of cash flows presentation, the adoption of ASU No. 2016-18 will not have an impact on the Company’s financial statements.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20"/>
          </w:cols>
          <w:pgMar w:left="24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3.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3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Useful life</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3740" w:type="dxa"/>
            <w:vAlign w:val="bottom"/>
            <w:shd w:val="clear" w:color="auto" w:fill="CCEEFF"/>
          </w:tcPr>
          <w:p>
            <w:pPr>
              <w:jc w:val="center"/>
              <w:ind w:left="652"/>
              <w:spacing w:after="0" w:line="196" w:lineRule="exact"/>
              <w:rPr>
                <w:sz w:val="20"/>
                <w:szCs w:val="20"/>
                <w:color w:val="auto"/>
              </w:rPr>
            </w:pPr>
            <w:r>
              <w:rPr>
                <w:rFonts w:ascii="Arial" w:cs="Arial" w:eastAsia="Arial" w:hAnsi="Arial"/>
                <w:sz w:val="18"/>
                <w:szCs w:val="18"/>
                <w:color w:val="auto"/>
                <w:w w:val="94"/>
              </w:rPr>
              <w:t>5 years</w:t>
            </w:r>
          </w:p>
        </w:tc>
        <w:tc>
          <w:tcPr>
            <w:tcW w:w="3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8,971,721</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8,039,013</w:t>
            </w:r>
          </w:p>
        </w:tc>
        <w:tc>
          <w:tcPr>
            <w:tcW w:w="140" w:type="dxa"/>
            <w:vAlign w:val="bottom"/>
            <w:shd w:val="clear" w:color="auto" w:fill="CCEEFF"/>
          </w:tcPr>
          <w:p>
            <w:pPr>
              <w:spacing w:after="0"/>
              <w:rPr>
                <w:sz w:val="17"/>
                <w:szCs w:val="17"/>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3740" w:type="dxa"/>
            <w:vAlign w:val="bottom"/>
          </w:tcPr>
          <w:p>
            <w:pPr>
              <w:jc w:val="center"/>
              <w:ind w:left="652"/>
              <w:spacing w:after="0" w:line="202" w:lineRule="exact"/>
              <w:rPr>
                <w:sz w:val="20"/>
                <w:szCs w:val="20"/>
                <w:color w:val="auto"/>
              </w:rPr>
            </w:pPr>
            <w:r>
              <w:rPr>
                <w:rFonts w:ascii="Arial" w:cs="Arial" w:eastAsia="Arial" w:hAnsi="Arial"/>
                <w:sz w:val="18"/>
                <w:szCs w:val="18"/>
                <w:color w:val="auto"/>
                <w:w w:val="94"/>
              </w:rPr>
              <w:t>3 years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738,132</w:t>
            </w:r>
          </w:p>
        </w:tc>
        <w:tc>
          <w:tcPr>
            <w:tcW w:w="3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603,231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furniture</w:t>
            </w:r>
          </w:p>
        </w:tc>
        <w:tc>
          <w:tcPr>
            <w:tcW w:w="3740" w:type="dxa"/>
            <w:vAlign w:val="bottom"/>
            <w:shd w:val="clear" w:color="auto" w:fill="CCEEFF"/>
          </w:tcPr>
          <w:p>
            <w:pPr>
              <w:jc w:val="center"/>
              <w:ind w:left="652"/>
              <w:spacing w:after="0" w:line="202" w:lineRule="exact"/>
              <w:rPr>
                <w:sz w:val="20"/>
                <w:szCs w:val="20"/>
                <w:color w:val="auto"/>
              </w:rPr>
            </w:pPr>
            <w:r>
              <w:rPr>
                <w:rFonts w:ascii="Arial" w:cs="Arial" w:eastAsia="Arial" w:hAnsi="Arial"/>
                <w:sz w:val="18"/>
                <w:szCs w:val="18"/>
                <w:color w:val="auto"/>
                <w:w w:val="94"/>
              </w:rPr>
              <w:t>5 years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129,460</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129,460</w:t>
            </w:r>
          </w:p>
        </w:tc>
        <w:tc>
          <w:tcPr>
            <w:tcW w:w="140" w:type="dxa"/>
            <w:vAlign w:val="bottom"/>
            <w:shd w:val="clear" w:color="auto" w:fill="CCEEFF"/>
          </w:tcPr>
          <w:p>
            <w:pPr>
              <w:spacing w:after="0"/>
              <w:rPr>
                <w:sz w:val="17"/>
                <w:szCs w:val="17"/>
                <w:color w:val="auto"/>
              </w:rPr>
            </w:pPr>
          </w:p>
        </w:tc>
      </w:tr>
      <w:tr>
        <w:trPr>
          <w:trHeight w:val="210"/>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3740" w:type="dxa"/>
            <w:vAlign w:val="bottom"/>
          </w:tcPr>
          <w:p>
            <w:pPr>
              <w:jc w:val="center"/>
              <w:ind w:left="652"/>
              <w:spacing w:after="0" w:line="202" w:lineRule="exact"/>
              <w:rPr>
                <w:sz w:val="20"/>
                <w:szCs w:val="20"/>
                <w:color w:val="auto"/>
              </w:rPr>
            </w:pPr>
            <w:r>
              <w:rPr>
                <w:rFonts w:ascii="Arial" w:cs="Arial" w:eastAsia="Arial" w:hAnsi="Arial"/>
                <w:sz w:val="18"/>
                <w:szCs w:val="18"/>
                <w:color w:val="auto"/>
                <w:w w:val="98"/>
              </w:rPr>
              <w:t>Lesser of useful life or lease term</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4,827,801</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4,827,801</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property and equipment, at cost</w:t>
            </w:r>
          </w:p>
        </w:tc>
        <w:tc>
          <w:tcPr>
            <w:tcW w:w="3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14,667,114</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13,599,505</w:t>
            </w:r>
          </w:p>
        </w:tc>
        <w:tc>
          <w:tcPr>
            <w:tcW w:w="140" w:type="dxa"/>
            <w:vAlign w:val="bottom"/>
            <w:shd w:val="clear" w:color="auto" w:fill="CCEEFF"/>
          </w:tcPr>
          <w:p>
            <w:pPr>
              <w:spacing w:after="0"/>
              <w:rPr>
                <w:sz w:val="17"/>
                <w:szCs w:val="17"/>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52"/>
              <w:spacing w:after="0" w:line="202" w:lineRule="exact"/>
              <w:rPr>
                <w:sz w:val="20"/>
                <w:szCs w:val="20"/>
                <w:color w:val="auto"/>
              </w:rPr>
            </w:pPr>
            <w:r>
              <w:rPr>
                <w:rFonts w:ascii="Arial" w:cs="Arial" w:eastAsia="Arial" w:hAnsi="Arial"/>
                <w:sz w:val="18"/>
                <w:szCs w:val="18"/>
                <w:color w:val="auto"/>
                <w:w w:val="99"/>
              </w:rPr>
              <w:t>(10,658,533)</w:t>
            </w:r>
          </w:p>
        </w:tc>
        <w:tc>
          <w:tcPr>
            <w:tcW w:w="3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(8,161,325)</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3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4,008,581</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5,438,180</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Company has leases for lab equipment that meets the criteria to be accounted for as a capital lease. As of December 31, 2017 and 2016, lab equipment under capital leases totaled $1,088,588 and $701,427, respectively. Accumulated depreciation on such equipment totaled $701,427 as of December 31, 2017 and 2016.</w:t>
      </w:r>
    </w:p>
    <w:p>
      <w:pPr>
        <w:spacing w:after="0" w:line="100"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The Company incurred depreciation and amortization expense of $2,497,208 and $2,367,426 for the years ended December 31, 2017 and 2016, respectively.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4. Collaborations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Summary of Roche Collaboration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Overall</w:t>
      </w:r>
    </w:p>
    <w:p>
      <w:pPr>
        <w:spacing w:after="0" w:line="124" w:lineRule="exact"/>
        <w:rPr>
          <w:sz w:val="20"/>
          <w:szCs w:val="20"/>
          <w:color w:val="auto"/>
        </w:rPr>
      </w:pPr>
    </w:p>
    <w:p>
      <w:pPr>
        <w:ind w:left="200" w:right="60"/>
        <w:spacing w:after="0" w:line="281" w:lineRule="auto"/>
        <w:rPr>
          <w:sz w:val="20"/>
          <w:szCs w:val="20"/>
          <w:color w:val="auto"/>
        </w:rPr>
      </w:pPr>
      <w:r>
        <w:rPr>
          <w:rFonts w:ascii="Arial" w:cs="Arial" w:eastAsia="Arial" w:hAnsi="Arial"/>
          <w:sz w:val="16"/>
          <w:szCs w:val="16"/>
          <w:color w:val="auto"/>
        </w:rPr>
        <w:t>In October 2017, the Company and Roche entered into a collaboration agreement (“Roche Collaboration Agreement”) utilizing the Company’s proprietary genome mining platform to discover and develop multiple novel classes of antibiotics. The serious global health threat of multidrug- resistant bacterial infections has created an urgent need for new antibiotics with novel structures and mechanisms of action.</w:t>
      </w:r>
    </w:p>
    <w:p>
      <w:pPr>
        <w:spacing w:after="0" w:line="70"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Under the Roche Collaboration Agreement, the Company is focused on antibiotics with activity against clinically important, drug-resistant, Gram-negative pathogens. The Company’s platform enables access to natural product drugs that have not been analyzed previously, due to historical technology limitations.</w:t>
      </w:r>
    </w:p>
    <w:p>
      <w:pPr>
        <w:spacing w:after="0" w:line="100"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Under the Roche Collaboration Agreement, the Company granted Roche a worldwide, nontransferable, nonexclusive license with the right to sublicense under the Company’s technology solely to perform the research activities assigned to Roche during the research term. Roche also granted the Company a worldwide, nontransferable nonexclusive license with the right to sublicense under the Roche technology solely for the Company to perform the research activities during the research term.</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Under the terms of the Roche Collaboration Agreement, Roche has options for exclusive worldwide licenses to develop and commercialize certain antibiotic classes that emerge from the collaboration, triggered upon the selection of a drug development candidate from the particular class. The exercise of an option by Roche triggers the Company to grant Roche a nontransferable, exclusive, royalty bearing license with the right to sublicense under the Company technology. This exclusive license will be issued on the antibiotic program basis. The Company retains worldwide rights to all other novel antibiotic classes from the collaboration.</w:t>
      </w:r>
    </w:p>
    <w:p>
      <w:pPr>
        <w:spacing w:after="0" w:line="10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Company is solely responsible for the conduct of research and development activities for each antibiotic program through selection of a drug development candidate. Roche may or may not exercise options for antibiotic programs at the drug development candidate stage. Roche has no obligations to develop or</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40"/>
          </w:cols>
          <w:pgMar w:left="240" w:top="459" w:right="41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commercialize under the Roche Collaboration Agreement, until such time, if any, that Roche exercises an option for a drug development candidate.</w:t>
      </w:r>
    </w:p>
    <w:p>
      <w:pPr>
        <w:spacing w:after="0" w:line="101"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The research term will be in effect for a period of time beginning in October 2017 through the later of October 2022 or 24 months after the Company achieves certain research milestones for the last eligible antibiotic programs. The Company is currently estimating a research term of five years for the Roche Collaboration Agreement, and the Company will revisit the research term estimate on an annual basis.</w:t>
      </w:r>
    </w:p>
    <w:p>
      <w:pPr>
        <w:spacing w:after="0" w:line="7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activities under the Roche Collaboration Agreement are governed by the joint steering committee. Both Roche and the Company have three members on the joint steering committee. The three joint steering committee representatives of each party will collectively have one vote, and the Joint Steering Committee will make decisions only by unanimous consent. If the Joint Steering Committee is unable to decide, the Company will have the right to make the final determination. The Joint Steering Committee will end six months after the end of the research term.</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2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Roche Collaboration Agreement automatically terminates if Roche does not exercise an option on a development candidate generally by October 2022. Roche may voluntarily terminate the Roche Collaboration Agreement in its entirety or on a program by program basis upon 90 days’ written notice.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Consideration</w:t>
      </w:r>
    </w:p>
    <w:p>
      <w:pPr>
        <w:spacing w:after="0" w:line="12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Roche paid the Company a $23.0 million nonrefundable, up-front fee in October 2017. The Company estimates that the sum of the nonrefundable up-front fee already paid, potential option fees and potential milestone payments for preclinical events could total $87 million. The Company estimates that the total potential clinical, regulatory and sales milestones on products licensed to Roche could total an additional $300 million.</w:t>
      </w:r>
    </w:p>
    <w:p>
      <w:pPr>
        <w:spacing w:after="0" w:line="101"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As of December 31, 2017, the next potential milestone payment included in the above-mentioned total of $87 million that the Company could achieve under the Roche Collaboration Agreement is a nonsubstantive milestone payment of $5.0 million for the achievement of a discovery milestone.</w:t>
      </w:r>
    </w:p>
    <w:p>
      <w:pPr>
        <w:spacing w:after="0" w:line="100"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The Company is eligible to receive tiered royalties for antibiotic programs for which Roche exercises its options up to low double digits on future net sales.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Roche Collaboration Agreement Accounting Analysis</w:t>
      </w:r>
    </w:p>
    <w:p>
      <w:pPr>
        <w:spacing w:after="0" w:line="124"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The Company evaluated the Collaboration Agreement in accordance with the provisions of ASC, Topic 605-25, Revenue Recognition— Multiple Element Arrangements. The Roche Collaboration Agreement contains the following deliverables: (i) R&amp;D services for antibiotics; (ii) research license for the Company’s platform; and (iii) joint steering committee services.</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has concluded that the research license deliverables do not qualify for separation from the R&amp;D services deliverables. As it relates to the assessment of standalone value, the Company has determined that Roche cannot fully exploit the value of the research license deliverable without receipt of the Company’s R&amp;D services in the antibiotic programs. This is primarily due to the fact that Roche must rely upon the Company to provide the research and development services included in the research plan because the services incorporate technology that is proprietary to the Company. The services to be provided by the Company involve unique skills and specialized expertise technology that is not available in the marketplace. Accordingly, Roche must obtain the research and development services from the Company which significantly limits the ability for Roche</w:t>
      </w:r>
    </w:p>
    <w:p>
      <w:pPr>
        <w:spacing w:after="0" w:line="14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40"/>
          </w:cols>
          <w:pgMar w:left="240" w:top="460" w:right="51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0"/>
        <w:spacing w:after="0" w:line="239" w:lineRule="auto"/>
        <w:rPr>
          <w:sz w:val="20"/>
          <w:szCs w:val="20"/>
          <w:color w:val="auto"/>
        </w:rPr>
      </w:pPr>
      <w:r>
        <w:rPr>
          <w:rFonts w:ascii="Arial" w:cs="Arial" w:eastAsia="Arial" w:hAnsi="Arial"/>
          <w:sz w:val="18"/>
          <w:szCs w:val="18"/>
          <w:color w:val="auto"/>
        </w:rPr>
        <w:t>to utilize the research license for its intended purpose on a standalone basis. The Company’s proprietary genome mining platform and know-how is critical. Therefore, the research license deliverables do not have standalone value from the R&amp;D services.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deliverables are combined under one unit of accounting.</w:t>
      </w:r>
    </w:p>
    <w:p>
      <w:pPr>
        <w:spacing w:after="0" w:line="113" w:lineRule="exact"/>
        <w:rPr>
          <w:sz w:val="20"/>
          <w:szCs w:val="20"/>
          <w:color w:val="auto"/>
        </w:rPr>
      </w:pPr>
    </w:p>
    <w:p>
      <w:pPr>
        <w:ind w:left="420" w:hanging="216"/>
        <w:spacing w:after="0"/>
        <w:tabs>
          <w:tab w:leader="none" w:pos="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Antibiotic program deliverables (consisting of the Research License and R&amp;D services).</w:t>
      </w:r>
    </w:p>
    <w:p>
      <w:pPr>
        <w:ind w:left="420" w:hanging="216"/>
        <w:spacing w:after="0"/>
        <w:tabs>
          <w:tab w:leader="none" w:pos="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Joint Steering Committee services.</w:t>
      </w:r>
    </w:p>
    <w:p>
      <w:pPr>
        <w:spacing w:after="0" w:line="104"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The aggregate noncontingent consideration allocable to the Roche Collaboration Agreement of $23 million was allocated to the Antibiotic program deliverables. No amounts were allocated to the joint steering committee deliverable because the associated BESP was determined to be immaterial.</w:t>
      </w:r>
    </w:p>
    <w:p>
      <w:pPr>
        <w:spacing w:after="0" w:line="100"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As there is no discernable patter of performance, the revenue is recognized on a straight-line basis over the research term estimated to last five years.</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Company has evaluated all of the research milestones that may be received in connection with the Roche Collaboration Arrangement.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The research milestones are not considered to be substantive. Therefore, when the Company achieves a research milestone, the Company will use the cumulative catch-up approach and spread the remaining milestone to revenue over the remaining research term. The Company has deemed all development milestones as substantive, and will use the milestone method of recognizing development milestones as revenue when achieved. All commercial milestones will be accounted for in the same manner as royalties and recorded as revenue upon achievement of the milestone, assuming all other revenue recognition criteria are met. 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07" w:lineRule="exact"/>
        <w:rPr>
          <w:sz w:val="20"/>
          <w:szCs w:val="20"/>
          <w:color w:val="auto"/>
        </w:rPr>
      </w:pPr>
    </w:p>
    <w:p>
      <w:pPr>
        <w:ind w:left="200" w:right="480"/>
        <w:spacing w:after="0" w:line="281" w:lineRule="auto"/>
        <w:rPr>
          <w:sz w:val="20"/>
          <w:szCs w:val="20"/>
          <w:color w:val="auto"/>
        </w:rPr>
      </w:pPr>
      <w:r>
        <w:rPr>
          <w:rFonts w:ascii="Arial" w:cs="Arial" w:eastAsia="Arial" w:hAnsi="Arial"/>
          <w:sz w:val="16"/>
          <w:szCs w:val="16"/>
          <w:color w:val="auto"/>
        </w:rPr>
        <w:t>The Company recognized approximately $1.1 million in collaboration revenue related solely to the up-front fee during the year ended December 31, 2017. The Company recorded deferred revenue of $4.6 million in current portion of deferred revenue and $17.3 million in deferred revenue less current portion for total deferred revenue of approximately $21.9 million as of December 31,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Summary of Sanofi Collaboration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Overall</w:t>
      </w:r>
    </w:p>
    <w:p>
      <w:pPr>
        <w:spacing w:after="0" w:line="12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On January 8, 2016, the Company and Sanofi entered into a collaboration and license agreement (Sanofi Collaboration Agreement) utilizing the Company’s proprietary SMART</w:t>
      </w:r>
      <w:r>
        <w:rPr>
          <w:rFonts w:ascii="Arial" w:cs="Arial" w:eastAsia="Arial" w:hAnsi="Arial"/>
          <w:sz w:val="11"/>
          <w:szCs w:val="11"/>
          <w:color w:val="auto"/>
        </w:rPr>
        <w:t>™</w:t>
      </w:r>
      <w:r>
        <w:rPr>
          <w:rFonts w:ascii="Arial" w:cs="Arial" w:eastAsia="Arial" w:hAnsi="Arial"/>
          <w:sz w:val="18"/>
          <w:szCs w:val="18"/>
          <w:color w:val="auto"/>
        </w:rPr>
        <w:t xml:space="preserve"> and genome mining platforms to discover novel oncology therapeutics and antibiotics. The Sanofi Collaboration Agreement focused on the development of drugs targeting important human oncogenes and new antibiotics. The Company retained the rights to deploy its platforms to pursue discovery and development against all other targets, both alone and in collaboration with other companies.</w:t>
      </w:r>
    </w:p>
    <w:p>
      <w:pPr>
        <w:spacing w:after="0" w:line="103"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8"/>
          <w:szCs w:val="18"/>
          <w:color w:val="auto"/>
        </w:rPr>
        <w:t>Under the terms of the Sanofi Collaboration Agreement, the Company would lead the research collaboration for a period of five years, and Sanofi would receive worldwide exclusive licenses to develop and commercialize product candidates discovered during the research term. The Company and Sanofi initially focused on three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00"/>
          </w:cols>
          <w:pgMar w:left="24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defined oncology programs targeting different mutants and states of the oncogenic protein RAS. For the antibiotic program, the Company led initial discovery efforts, and Sanofi would lead any subsequent discovery and development activities.</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Company granted to Sanofi research licenses (co-exclusive, worldwide, royalty-free licenses). In addition, the Company granted to Sanofi development and commercialization licenses (exclusive, worldwide, royalty-bearing, sub licensable licenses in the prevention and treatment of all human and animal diseases). To the extent a collaboration program was terminated, the rights to both the research and development and commercialization licenses previously granted in relation to such terminated program immediately terminate.</w:t>
      </w:r>
    </w:p>
    <w:p>
      <w:pPr>
        <w:spacing w:after="0" w:line="101"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The Company was solely responsible for the conduct of research and development activities for each collaboration program until the applicable transition stage (i.e., the specified point in time at which the research and development efforts are transitioned from the Company to Sanofi) for the respective collaboration program, unless otherwise agreed to by the parties in writing. Sanofi had no obligations to develop or commercialize under any collaboration program, until such time, if any, that the applicable transition has occurred. The Company reached the transition stage for the antibiotic program during the year ended December 31, 2016. The estimated research term for the antibiotic program was one year.</w:t>
      </w:r>
    </w:p>
    <w:p>
      <w:pPr>
        <w:spacing w:after="0" w:line="102"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The activities under the Collaboration Agreement were governed by the joint steering committee. Both Sanofi and the Company had three members on the joint steering committee.</w:t>
      </w:r>
    </w:p>
    <w:p>
      <w:pPr>
        <w:spacing w:after="0" w:line="101"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The Company had the right to opt-in to co-commercialize an oncology candidate in the United States, no later than 90 days prior to the initiation of a registration clinical study of such oncology candidate. If the Company exercised the co-commercialization option for a particular oncology candidate, the Company and Sanofi would be jointly responsible for and have joint control over the co-commercialization of the oncology candidate in the United States.</w:t>
      </w:r>
    </w:p>
    <w:p>
      <w:pPr>
        <w:spacing w:after="0" w:line="101"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Additionally, in 2016, the Company restructured its existing senior credit agreement with Sanofi. Under the restructured agreement, the Company could borrow up to $30.0 million to fund expenses related to the Sanofi Collaboration Agreement. As the Company previously held a line of credit with the same interest rate, the Company concluded that the modification of the line of credit did not represent consideration exchanged in conjunction with the Sanofi Collaboration Agreement. See Note 5.</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24"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The Sanofi Collaboration Agreement would automatically terminate if a development candidate was not generated for an oncology collaboration program prior to the expiration of the applicable research term (generally January 2021). Sanofi could voluntarily terminate the Sanofi Collaboration Agreement in its entirety or on a program by program basis upon 90 days’ written notice. All rights and license grants in the Sanofi Collaboration Agreement would immediately terminate, unless otherwise specified, after the 90-day notice period.</w:t>
      </w:r>
    </w:p>
    <w:p>
      <w:pPr>
        <w:spacing w:after="0" w:line="101" w:lineRule="exact"/>
        <w:rPr>
          <w:sz w:val="20"/>
          <w:szCs w:val="20"/>
          <w:color w:val="auto"/>
        </w:rPr>
      </w:pPr>
    </w:p>
    <w:p>
      <w:pPr>
        <w:jc w:val="both"/>
        <w:ind w:left="200" w:right="120"/>
        <w:spacing w:after="0" w:line="238" w:lineRule="auto"/>
        <w:rPr>
          <w:sz w:val="20"/>
          <w:szCs w:val="20"/>
          <w:color w:val="auto"/>
        </w:rPr>
      </w:pPr>
      <w:r>
        <w:rPr>
          <w:rFonts w:ascii="Arial" w:cs="Arial" w:eastAsia="Arial" w:hAnsi="Arial"/>
          <w:sz w:val="18"/>
          <w:szCs w:val="18"/>
          <w:color w:val="auto"/>
        </w:rPr>
        <w:t>In July 2017, Sanofi provided 90 days’ written notice to terminate the antibiotic portion of the Sanofi Collaboration Agreement, which officially terminated in October 2017. In November 2017, Sanofi provided 90 days’ written notice to terminate all oncology programs or the remaining portion of the research activities under the Sanofi Collaboration Agreement, which officially terminated in February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Consideration</w:t>
      </w:r>
    </w:p>
    <w:p>
      <w:pPr>
        <w:spacing w:after="0" w:line="124" w:lineRule="exact"/>
        <w:rPr>
          <w:sz w:val="20"/>
          <w:szCs w:val="20"/>
          <w:color w:val="auto"/>
        </w:rPr>
      </w:pPr>
    </w:p>
    <w:p>
      <w:pPr>
        <w:ind w:left="200" w:right="900"/>
        <w:spacing w:after="0" w:line="239" w:lineRule="auto"/>
        <w:rPr>
          <w:sz w:val="20"/>
          <w:szCs w:val="20"/>
          <w:color w:val="auto"/>
        </w:rPr>
      </w:pPr>
      <w:r>
        <w:rPr>
          <w:rFonts w:ascii="Arial" w:cs="Arial" w:eastAsia="Arial" w:hAnsi="Arial"/>
          <w:sz w:val="18"/>
          <w:szCs w:val="18"/>
          <w:color w:val="auto"/>
        </w:rPr>
        <w:t>During the research term, the Company could request Sanofi to provide R&amp;D services. Subject to Sanofi’s available resources and capabilities, Sanofi could agree to provide up to $5.0 million in annual Sanofi R&amp;D services at no charge to the Company.</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20"/>
          </w:cols>
          <w:pgMar w:left="24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was entitled to worldwide royalties provided it did not opt-in to co-commercialize an oncology candidate in the United States.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Sanofi Collaboration Accounting Analysis</w:t>
      </w:r>
    </w:p>
    <w:p>
      <w:pPr>
        <w:spacing w:after="0" w:line="12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Company evaluated the Collaboration Agreement in accordance with the provisions of ASC, Topic 605-25, Revenue Recognition— Multiple Element Arrangements. The Company’s arrangement with Sanofi originally contained the following deliverables: R&amp;D services for the antibiotic program; R&amp;D services for the three oncology programs; research license for the antibiotic program; research license for the three oncology programs; and joint steering committee services.</w:t>
      </w:r>
    </w:p>
    <w:p>
      <w:pPr>
        <w:spacing w:after="0" w:line="101" w:lineRule="exact"/>
        <w:rPr>
          <w:sz w:val="20"/>
          <w:szCs w:val="20"/>
          <w:color w:val="auto"/>
        </w:rPr>
      </w:pPr>
    </w:p>
    <w:p>
      <w:pPr>
        <w:ind w:left="200" w:right="120"/>
        <w:spacing w:after="0" w:line="268" w:lineRule="auto"/>
        <w:rPr>
          <w:sz w:val="20"/>
          <w:szCs w:val="20"/>
          <w:color w:val="auto"/>
        </w:rPr>
      </w:pPr>
      <w:r>
        <w:rPr>
          <w:rFonts w:ascii="Arial" w:cs="Arial" w:eastAsia="Arial" w:hAnsi="Arial"/>
          <w:sz w:val="16"/>
          <w:szCs w:val="16"/>
          <w:color w:val="auto"/>
        </w:rPr>
        <w:t>The Company concluded that the research licenses (antibiotics and oncology programs) deliverables did not qualify for separation from the R&amp;D Services deliverables. As it related to the assessment of standalone value, the Company determined that Sanofi could not fully exploit the value of the research licenses deliverable without receipt of the Company’s R&amp;D services in both the antibiotics and the oncology programs. This was primarily due to the fact that Sanofi must rely upon the Company to provide the research and development services included in the research plan because the services incorporate technology that was proprietary to the Company. The services to be provided by the Company involved unique skills and specialized expertise technology that was not available in the marketplace. Accordingly, Sanofi must obtain the research and development services from the Company which significantly limited the ability for Sanofi to utilize the research licenses for its intended purpose on a standalone basis. The Company’s proprietary SMART</w:t>
      </w:r>
      <w:r>
        <w:rPr>
          <w:rFonts w:ascii="Arial" w:cs="Arial" w:eastAsia="Arial" w:hAnsi="Arial"/>
          <w:sz w:val="10"/>
          <w:szCs w:val="10"/>
          <w:color w:val="auto"/>
        </w:rPr>
        <w:t>™</w:t>
      </w:r>
      <w:r>
        <w:rPr>
          <w:rFonts w:ascii="Arial" w:cs="Arial" w:eastAsia="Arial" w:hAnsi="Arial"/>
          <w:sz w:val="16"/>
          <w:szCs w:val="16"/>
          <w:color w:val="auto"/>
        </w:rPr>
        <w:t xml:space="preserve"> and genome mining platforms and know-how was critical. Therefore, the research licenses deliverables did not have standalone value from the R&amp;D services.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units of accounting for the Collaboration Agreement included:</w:t>
      </w:r>
    </w:p>
    <w:p>
      <w:pPr>
        <w:spacing w:after="0" w:line="117" w:lineRule="exact"/>
        <w:rPr>
          <w:sz w:val="20"/>
          <w:szCs w:val="20"/>
          <w:color w:val="auto"/>
        </w:rPr>
      </w:pPr>
    </w:p>
    <w:p>
      <w:pPr>
        <w:ind w:left="420" w:hanging="216"/>
        <w:spacing w:after="0"/>
        <w:tabs>
          <w:tab w:leader="none" w:pos="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Antibiotic program deliverables (consisting of the Research License, Development and Commercialization License and R&amp;D services).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Oncology programs deliverables (consisting of the Research License, Development and Commercialization License and R&amp;D services).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Joint Steering Committee services.</w:t>
      </w:r>
    </w:p>
    <w:p>
      <w:pPr>
        <w:spacing w:after="0" w:line="104"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The Company determined that neither vendor-specific objective evidence of selling price nor third party evidence of selling price was available for any of the units of accounting identified at inception of the arrangement with Sanofi. Accordingly, the selling price of each unit of accounting was determined based on the Company’s best estimate of selling price or BESP. The Company developed the BESP for all of the units of accounting included in the Collaboration Agreement with the objective of determining the price at which it would sell such an item if it were to be sold regularly on a standalone basis. The Company developed the BESP for the primarily Antibiotic program unit of accounting (consisting of the Research License, Development and Commercialization License and R&amp;D services) and the Oncology programs unit of accounting (consisting of the Research License, Development and Commercialization License and R&amp;D services) based on the nature of the services to be performed and estimates of the associated effort and cost of the services, adjusted for a reasonable profit margin that would be expected to be realized under similar contracts. The Company developed the BESP for each of the Development and Commercialization license units of accounting based on the probability-weighted present value of expected future cash flows associated with each license related to each antibiotics or the oncology collaboration programs. In developing such estimates, the Company also considered applicable market conditions and relevant entity-specific factors, including those factors contemplated in negotiating the agreement, probability of success and the time needed to commercialize a product candidate pursuant to the associated license.</w:t>
      </w:r>
    </w:p>
    <w:p>
      <w:pPr>
        <w:spacing w:after="0" w:line="3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20"/>
          </w:cols>
          <w:pgMar w:left="24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64" w:lineRule="auto"/>
        <w:rPr>
          <w:sz w:val="20"/>
          <w:szCs w:val="20"/>
          <w:color w:val="auto"/>
        </w:rPr>
      </w:pPr>
      <w:r>
        <w:rPr>
          <w:rFonts w:ascii="Arial" w:cs="Arial" w:eastAsia="Arial" w:hAnsi="Arial"/>
          <w:sz w:val="16"/>
          <w:szCs w:val="16"/>
          <w:color w:val="auto"/>
        </w:rPr>
        <w:t>The aggregate noncontingent consideration allocable to the Collaboration Agreement of $4.0 million was allocated among the separate units of accounting using the relative selling price method as follows: (i) antibiotic licenses and R&amp;D services – approximately $0.4 million;</w:t>
      </w:r>
    </w:p>
    <w:p>
      <w:pPr>
        <w:ind w:left="200" w:right="300" w:firstLine="4"/>
        <w:spacing w:after="0" w:line="237" w:lineRule="auto"/>
        <w:tabs>
          <w:tab w:leader="none" w:pos="44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oncology programs licenses and R&amp;D services – approximately $3.6 million. No amounts were allocated to the joint steering committee deliverable because the associated BESP was determined to be immaterial. The amounts allocated to each of the development and commercialization licenses were based on the respective BESP calculations, which reflected the level of risk and expected probability of success inherent in the nature of the associated research area.</w:t>
      </w:r>
    </w:p>
    <w:p>
      <w:pPr>
        <w:spacing w:after="0" w:line="1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amount allocated to the oncology programs deliverables unit of account were recognized over the research term as the underlying services were performed. As there was no discernable pattern of performance, the revenue was recognized on a straight-line basis over the development period. The consideration allocated to the antibiotic program deliverables was recognized as received as the Company had completed its performance obligations related to this deliverable during the year ended December 31, 2016, and the development efforts were transitioned to Sanofi.</w:t>
      </w:r>
    </w:p>
    <w:p>
      <w:pPr>
        <w:spacing w:after="0" w:line="103" w:lineRule="exact"/>
        <w:rPr>
          <w:sz w:val="20"/>
          <w:szCs w:val="20"/>
          <w:color w:val="auto"/>
        </w:rPr>
      </w:pPr>
    </w:p>
    <w:p>
      <w:pPr>
        <w:ind w:left="200" w:right="20"/>
        <w:spacing w:after="0" w:line="268" w:lineRule="auto"/>
        <w:rPr>
          <w:sz w:val="20"/>
          <w:szCs w:val="20"/>
          <w:color w:val="auto"/>
        </w:rPr>
      </w:pPr>
      <w:r>
        <w:rPr>
          <w:rFonts w:ascii="Arial" w:cs="Arial" w:eastAsia="Arial" w:hAnsi="Arial"/>
          <w:sz w:val="16"/>
          <w:szCs w:val="16"/>
          <w:color w:val="auto"/>
        </w:rPr>
        <w:t>The Company originally evaluated all of the milestones that could be received in connection with the Collaboration Arrangement. In evaluating if a milestone was substantive, the Company assessed whether: (i) the consideration was commensurate with either the Company’s performance to achieve the milestone or the enhancement of the value of the delivered item(s) as a result of a specific outcome resulting from the Company’s performance to achieve the milestone, (ii) the consideration related solely to past performance, and (iii) the consideration was reasonable relative to all of the deliverables and payment terms within the arrangement. Certain development and regulatory milestones were considered substantive on the basis of the contingent nature of the milestone, specifically reviewing factors such as the scientific, clinical, regulatory, commercial and other risks that must be overcome to achieve the milestone as well as the level of effort and investment required. Accordingly, such amounts could have been recognized as revenue in full in the period in which the associated milestone was achieved, assuming all other revenue recognition criteria were met. Certain development milestones were not considered to be substantive. Such amounts were allocated to the units of account based relative fair value of the BESP.</w:t>
      </w:r>
    </w:p>
    <w:p>
      <w:pPr>
        <w:spacing w:after="0" w:line="285"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During the year ended December 31, 2016, the Company received a $1.0 million discovery milestone that was essentially an up-front payment related to an oncology collaboration program and a $3.0 million discovery milestone related to an oncology collaboration program that was considered nonsubstantive. Finally, during the year ended December 31, 2016, the Company achieved a $0.8 million milestone related to the antibiotic program. The Company is primarily responsible for the R&amp;D they are performing and as such receive milestones for this work performed and therefore, the Company concluded that milestone payments received are recorded gross. The Company recognized approximately $1.9 million in collaboration revenue during the year ended December 31, 2016. The Company used the cumulative catch-up approach in recognizing revenue associated with achieved nonsubstantive milestones. The Company recorded deferred revenue of approximately $2.9 million associated with the Sanofi Collaboration Agreement as of December 31, 2016.</w:t>
      </w:r>
    </w:p>
    <w:p>
      <w:pPr>
        <w:spacing w:after="0" w:line="100"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The Company received $2.1 million and $2.0 million of Sanofi R&amp;D services for the years ended December 31, 2017 and 2016, respectively. As Sanofi is responsible for the work related to R&amp;D services, the Company concluded that R&amp;D services provided by Sanofi are recorded net.</w:t>
      </w:r>
    </w:p>
    <w:p>
      <w:pPr>
        <w:spacing w:after="0" w:line="100"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During the year ended December 31, 2017, the Company achieved five discovery milestones that were considered nonsubstantive and received $11.0 million in total milestone payments from Sanofi.</w:t>
      </w:r>
    </w:p>
    <w:p>
      <w:pPr>
        <w:spacing w:after="0" w:line="10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As previously disclosed, in November 2017, Sanofi gave 90 days’ written notice to terminate all oncology programs in the Sanofi Collaboration Agreement, which officially terminated in February 2018. This resulted in an accounting change in estimate in 2017 with the research term ending in February 2018 (90 days later).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20"/>
          </w:cols>
          <w:pgMar w:left="24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Company recognized approximately $13.0 million of revenue related to the Sanofi Collaboration Agreement during the year ended December 31, 2017. The Company’s short-term deferred revenue as of December 31, 2017 totaled approximately $0.9 million from the Sanofi Collaboration Agreement, which will be recognized as revenue through the end of the research term in February 2018, at which time all services under the collaboration ended.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5. Convertible notes payable, related party</w:t>
      </w:r>
    </w:p>
    <w:p>
      <w:pPr>
        <w:spacing w:after="0" w:line="134" w:lineRule="exact"/>
        <w:rPr>
          <w:sz w:val="20"/>
          <w:szCs w:val="20"/>
          <w:color w:val="auto"/>
        </w:rPr>
      </w:pPr>
    </w:p>
    <w:p>
      <w:pPr>
        <w:ind w:left="200" w:right="620"/>
        <w:spacing w:after="0" w:line="239" w:lineRule="auto"/>
        <w:rPr>
          <w:sz w:val="20"/>
          <w:szCs w:val="20"/>
          <w:color w:val="auto"/>
        </w:rPr>
      </w:pPr>
      <w:r>
        <w:rPr>
          <w:rFonts w:ascii="Arial" w:cs="Arial" w:eastAsia="Arial" w:hAnsi="Arial"/>
          <w:sz w:val="18"/>
          <w:szCs w:val="18"/>
          <w:color w:val="auto"/>
        </w:rPr>
        <w:t>On January 8, 2016, the Company restructured the prior senior credit agreement with Sanofi into convertible notes payable. Under the restructured agreement, the Company could borrow up to $30,000,000 to fund certain expenses.</w:t>
      </w:r>
    </w:p>
    <w:p>
      <w:pPr>
        <w:spacing w:after="0" w:line="101"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As previously disclosed, in November 2017, Sanofi provided 90 days’ written notice to terminate all oncology programs or the remaining portion of the research activities under the Sanofi Collaboration Agreement, which officially terminated in February 2018. With the termination of the Sanofi Collaboration Agreement, the maturity date of notes payable, related party became February 2020.</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notes payable bore interest at LIBOR plus 8.5%. Subject to certain exceptions, there were no payments due prior to maturity, and interest is paid-in-kind. The notes payable were automatically convertible into shares of common stock upon the completion of an initial public offering and convertible at the option of the investor upon a financing in which the Company sold shares of a new series of preferred stock in which the Company receives proceeds of at least $30.0 million. The conversion rate upon such conversion was 95% of the initial public offering price or 95% of the financing purchase price. If the Company was acquired, then the acquirer of the Company had to pay $36.0 million in principal (120 percent of the outstanding debt of $30.0 million). The Company accounted for the amendment as a modification as the terms of the amendment were not substantially different from the original terms of the term loan.</w:t>
      </w:r>
    </w:p>
    <w:p>
      <w:pPr>
        <w:spacing w:after="0" w:line="101"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The Company borrowed $8,999,731 and $17,451,965 during the years ended December 31, 2017 and 2016, respectively. The Company recorded noncash interest expense of $2,934,532 and $1,062,213 during the years ended December 31, 2017 and 2016, respectively. The effective interest rate was 10.1% and 9.6% for the years ended December 31, 2017 and 2016, respectively.</w:t>
      </w:r>
    </w:p>
    <w:p>
      <w:pPr>
        <w:spacing w:after="0" w:line="100"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In June 2018, the Company and Sanofi agreed to amend the terms of existing notes payable. All current and future interest due on the notes payable was cancelled and forgiven in full. In addition, a milestone payment (Sanofi to pay the Company) of $6 million under the Sanofi Collaboration Agreement was cancelled and forgiven in full. Sanofi has no further payment obligations due to the Company under the Sanofi Collaboration Agreement. The Company will exchange its existing notes payable for new notes payable with amended terms from Sanofi immediately prior to the closing of the Company’s first issuance and sale of preferred stock prior to December 31, 2019.</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6. Grants</w:t>
      </w:r>
    </w:p>
    <w:p>
      <w:pPr>
        <w:spacing w:after="0" w:line="13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In September 2016, the Company was awarded a grant from the Cystic Fibrosis Foundation for the preclinical development of Neomorph antibiotics for treatment of Cystic Fibrosis related infections. In early 2017, the Company was awarded multiple antibiotic grants from Small Business Innovation Research through the government of the United States. In April 2017, the Company was awarded a grant for a total of $1.1 million from the Bill and Melinda Gates Foundation for research related to antibiotics for the treatment of tuberculosis and gram-negative infections.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20"/>
          </w:cols>
          <w:pgMar w:left="240" w:top="460"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 recorded under antibiotic grants during the year ended December 31, 2017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Gates Foundation Grant</w:t>
            </w:r>
          </w:p>
        </w:tc>
        <w:tc>
          <w:tcPr>
            <w:tcW w:w="3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649,569</w:t>
            </w:r>
          </w:p>
        </w:tc>
        <w:tc>
          <w:tcPr>
            <w:tcW w:w="80" w:type="dxa"/>
            <w:vAlign w:val="bottom"/>
            <w:shd w:val="clear" w:color="auto" w:fill="CCEEFF"/>
          </w:tcPr>
          <w:p>
            <w:pPr>
              <w:spacing w:after="0"/>
              <w:rPr>
                <w:sz w:val="17"/>
                <w:szCs w:val="17"/>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Cystic Fibrosis Foundation Grant</w:t>
            </w: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320,000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Small Business Innovation Research Grants</w:t>
            </w:r>
          </w:p>
        </w:tc>
        <w:tc>
          <w:tcPr>
            <w:tcW w:w="3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702,312</w:t>
            </w:r>
          </w:p>
        </w:tc>
        <w:tc>
          <w:tcPr>
            <w:tcW w:w="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Grant Revenue</w:t>
            </w:r>
          </w:p>
        </w:tc>
        <w:tc>
          <w:tcPr>
            <w:tcW w:w="3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1,671,881</w:t>
            </w:r>
          </w:p>
        </w:tc>
        <w:tc>
          <w:tcPr>
            <w:tcW w:w="80" w:type="dxa"/>
            <w:vAlign w:val="bottom"/>
          </w:tcPr>
          <w:p>
            <w:pPr>
              <w:spacing w:after="0"/>
              <w:rPr>
                <w:sz w:val="19"/>
                <w:szCs w:val="19"/>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7. Balance sheet components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Prepaid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92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Prepaid software licenses</w:t>
            </w:r>
          </w:p>
        </w:tc>
        <w:tc>
          <w:tcPr>
            <w:tcW w:w="3480" w:type="dxa"/>
            <w:vAlign w:val="bottom"/>
            <w:gridSpan w:val="2"/>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$ 198,339</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206,346</w:t>
            </w:r>
          </w:p>
        </w:tc>
        <w:tc>
          <w:tcPr>
            <w:tcW w:w="80" w:type="dxa"/>
            <w:vAlign w:val="bottom"/>
            <w:shd w:val="clear" w:color="auto" w:fill="CCEEFF"/>
          </w:tcPr>
          <w:p>
            <w:pPr>
              <w:spacing w:after="0"/>
              <w:rPr>
                <w:sz w:val="17"/>
                <w:szCs w:val="17"/>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Prepaid rent</w:t>
            </w:r>
          </w:p>
        </w:tc>
        <w:tc>
          <w:tcPr>
            <w:tcW w:w="348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172,761</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165,205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maintenance services</w:t>
            </w:r>
          </w:p>
        </w:tc>
        <w:tc>
          <w:tcPr>
            <w:tcW w:w="34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110,314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64,421</w:t>
            </w:r>
          </w:p>
        </w:tc>
        <w:tc>
          <w:tcPr>
            <w:tcW w:w="80" w:type="dxa"/>
            <w:vAlign w:val="bottom"/>
            <w:shd w:val="clear" w:color="auto" w:fill="CCEEFF"/>
          </w:tcPr>
          <w:p>
            <w:pPr>
              <w:spacing w:after="0"/>
              <w:rPr>
                <w:sz w:val="17"/>
                <w:szCs w:val="17"/>
                <w:color w:val="auto"/>
              </w:rPr>
            </w:pPr>
          </w:p>
        </w:tc>
      </w:tr>
      <w:tr>
        <w:trPr>
          <w:trHeight w:val="210"/>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8"/>
                <w:szCs w:val="18"/>
                <w:color w:val="auto"/>
              </w:rPr>
            </w:pPr>
          </w:p>
        </w:tc>
        <w:tc>
          <w:tcPr>
            <w:tcW w:w="9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46,144</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107,830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prepaid expenses and other current assets</w:t>
            </w:r>
          </w:p>
        </w:tc>
        <w:tc>
          <w:tcPr>
            <w:tcW w:w="34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$ 527,558</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543,802</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9"/>
        </w:trPr>
        <w:tc>
          <w:tcPr>
            <w:tcW w:w="650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w:t>
            </w:r>
          </w:p>
        </w:tc>
        <w:tc>
          <w:tcPr>
            <w:tcW w:w="2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6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compensation and benefits</w:t>
            </w:r>
          </w:p>
        </w:tc>
        <w:tc>
          <w:tcPr>
            <w:tcW w:w="3720" w:type="dxa"/>
            <w:vAlign w:val="bottom"/>
            <w:gridSpan w:val="2"/>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$ 1,407,236</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$ 1,009,594</w:t>
            </w:r>
          </w:p>
        </w:tc>
        <w:tc>
          <w:tcPr>
            <w:tcW w:w="80" w:type="dxa"/>
            <w:vAlign w:val="bottom"/>
            <w:shd w:val="clear" w:color="auto" w:fill="CCEEFF"/>
          </w:tcPr>
          <w:p>
            <w:pPr>
              <w:spacing w:after="0"/>
              <w:rPr>
                <w:sz w:val="17"/>
                <w:szCs w:val="17"/>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Accrued contract research organization costs</w:t>
            </w:r>
          </w:p>
        </w:tc>
        <w:tc>
          <w:tcPr>
            <w:tcW w:w="372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381,757</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377,895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other</w:t>
            </w:r>
          </w:p>
        </w:tc>
        <w:tc>
          <w:tcPr>
            <w:tcW w:w="26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370,216</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467,073</w:t>
            </w:r>
          </w:p>
        </w:tc>
        <w:tc>
          <w:tcPr>
            <w:tcW w:w="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accrued liabilities</w:t>
            </w:r>
          </w:p>
        </w:tc>
        <w:tc>
          <w:tcPr>
            <w:tcW w:w="37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$ 2,159,209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$ 1,854,562</w:t>
            </w:r>
          </w:p>
        </w:tc>
        <w:tc>
          <w:tcPr>
            <w:tcW w:w="80" w:type="dxa"/>
            <w:vAlign w:val="bottom"/>
          </w:tcPr>
          <w:p>
            <w:pPr>
              <w:spacing w:after="0"/>
              <w:rPr>
                <w:sz w:val="19"/>
                <w:szCs w:val="19"/>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8. Convertible preferred stock and stockholders’ deficit</w:t>
      </w:r>
    </w:p>
    <w:p>
      <w:pPr>
        <w:spacing w:after="0" w:line="134"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In conjunction with the recapitalization, certain put and call rights that the Company’s two primarily investors held were eliminated, and the holders of preferred units received an equivalent number of shares of Series A preferred stock. The holders of common units received an equivalent number of common stock.</w:t>
      </w:r>
    </w:p>
    <w:p>
      <w:pPr>
        <w:spacing w:after="0" w:line="101"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In evaluating the above restructuring, the Company considered that the rights and preferences of each class of equity before and after the restructuring and determined that there were no substantive changes in the rights and preferences. The fair value of each stockholders’ interest remained unchanged as a result of the above restructuring. The restructuring lacked economic substance and should be accounted for in a manner consistent with a common control transaction. Therefore, the Company concluded that the restructuring represented a modification of equity, and not an extinguishment, and that there was no incremental value given to the holders of the equity requiring recognition.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240"/>
          </w:cols>
          <w:pgMar w:left="240" w:top="459" w:right="41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Series A Convertible Preferred Stock (“Series A Preferred Stock”) has the following characteristics: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w:t>
      </w:r>
    </w:p>
    <w:p>
      <w:pPr>
        <w:spacing w:after="0" w:line="124"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The Series A Preferred Stock is entitled to vote together with the common stockholders as one class and are entitled to separate votes on certain matters.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200" w:right="440"/>
        <w:spacing w:after="0" w:line="239" w:lineRule="auto"/>
        <w:rPr>
          <w:sz w:val="20"/>
          <w:szCs w:val="20"/>
          <w:color w:val="auto"/>
        </w:rPr>
      </w:pPr>
      <w:r>
        <w:rPr>
          <w:rFonts w:ascii="Arial" w:cs="Arial" w:eastAsia="Arial" w:hAnsi="Arial"/>
          <w:sz w:val="18"/>
          <w:szCs w:val="18"/>
          <w:color w:val="auto"/>
        </w:rPr>
        <w:t>The Series A stockholders are entitled to receive an annual, cumulative 8% dividend, when and if declared by the Board of Directors. No dividends have been declared through December 31, 2017.</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24"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The Series A stockholders are entitled to a liquidation preference of their original purchase price of $1.00 per share for Series A Preferred Stock shares, plus accumulated dividends, in the event of liquidation, dissolution, or winding up of the Company. In the event the Company merges with, or is acquired by, another entity, such merger or acquisition could be deemed a dissolution.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w:t>
      </w:r>
    </w:p>
    <w:p>
      <w:pPr>
        <w:spacing w:after="0" w:line="12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Series A Preferred Stock is convertible upon approval of the holders of at least 66.66% of the outstanding shares of Series A preferred stock, on a share-for-share basis, subject to certain antidilution adjustments. The Series A preferred stock converts automatically on a share-for-share basis into shares of common stock upon the closing of the shares of common stock to the public in a firm commitment underwritten public offering pursuant to an effective registration statement under the Securities Act of 1933, as amended, resulting in at least $40,000,000 of gross proceeds to the Company.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24" w:lineRule="exact"/>
        <w:rPr>
          <w:sz w:val="20"/>
          <w:szCs w:val="20"/>
          <w:color w:val="auto"/>
        </w:rPr>
      </w:pPr>
    </w:p>
    <w:p>
      <w:pPr>
        <w:ind w:left="200" w:right="540"/>
        <w:spacing w:after="0" w:line="299" w:lineRule="auto"/>
        <w:rPr>
          <w:sz w:val="20"/>
          <w:szCs w:val="20"/>
          <w:color w:val="auto"/>
        </w:rPr>
      </w:pPr>
      <w:r>
        <w:rPr>
          <w:rFonts w:ascii="Arial" w:cs="Arial" w:eastAsia="Arial" w:hAnsi="Arial"/>
          <w:sz w:val="16"/>
          <w:szCs w:val="16"/>
          <w:color w:val="auto"/>
        </w:rPr>
        <w:t>The Series A Preferred Stock can be redeemed in a merger or consolidation involving the Company or a sale, lease, transfer, exclusive license or other disposition of substantially all the assets of the Company. The preferred stock is otherwise not redeemable.</w:t>
      </w:r>
    </w:p>
    <w:p>
      <w:pPr>
        <w:spacing w:after="0" w:line="55"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Prior to the 2016 restructuring to a C Corporation, the holders of the Company’s Series A Preferred Units, Common Units and Capital interests had certain voting, dividend rights, as well as liquidation preferences and conversion privileges. All rights, preferences, and privileges associated with these Units were terminated at the time of the Company’s restructuring to a C Corporation.</w:t>
      </w:r>
    </w:p>
    <w:p>
      <w:pPr>
        <w:spacing w:after="0" w:line="100" w:lineRule="exact"/>
        <w:rPr>
          <w:sz w:val="20"/>
          <w:szCs w:val="20"/>
          <w:color w:val="auto"/>
        </w:rPr>
      </w:pPr>
    </w:p>
    <w:p>
      <w:pPr>
        <w:ind w:left="200" w:right="860"/>
        <w:spacing w:after="0" w:line="239" w:lineRule="auto"/>
        <w:rPr>
          <w:sz w:val="20"/>
          <w:szCs w:val="20"/>
          <w:color w:val="auto"/>
        </w:rPr>
      </w:pPr>
      <w:r>
        <w:rPr>
          <w:rFonts w:ascii="Arial" w:cs="Arial" w:eastAsia="Arial" w:hAnsi="Arial"/>
          <w:sz w:val="18"/>
          <w:szCs w:val="18"/>
          <w:color w:val="auto"/>
        </w:rPr>
        <w:t>During the year ended December 31, 2017, the Company changed the classification of the Series A Preferred Stock balances from permanent equity to mezzanine equity. The change was applied retrospectively.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124"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Each holder of common stock is entitled to one vote per share of common stock. Subject to the rights of holders of Series A Preferred Stock as described above, holders of common stock are also entitled (i) to receive dividends whenever funds are legally available and when declared by the Board of Directors and (ii) upon a deemed liquidation, to receive ratably and equally with the holders of Series A Preferred Stock all the asset and funds of the Company remaining after the payment to the holders of Series A Preferred Stock of the amounts which they are entitled, as provided above.</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20"/>
          </w:cols>
          <w:pgMar w:left="240" w:top="459" w:right="4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9. Equity awards</w:t>
      </w:r>
    </w:p>
    <w:p>
      <w:pPr>
        <w:spacing w:after="0" w:line="134"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The holders of participation units, the equity award previously given to employees (and to nonemployees on occasion) were also called Capital Interests on the Statements of Convertible Preferred Stock and Stockholders’ Deficit. The holders of participation units received an equivalent number of shares of restricted stock on the same vesting schedule.</w:t>
      </w:r>
    </w:p>
    <w:p>
      <w:pPr>
        <w:spacing w:after="0" w:line="101" w:lineRule="exact"/>
        <w:rPr>
          <w:sz w:val="20"/>
          <w:szCs w:val="20"/>
          <w:color w:val="auto"/>
        </w:rPr>
      </w:pPr>
    </w:p>
    <w:p>
      <w:pPr>
        <w:ind w:left="200" w:right="240"/>
        <w:spacing w:after="0" w:line="269" w:lineRule="auto"/>
        <w:rPr>
          <w:sz w:val="20"/>
          <w:szCs w:val="20"/>
          <w:color w:val="auto"/>
        </w:rPr>
      </w:pPr>
      <w:r>
        <w:rPr>
          <w:rFonts w:ascii="Arial" w:cs="Arial" w:eastAsia="Arial" w:hAnsi="Arial"/>
          <w:sz w:val="16"/>
          <w:szCs w:val="16"/>
          <w:color w:val="auto"/>
        </w:rPr>
        <w:t>The Company adopted the 2016 Stock Option and Grant Plan (2016 Plan) during the above described restructuring in January 2016. The maximum number of shares reserved and available for issuance under the 2016 Plan is 20,064,924 shares. As of December 31, 2017, 3,004,141 restricted stock awards were available for future grant under the Plan. The Company has issued restricted stock (as opposed to stock options) to employees since the adoption of the 2016 Plan. Upon grant of the restricted stock award and payment of any applicable purchase price by the employee, a grantee of the restricted stock is considered the record owner and is entitled to vote the restricted stock. Restricted stock may not be sold, assigned, transferred, pledged or otherwise encumbered or disposed of except as specifically provided in the 2016 Plan or award agreement. If an employee leaves the Company, the Company has the right and option to repurchase the unvested restricted stock. Restricted stock granted by the Company typically vest over four years and have a contractual life of ten years.</w:t>
      </w:r>
    </w:p>
    <w:p>
      <w:pPr>
        <w:spacing w:after="0" w:line="79"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The Company granted 1,107,150 and 3,742,345 shares of restricted stock to employees for the years ended December 31, 2017 and 2016, respectively. For all grants during the years ended December 31, 2017 and 2016, the employees paid the Company for the fair value of the restricted stock awards. As a result, the Company did not recognize any stock-based compensation for restricted stock grants made in 2017 and 2016. However, the Company did recognize stock-based compensation related to grants of participation units and capitalized interests prior to January 1, 2016.</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recorded stock-based compensation expense in the following expense categories in its Statements of Operations and</w:t>
      </w:r>
    </w:p>
    <w:p>
      <w:pPr>
        <w:ind w:left="200"/>
        <w:spacing w:after="0"/>
        <w:rPr>
          <w:sz w:val="20"/>
          <w:szCs w:val="20"/>
          <w:color w:val="auto"/>
        </w:rPr>
      </w:pPr>
      <w:r>
        <w:rPr>
          <w:rFonts w:ascii="Arial" w:cs="Arial" w:eastAsia="Arial" w:hAnsi="Arial"/>
          <w:sz w:val="18"/>
          <w:szCs w:val="18"/>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40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$ 122,880</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$ 198,309</w:t>
            </w:r>
          </w:p>
        </w:tc>
        <w:tc>
          <w:tcPr>
            <w:tcW w:w="80" w:type="dxa"/>
            <w:vAlign w:val="bottom"/>
            <w:shd w:val="clear" w:color="auto" w:fill="CCEEFF"/>
          </w:tcPr>
          <w:p>
            <w:pPr>
              <w:spacing w:after="0"/>
              <w:rPr>
                <w:sz w:val="17"/>
                <w:szCs w:val="17"/>
                <w:color w:val="auto"/>
              </w:rPr>
            </w:pPr>
          </w:p>
        </w:tc>
      </w:tr>
      <w:tr>
        <w:trPr>
          <w:trHeight w:val="215"/>
        </w:trPr>
        <w:tc>
          <w:tcPr>
            <w:tcW w:w="5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General and administrative expense</w:t>
            </w:r>
          </w:p>
        </w:tc>
        <w:tc>
          <w:tcPr>
            <w:tcW w:w="4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517,598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787,174</w:t>
            </w:r>
          </w:p>
        </w:tc>
        <w:tc>
          <w:tcPr>
            <w:tcW w:w="80" w:type="dxa"/>
            <w:vAlign w:val="bottom"/>
          </w:tcPr>
          <w:p>
            <w:pPr>
              <w:spacing w:after="0"/>
              <w:rPr>
                <w:sz w:val="18"/>
                <w:szCs w:val="18"/>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the year ended December 31, 2017, the above amounts included total stock-based expense for nonemployees of approximately $1,129.</w:t>
      </w:r>
    </w:p>
    <w:p>
      <w:pPr>
        <w:spacing w:after="0" w:line="127"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The following table summarizes the Company’s restricted stock activity for the year ended December 31, 2017, as well as total common stock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Weighted-average</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60" w:type="dxa"/>
            <w:vAlign w:val="bottom"/>
            <w:gridSpan w:val="2"/>
          </w:tcPr>
          <w:p>
            <w:pPr>
              <w:jc w:val="right"/>
              <w:ind w:right="700"/>
              <w:spacing w:after="0" w:line="202" w:lineRule="exact"/>
              <w:rPr>
                <w:sz w:val="20"/>
                <w:szCs w:val="20"/>
                <w:color w:val="auto"/>
              </w:rPr>
            </w:pPr>
            <w:r>
              <w:rPr>
                <w:rFonts w:ascii="Arial" w:cs="Arial" w:eastAsia="Arial" w:hAnsi="Arial"/>
                <w:sz w:val="18"/>
                <w:szCs w:val="18"/>
                <w:b w:val="1"/>
                <w:bCs w:val="1"/>
                <w:color w:val="auto"/>
              </w:rPr>
              <w:t>Number of</w:t>
            </w:r>
          </w:p>
        </w:tc>
        <w:tc>
          <w:tcPr>
            <w:tcW w:w="54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grant date fair</w:t>
            </w:r>
          </w:p>
        </w:tc>
      </w:tr>
      <w:tr>
        <w:trPr>
          <w:trHeight w:val="221"/>
        </w:trPr>
        <w:tc>
          <w:tcPr>
            <w:tcW w:w="20" w:type="dxa"/>
            <w:vAlign w:val="bottom"/>
          </w:tcPr>
          <w:p>
            <w:pPr>
              <w:spacing w:after="0"/>
              <w:rPr>
                <w:sz w:val="19"/>
                <w:szCs w:val="19"/>
                <w:color w:val="auto"/>
              </w:rPr>
            </w:pPr>
          </w:p>
        </w:tc>
        <w:tc>
          <w:tcPr>
            <w:tcW w:w="51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rPr>
              <w:t>restricted shares</w:t>
            </w: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9"/>
              </w:rPr>
              <w:t>value</w:t>
            </w: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restricted stock on January 1, 2017</w:t>
            </w:r>
          </w:p>
        </w:tc>
        <w:tc>
          <w:tcPr>
            <w:tcW w:w="3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19,931,258</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Restricted stock granted</w:t>
            </w:r>
          </w:p>
        </w:tc>
        <w:tc>
          <w:tcPr>
            <w:tcW w:w="3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1,107,150</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Restricted stock cancelled</w:t>
            </w:r>
          </w:p>
        </w:tc>
        <w:tc>
          <w:tcPr>
            <w:tcW w:w="20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(3,278,377)</w:t>
            </w: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7"/>
                <w:szCs w:val="17"/>
                <w:color w:val="auto"/>
              </w:rPr>
            </w:pPr>
          </w:p>
        </w:tc>
      </w:tr>
      <w:tr>
        <w:trPr>
          <w:trHeight w:val="222"/>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Restricted stock at December 31, 2017</w:t>
            </w:r>
          </w:p>
        </w:tc>
        <w:tc>
          <w:tcPr>
            <w:tcW w:w="2020" w:type="dxa"/>
            <w:vAlign w:val="bottom"/>
            <w:tcBorders>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17,760,031</w:t>
            </w: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As of December 31, 2017, there was approximately $0.6 million of total unrecognized compensation cost related to restricted stock with time-based vesting, which is expected to be recognized over a remaining weighted-average vesting period of approximately 1.1 years. The weighted-average grant date fair value of restricted stock granted was $0.01 for the year ended December 31, 2017.</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40"/>
          </w:cols>
          <w:pgMar w:left="240" w:top="459" w:right="41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During the years ended December 31, 2017 and December 31, 2016, no shares subject to performance-based milestones vested, and the Company did not record any stock-based compensation related to these performance-based restricted stock as the vesting conditions are not probable of achievement. The Company cancelled all 2,100,000 unvested performance-based restricted shares upon the resignation of a former executive during the year ended December 31, 2017.</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10. Commitments and contingencies</w:t>
      </w:r>
    </w:p>
    <w:p>
      <w:pPr>
        <w:spacing w:after="0" w:line="134"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In May 2017, the Company and the landlord finalized an extension of the Company’s primary facilities in Cambridge, Massachusetts through February 2023. The lease extension includes a rent increase of approximately 12% starting in March 2018 and three percent annual rent increases through 2023. In May 2017, the Company and the landlord reduced the security deposit related to the facility lease, which is the restricted cash on the Company’s balance sheet, by approximately $107,000.</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conjunction with the original lease, the landlord provided the Company with a $3.5 million tenant improvement allowance, of which the entire amount was utilized in 2013 and represented normal tenant improvements. The improvements are recorded as leasehold improvements on the balance sheet. The incentive has been recorded as a lease incentive obligation which is being amortized as a reduction of rent expense over the term of the lease. At December 31, 2017 and 2016, the deferred rent and lease incentive obligations are recorded as deferred rent on the balance sheet.</w:t>
      </w:r>
    </w:p>
    <w:p>
      <w:pPr>
        <w:spacing w:after="0" w:line="103" w:lineRule="exact"/>
        <w:rPr>
          <w:sz w:val="20"/>
          <w:szCs w:val="20"/>
          <w:color w:val="auto"/>
        </w:rPr>
      </w:pPr>
    </w:p>
    <w:p>
      <w:pPr>
        <w:ind w:left="200" w:right="900"/>
        <w:spacing w:after="0" w:line="239" w:lineRule="auto"/>
        <w:rPr>
          <w:sz w:val="20"/>
          <w:szCs w:val="20"/>
          <w:color w:val="auto"/>
        </w:rPr>
      </w:pPr>
      <w:r>
        <w:rPr>
          <w:rFonts w:ascii="Arial" w:cs="Arial" w:eastAsia="Arial" w:hAnsi="Arial"/>
          <w:sz w:val="18"/>
          <w:szCs w:val="18"/>
          <w:color w:val="auto"/>
        </w:rPr>
        <w:t>The Company recorded rent expense of $859,634 and $781,273 for the years ended December 31, 2017 and December 31, 2016, respectively.</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Minimum rental payments under the operating leases as of December 31,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Operating</w:t>
            </w:r>
          </w:p>
        </w:tc>
      </w:tr>
      <w:tr>
        <w:trPr>
          <w:trHeight w:val="221"/>
        </w:trPr>
        <w:tc>
          <w:tcPr>
            <w:tcW w:w="2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8"/>
              </w:rPr>
              <w:t>leases</w:t>
            </w: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jc w:val="right"/>
              <w:ind w:right="4712"/>
              <w:spacing w:after="0" w:line="196" w:lineRule="exact"/>
              <w:rPr>
                <w:sz w:val="20"/>
                <w:szCs w:val="20"/>
                <w:color w:val="auto"/>
              </w:rPr>
            </w:pPr>
            <w:r>
              <w:rPr>
                <w:rFonts w:ascii="Arial" w:cs="Arial" w:eastAsia="Arial" w:hAnsi="Arial"/>
                <w:sz w:val="18"/>
                <w:szCs w:val="18"/>
                <w:color w:val="auto"/>
                <w:w w:val="89"/>
              </w:rPr>
              <w:t>2018</w:t>
            </w:r>
          </w:p>
        </w:tc>
        <w:tc>
          <w:tcPr>
            <w:tcW w:w="5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$ 1,582,607</w:t>
            </w:r>
          </w:p>
        </w:tc>
        <w:tc>
          <w:tcPr>
            <w:tcW w:w="80" w:type="dxa"/>
            <w:vAlign w:val="bottom"/>
            <w:shd w:val="clear" w:color="auto" w:fill="CCEEFF"/>
          </w:tcPr>
          <w:p>
            <w:pPr>
              <w:spacing w:after="0"/>
              <w:rPr>
                <w:sz w:val="17"/>
                <w:szCs w:val="17"/>
                <w:color w:val="auto"/>
              </w:rPr>
            </w:pPr>
          </w:p>
        </w:tc>
      </w:tr>
      <w:tr>
        <w:trPr>
          <w:trHeight w:val="203"/>
        </w:trPr>
        <w:tc>
          <w:tcPr>
            <w:tcW w:w="5200" w:type="dxa"/>
            <w:vAlign w:val="bottom"/>
            <w:gridSpan w:val="2"/>
          </w:tcPr>
          <w:p>
            <w:pPr>
              <w:jc w:val="right"/>
              <w:ind w:right="4712"/>
              <w:spacing w:after="0" w:line="202" w:lineRule="exact"/>
              <w:rPr>
                <w:sz w:val="20"/>
                <w:szCs w:val="20"/>
                <w:color w:val="auto"/>
              </w:rPr>
            </w:pPr>
            <w:r>
              <w:rPr>
                <w:rFonts w:ascii="Arial" w:cs="Arial" w:eastAsia="Arial" w:hAnsi="Arial"/>
                <w:sz w:val="18"/>
                <w:szCs w:val="18"/>
                <w:color w:val="auto"/>
                <w:w w:val="94"/>
              </w:rPr>
              <w:t>2019</w:t>
            </w:r>
          </w:p>
        </w:tc>
        <w:tc>
          <w:tcPr>
            <w:tcW w:w="5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1,651,034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jc w:val="right"/>
              <w:ind w:right="4712"/>
              <w:spacing w:after="0" w:line="202" w:lineRule="exact"/>
              <w:rPr>
                <w:sz w:val="20"/>
                <w:szCs w:val="20"/>
                <w:color w:val="auto"/>
              </w:rPr>
            </w:pPr>
            <w:r>
              <w:rPr>
                <w:rFonts w:ascii="Arial" w:cs="Arial" w:eastAsia="Arial" w:hAnsi="Arial"/>
                <w:sz w:val="18"/>
                <w:szCs w:val="18"/>
                <w:color w:val="auto"/>
                <w:w w:val="89"/>
              </w:rPr>
              <w:t>2020</w:t>
            </w:r>
          </w:p>
        </w:tc>
        <w:tc>
          <w:tcPr>
            <w:tcW w:w="5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1,700,565</w:t>
            </w:r>
          </w:p>
        </w:tc>
        <w:tc>
          <w:tcPr>
            <w:tcW w:w="80" w:type="dxa"/>
            <w:vAlign w:val="bottom"/>
            <w:shd w:val="clear" w:color="auto" w:fill="CCEEFF"/>
          </w:tcPr>
          <w:p>
            <w:pPr>
              <w:spacing w:after="0"/>
              <w:rPr>
                <w:sz w:val="17"/>
                <w:szCs w:val="17"/>
                <w:color w:val="auto"/>
              </w:rPr>
            </w:pPr>
          </w:p>
        </w:tc>
      </w:tr>
      <w:tr>
        <w:trPr>
          <w:trHeight w:val="203"/>
        </w:trPr>
        <w:tc>
          <w:tcPr>
            <w:tcW w:w="5200" w:type="dxa"/>
            <w:vAlign w:val="bottom"/>
            <w:gridSpan w:val="2"/>
          </w:tcPr>
          <w:p>
            <w:pPr>
              <w:jc w:val="right"/>
              <w:ind w:right="4712"/>
              <w:spacing w:after="0" w:line="202" w:lineRule="exact"/>
              <w:rPr>
                <w:sz w:val="20"/>
                <w:szCs w:val="20"/>
                <w:color w:val="auto"/>
              </w:rPr>
            </w:pPr>
            <w:r>
              <w:rPr>
                <w:rFonts w:ascii="Arial" w:cs="Arial" w:eastAsia="Arial" w:hAnsi="Arial"/>
                <w:sz w:val="18"/>
                <w:szCs w:val="18"/>
                <w:color w:val="auto"/>
                <w:w w:val="94"/>
              </w:rPr>
              <w:t>2021</w:t>
            </w:r>
          </w:p>
        </w:tc>
        <w:tc>
          <w:tcPr>
            <w:tcW w:w="5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1,751,582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jc w:val="right"/>
              <w:ind w:right="4712"/>
              <w:spacing w:after="0" w:line="202" w:lineRule="exact"/>
              <w:rPr>
                <w:sz w:val="20"/>
                <w:szCs w:val="20"/>
                <w:color w:val="auto"/>
              </w:rPr>
            </w:pPr>
            <w:r>
              <w:rPr>
                <w:rFonts w:ascii="Arial" w:cs="Arial" w:eastAsia="Arial" w:hAnsi="Arial"/>
                <w:sz w:val="18"/>
                <w:szCs w:val="18"/>
                <w:color w:val="auto"/>
                <w:w w:val="89"/>
              </w:rPr>
              <w:t>2022</w:t>
            </w:r>
          </w:p>
        </w:tc>
        <w:tc>
          <w:tcPr>
            <w:tcW w:w="48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1,804,129</w:t>
            </w:r>
          </w:p>
        </w:tc>
        <w:tc>
          <w:tcPr>
            <w:tcW w:w="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$ 8,489,917</w:t>
            </w:r>
          </w:p>
        </w:tc>
        <w:tc>
          <w:tcPr>
            <w:tcW w:w="80" w:type="dxa"/>
            <w:vAlign w:val="bottom"/>
          </w:tcPr>
          <w:p>
            <w:pPr>
              <w:spacing w:after="0"/>
              <w:rPr>
                <w:sz w:val="19"/>
                <w:szCs w:val="19"/>
                <w:color w:val="auto"/>
              </w:rPr>
            </w:pPr>
          </w:p>
        </w:tc>
      </w:tr>
    </w:tbl>
    <w:p>
      <w:pPr>
        <w:spacing w:after="0" w:line="111"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The Company has entered into certain license agreements. Pursuant to the terms of those agreements, the Company may be required to pay up to $2,000,000 upon the achievement of various developments, regulatory and sales milestones. The payment of these amounts, however, is contingent upon the occurrence of various future events. Additionally, the Company has licensed technology from an academic institution for which it is required to pay annual license payments of $50,000 for as long as the patent is in effect. If any product related to the licenses technology from an academic institution are approved for sale, the Company may be required to pay a minimal royalty on future sales.</w:t>
      </w:r>
    </w:p>
    <w:p>
      <w:pPr>
        <w:spacing w:after="0" w:line="75"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Cystic Fibrosis Foundation grant agreement contains provisions related to potential future amounts payable by the Company to the Cystic Fibrosis Foundation upon product approval and upon the achievement of certain sales milestones. In addition, in the event of a change of control or licensing, sale, or other transfer of the technology, the Company shall pay the Cystic Fibrosis Foundation a payment equal to a percentage of the related transaction price, not to exceed $1.4 million, which amount shall be reduced by any payments previously made by the Company in connection with a product approval.</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240"/>
          </w:cols>
          <w:pgMar w:left="240" w:top="459" w:right="41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11. Employee retirement/savings plan</w:t>
      </w:r>
    </w:p>
    <w:p>
      <w:pPr>
        <w:spacing w:after="0" w:line="134" w:lineRule="exact"/>
        <w:rPr>
          <w:sz w:val="20"/>
          <w:szCs w:val="20"/>
          <w:color w:val="auto"/>
        </w:rPr>
      </w:pPr>
    </w:p>
    <w:p>
      <w:pPr>
        <w:ind w:left="200" w:right="600"/>
        <w:spacing w:after="0" w:line="238" w:lineRule="auto"/>
        <w:rPr>
          <w:sz w:val="20"/>
          <w:szCs w:val="20"/>
          <w:color w:val="auto"/>
        </w:rPr>
      </w:pPr>
      <w:r>
        <w:rPr>
          <w:rFonts w:ascii="Arial" w:cs="Arial" w:eastAsia="Arial" w:hAnsi="Arial"/>
          <w:sz w:val="18"/>
          <w:szCs w:val="18"/>
          <w:color w:val="auto"/>
        </w:rPr>
        <w:t>The Company maintains an employee retirement/savings plan (the Retirement Plan) which permits participants to make tax-deferred contributions by salary reduction pursuant to Section 401(k) of the Internal Revenue Code. The Company does not provide a matching contribution to the Retirement Plan.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 Related-party transactions</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conjunction with the issuance of Series A preferred stock and common stock and the conversion of the prior credit agreement into convertible notes payable (Note 5), the Company simultaneously entered into a research collaboration with Sanofi in which it obtained an exclusive license focused on the development of drugs targeting important human oncogenes (Note 4). Under the terms of the Agreement, the Company would lead research collaboration for a period of five years, and Sanofi would potentially receive worldwide exclusive licenses to develop and commercialize the candidates discovered during the research term. The Company has total convertible notes payable from Sanofi of approximately $34 million and $22 million as of December 31, 2017 and 2016, respectively. (Note 5)</w:t>
      </w:r>
    </w:p>
    <w:p>
      <w:pPr>
        <w:spacing w:after="0" w:line="102"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Company leases its facilities from an entity that participated in the Series A Unit financing in October 2012. Prior to and after the restructuring of the Company, the investor owned less than one percent of the Series A Preferred Units and Series A Preferred Stock of the Company, respectively. Payments made to the landlord totaled approximately $2.1 million and $2.2 million for the years ended December 31, 2017 and December 31, 2016, respectively.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13. Income taxes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U.S. tax reform</w:t>
      </w:r>
    </w:p>
    <w:p>
      <w:pPr>
        <w:spacing w:after="0" w:line="124"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On December 22, 2017, the Tax Cuts and Jobs Act (the “TCJA”) was signed into United States law. The TCJA includes a number of changes to existing tax law, including, among other things, a reduction in the federal corporate income tax rate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w:t>
      </w:r>
    </w:p>
    <w:p>
      <w:pPr>
        <w:spacing w:after="0" w:line="103"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The Company remeasured certain deferred tax assets and liabilities based on the rates at which they are expected to reverse in the future. The provisional amount related to the re-measurement of the Company’s deferred tax balance was a reduction of $5.6 million. Due to the corresponding valuation allowance fully offsetting deferred taxes, there was no impact to the statement of operations and comprehensive loss.</w:t>
      </w:r>
    </w:p>
    <w:p>
      <w:pPr>
        <w:spacing w:after="0" w:line="70"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The Company is still in the process of analyzing the impact to the Company of the TCJA and its analysis is not yet complete. Where the Company has been able to make reasonable estimates of the effects related to the TCJA, the Company has recorded provisional amounts. The ultimate impact to the Company’s financial statements of the TCJA may differ from the provisional amounts.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There is no provision for income taxes because the Company has historically incurred and continues to incur operating losses and maintains a full valuation allowance against its net deferred tax assets. The Company has incurred pre-tax losses in the United States only for all periods presented.</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220"/>
          </w:cols>
          <w:pgMar w:left="240" w:top="460"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provision for income tax differs from the amount expected by applying the federal statutory rate to the loss before taxes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9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72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34.0%</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7"/>
                <w:szCs w:val="17"/>
                <w:color w:val="auto"/>
              </w:rPr>
            </w:pP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 rate, net of federal benefit</w:t>
            </w: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6.9</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tax credits</w:t>
            </w: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7"/>
                <w:szCs w:val="17"/>
                <w:color w:val="auto"/>
              </w:rPr>
            </w:pP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Write-off of net operating loss and research and development credit carryforwards</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(82.1)</w:t>
            </w: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67.6</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(42.3)</w:t>
            </w: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Non-deductible permanent expenses</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w:t>
            </w: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of deferred tax due to tax law change</w:t>
            </w:r>
          </w:p>
        </w:tc>
        <w:tc>
          <w:tcPr>
            <w:tcW w:w="7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(29.3)</w:t>
            </w: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10"/>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(0.2)</w:t>
            </w: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72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0.0%</w:t>
            </w: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Significant components of the Company’s net deferred tax asset at December 31, 2017 and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5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tax assets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2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12,272,047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23,870,603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 credits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2,521,478</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2,772,715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468,468</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725,369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Gross deferred tax assets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15,261,993</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27,368,687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Valuation allowance</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7"/>
              </w:rPr>
              <w:t>(15,186,711)</w:t>
            </w:r>
          </w:p>
        </w:tc>
        <w:tc>
          <w:tcPr>
            <w:tcW w:w="320" w:type="dxa"/>
            <w:vAlign w:val="bottom"/>
          </w:tcPr>
          <w:p>
            <w:pPr>
              <w:spacing w:after="0"/>
              <w:rPr>
                <w:sz w:val="18"/>
                <w:szCs w:val="18"/>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9"/>
              </w:rPr>
              <w:t>(26,933,978)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deferred tax assets</w:t>
            </w:r>
          </w:p>
        </w:tc>
        <w:tc>
          <w:tcPr>
            <w:tcW w:w="2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75,282</w:t>
            </w:r>
          </w:p>
        </w:tc>
        <w:tc>
          <w:tcPr>
            <w:tcW w:w="3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434,709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Property and equipment</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(75,282)</w:t>
            </w: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(434,709)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Net deferred tax assets</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2017, the Company had federal and state net operating loss carryforwards of approximately $46,038,000 and</w:t>
      </w:r>
    </w:p>
    <w:p>
      <w:pPr>
        <w:ind w:left="200" w:right="640"/>
        <w:spacing w:after="0" w:line="239" w:lineRule="auto"/>
        <w:rPr>
          <w:sz w:val="20"/>
          <w:szCs w:val="20"/>
          <w:color w:val="auto"/>
        </w:rPr>
      </w:pPr>
      <w:r>
        <w:rPr>
          <w:rFonts w:ascii="Arial" w:cs="Arial" w:eastAsia="Arial" w:hAnsi="Arial"/>
          <w:sz w:val="18"/>
          <w:szCs w:val="18"/>
          <w:color w:val="auto"/>
        </w:rPr>
        <w:t>$41,203,000, respectively. The net operating loss carryforwards will expire at various times beginning in 2030 through 2037 for federal purposes and beginning in 2021 through 2022 for state purposes.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2017, the Company also had federal and state research and development tax credit carryforwards of approximately</w:t>
      </w:r>
    </w:p>
    <w:p>
      <w:pPr>
        <w:ind w:left="200" w:right="220"/>
        <w:spacing w:after="0" w:line="239" w:lineRule="auto"/>
        <w:rPr>
          <w:sz w:val="20"/>
          <w:szCs w:val="20"/>
          <w:color w:val="auto"/>
        </w:rPr>
      </w:pPr>
      <w:r>
        <w:rPr>
          <w:rFonts w:ascii="Arial" w:cs="Arial" w:eastAsia="Arial" w:hAnsi="Arial"/>
          <w:sz w:val="18"/>
          <w:szCs w:val="18"/>
          <w:color w:val="auto"/>
        </w:rPr>
        <w:t>$1,649,000 and $1,017,000, respectively, to offset future income taxes. The tax credit carryforwards will expire at various times beginning in 2036 through 2037 for federal purposes and will expire at various times beginning in 2031 through 2032 for state purposes.</w:t>
      </w:r>
    </w:p>
    <w:p>
      <w:pPr>
        <w:spacing w:after="0" w:line="101"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Utilization of the net operating loss and tax credit carryforwards may be subject to a substantial annual limitation under Section 382 and 383 of the Internal Revenue Code due to certain ownership changes that have occurred previously or that could occur in the future. These ownership changes may limit the amount of net operating loss and tax credit carryforwards that can be utilized annually to offset future taxable income and tax, respectively. Any limitation may result in expiration of a portion of the net operating loss carryforwards or tax credit carryforwards before utilization.</w:t>
      </w:r>
    </w:p>
    <w:p>
      <w:pPr>
        <w:spacing w:after="0" w:line="103"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color w:val="auto"/>
        </w:rPr>
        <w:t>The Company completed a study in May 2018 to determine the impact of certain cumulative changes in the ownership interest of significant shareholders as defined under Sections 382 and 383. The study determined that such changes triggered certain limitations on the Company’s net operating loss and tax credit carryforwards that would have otherwise been available to offset future taxable income and tax, respectively.</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240"/>
          </w:cols>
          <w:pgMar w:left="240" w:top="459" w:right="41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40"/>
        <w:spacing w:after="0" w:line="238" w:lineRule="auto"/>
        <w:rPr>
          <w:sz w:val="20"/>
          <w:szCs w:val="20"/>
          <w:color w:val="auto"/>
        </w:rPr>
      </w:pPr>
      <w:r>
        <w:rPr>
          <w:rFonts w:ascii="Arial" w:cs="Arial" w:eastAsia="Arial" w:hAnsi="Arial"/>
          <w:sz w:val="18"/>
          <w:szCs w:val="18"/>
          <w:color w:val="auto"/>
        </w:rPr>
        <w:t>The 2017 amounts in the table above reflect the related limitations to federal and state net operating loss and tax credit carryforwards. Additional ownership changes could occur in the future that could further limit the federal and state net operating loss and tax credit carryforwards.</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which are comprised principally of net operating loss carryforwards, capitalized assets, and research and development credits. Under the applicable accounting standards, management has considered the Company’s history of losses since inception and concluded that it is more likely than not that the Company will not recognize the benefits of federal and state deferred tax assets. Accordingly, a full valuation allowance of $15.2 million and $26.9 million has been established at December 31, 2017 and 2016, respectively.</w:t>
      </w:r>
    </w:p>
    <w:p>
      <w:pPr>
        <w:spacing w:after="0" w:line="103"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The Company has not recorded any amounts for unrecognized tax benefits as of December 31, 2017 and 2016. The Company’s policy is to record interest and penalties related to income taxes as part of its income tax provision. As of December 31, 2017 and 2016 the Company had no accrued interest or penalties related to uncertain tax positions.</w:t>
      </w:r>
    </w:p>
    <w:p>
      <w:pPr>
        <w:spacing w:after="0" w:line="100"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The statute of limitations for assessment by the Internal Revenue Service (“IRS”) and state tax authorities is closed for tax years prior to December 31, 2014, although net operating loss and tax credit carryforwards that were generated prior to December 31, 2014 may still be adjusted upon examination by the IRS and state tax authorities if they either have been or will be used in a future period. There are currently no IRS or state tax audits in progress.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 Subsequent events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has evaluated subsequent events through October 16, 2018, the date the financial statements were available to be issued.</w:t>
      </w:r>
    </w:p>
    <w:p>
      <w:pPr>
        <w:spacing w:after="0" w:line="104"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As discussed in Note 5, in June 2018, the Company and Sanofi agreed to amend the terms of the existing notes payable. All current and future interest due on the notes payable was cancelled and forgiven in full. In addition, a milestone payment (Sanofi to pay the Company) of $6 million due to the Company under the Sanofi Collaboration Agreement was cancelled and forgiven in full. Sanofi has no further payment obligations due to the Company under the Sanofi Collaboration Agreement. The Company will exchange its existing notes payable for new notes payable, with an extended maturity date and certain other amended provisions, from Sanofi immediately prior to the closing of the Company’s first issuance and sale of preferred stock prior to December 31, 2019.</w:t>
      </w:r>
    </w:p>
    <w:p>
      <w:pPr>
        <w:spacing w:after="0" w:line="102"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On October 3, 2018, the Company received $2 million in cash proceeds from an existing investor in exchange for a convertible promissory note purchase agreement with a maturity date of April 8, 2019 and an 8% annual interest rate.</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On October 15, 2018, the Company and Revolution Medicines, Inc. (“Revolution”) signed a merger agreement in which Revolution will acquire all the equity interests of the Company for a purchase price of approximately $70 million subject to adjustments and holdbacks for certain events. Subject to the achievement of certain closing conditions, including the conversion to preferred stock of all of the outstanding convertible notes payable held by Sanofi, the merger agreement is expected to close on or around October 22, 2018.</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220"/>
          </w:cols>
          <w:pgMar w:left="24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Condensed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9120" w:type="dxa"/>
            <w:vAlign w:val="bottom"/>
            <w:gridSpan w:val="2"/>
          </w:tcPr>
          <w:p>
            <w:pPr>
              <w:jc w:val="center"/>
              <w:ind w:left="7832"/>
              <w:spacing w:after="0"/>
              <w:rPr>
                <w:sz w:val="20"/>
                <w:szCs w:val="20"/>
                <w:color w:val="auto"/>
              </w:rPr>
            </w:pPr>
            <w:r>
              <w:rPr>
                <w:rFonts w:ascii="Arial" w:cs="Arial" w:eastAsia="Arial" w:hAnsi="Arial"/>
                <w:sz w:val="18"/>
                <w:szCs w:val="18"/>
                <w:b w:val="1"/>
                <w:bCs w:val="1"/>
                <w:color w:val="auto"/>
                <w:w w:val="97"/>
              </w:rPr>
              <w:t>September 30,</w:t>
            </w:r>
          </w:p>
        </w:tc>
        <w:tc>
          <w:tcPr>
            <w:tcW w:w="1900" w:type="dxa"/>
            <w:vAlign w:val="bottom"/>
            <w:gridSpan w:val="3"/>
          </w:tcPr>
          <w:p>
            <w:pPr>
              <w:jc w:val="center"/>
              <w:ind w:left="432"/>
              <w:spacing w:after="0"/>
              <w:rPr>
                <w:sz w:val="20"/>
                <w:szCs w:val="20"/>
                <w:color w:val="auto"/>
              </w:rPr>
            </w:pPr>
            <w:r>
              <w:rPr>
                <w:rFonts w:ascii="Arial" w:cs="Arial" w:eastAsia="Arial" w:hAnsi="Arial"/>
                <w:sz w:val="18"/>
                <w:szCs w:val="18"/>
                <w:b w:val="1"/>
                <w:bCs w:val="1"/>
                <w:color w:val="auto"/>
                <w:w w:val="97"/>
              </w:rPr>
              <w:t>December 31,</w:t>
            </w:r>
          </w:p>
        </w:tc>
      </w:tr>
      <w:tr>
        <w:trPr>
          <w:trHeight w:val="223"/>
        </w:trPr>
        <w:tc>
          <w:tcPr>
            <w:tcW w:w="792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r>
    </w:tbl>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1289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Cash and cash equivalents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Total current assets</w:t>
      </w:r>
    </w:p>
    <w:p>
      <w:pPr>
        <w:ind w:left="200"/>
        <w:spacing w:after="0" w:line="234" w:lineRule="auto"/>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Restricted cash</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assets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-120650</wp:posOffset>
            </wp:positionV>
            <wp:extent cx="6997700" cy="1289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Accounts payable</w:t>
      </w:r>
    </w:p>
    <w:p>
      <w:pPr>
        <w:ind w:left="420"/>
        <w:spacing w:after="0" w:line="235" w:lineRule="auto"/>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5" w:lineRule="auto"/>
        <w:rPr>
          <w:sz w:val="20"/>
          <w:szCs w:val="20"/>
          <w:color w:val="auto"/>
        </w:rPr>
      </w:pPr>
      <w:r>
        <w:rPr>
          <w:rFonts w:ascii="Arial" w:cs="Arial" w:eastAsia="Arial" w:hAnsi="Arial"/>
          <w:sz w:val="18"/>
          <w:szCs w:val="18"/>
          <w:color w:val="auto"/>
        </w:rPr>
        <w:t>Current portion capital lease</w:t>
      </w:r>
    </w:p>
    <w:p>
      <w:pPr>
        <w:ind w:left="420"/>
        <w:spacing w:after="0" w:line="235" w:lineRule="auto"/>
        <w:rPr>
          <w:sz w:val="20"/>
          <w:szCs w:val="20"/>
          <w:color w:val="auto"/>
        </w:rPr>
      </w:pPr>
      <w:r>
        <w:rPr>
          <w:rFonts w:ascii="Arial" w:cs="Arial" w:eastAsia="Arial" w:hAnsi="Arial"/>
          <w:sz w:val="18"/>
          <w:szCs w:val="18"/>
          <w:color w:val="auto"/>
        </w:rPr>
        <w:t>Current portion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Current portion of deferred rent</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18"/>
          <w:szCs w:val="18"/>
          <w:color w:val="auto"/>
        </w:rPr>
        <w:t>Convertible notes payable, related party</w:t>
      </w:r>
    </w:p>
    <w:p>
      <w:pPr>
        <w:ind w:left="200"/>
        <w:spacing w:after="0" w:line="235" w:lineRule="auto"/>
        <w:rPr>
          <w:sz w:val="20"/>
          <w:szCs w:val="20"/>
          <w:color w:val="auto"/>
        </w:rPr>
      </w:pPr>
      <w:r>
        <w:rPr>
          <w:rFonts w:ascii="Arial" w:cs="Arial" w:eastAsia="Arial" w:hAnsi="Arial"/>
          <w:sz w:val="18"/>
          <w:szCs w:val="18"/>
          <w:color w:val="auto"/>
        </w:rPr>
        <w:t>Capital lease,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Deferred revenue, less current portion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rent,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38100</wp:posOffset>
            </wp:positionV>
            <wp:extent cx="6997700" cy="1289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Convertible preferred stock</w:t>
      </w:r>
    </w:p>
    <w:p>
      <w:pPr>
        <w:jc w:val="both"/>
        <w:ind w:left="640" w:right="240" w:hanging="215"/>
        <w:spacing w:after="0" w:line="237" w:lineRule="auto"/>
        <w:rPr>
          <w:sz w:val="20"/>
          <w:szCs w:val="20"/>
          <w:color w:val="auto"/>
        </w:rPr>
      </w:pPr>
      <w:r>
        <w:rPr>
          <w:rFonts w:ascii="Arial" w:cs="Arial" w:eastAsia="Arial" w:hAnsi="Arial"/>
          <w:sz w:val="18"/>
          <w:szCs w:val="18"/>
          <w:color w:val="auto"/>
        </w:rPr>
        <w:t>Series A convertible preferred stock, $0.001 par value; 75,000,000 shares authorized, issued and outstanding at September 30, 2018 and December 31, 2017; aggregate liquidation preference of $104,466,444 and $99,983,111 at September 30,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wp:posOffset>
            </wp:positionV>
            <wp:extent cx="6997700" cy="1289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deficit</w:t>
      </w:r>
    </w:p>
    <w:p>
      <w:pPr>
        <w:jc w:val="center"/>
        <w:ind w:right="180"/>
        <w:spacing w:after="0" w:line="234" w:lineRule="auto"/>
        <w:rPr>
          <w:sz w:val="20"/>
          <w:szCs w:val="20"/>
          <w:color w:val="auto"/>
        </w:rPr>
      </w:pPr>
      <w:r>
        <w:rPr>
          <w:rFonts w:ascii="Arial" w:cs="Arial" w:eastAsia="Arial" w:hAnsi="Arial"/>
          <w:sz w:val="18"/>
          <w:szCs w:val="18"/>
          <w:color w:val="auto"/>
        </w:rPr>
        <w:t>Common stock, $0.001 par value; 121,500,000 shares authorized, 19,017,534 and</w:t>
      </w:r>
    </w:p>
    <w:p>
      <w:pPr>
        <w:jc w:val="center"/>
        <w:ind w:right="4700"/>
        <w:spacing w:after="0" w:line="235" w:lineRule="auto"/>
        <w:rPr>
          <w:sz w:val="20"/>
          <w:szCs w:val="20"/>
          <w:color w:val="auto"/>
        </w:rPr>
      </w:pPr>
      <w:r>
        <w:rPr>
          <w:rFonts w:ascii="Arial" w:cs="Arial" w:eastAsia="Arial" w:hAnsi="Arial"/>
          <w:sz w:val="18"/>
          <w:szCs w:val="18"/>
          <w:color w:val="auto"/>
        </w:rPr>
        <w:t>19,083,561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jc w:val="center"/>
        <w:ind w:right="4680"/>
        <w:spacing w:after="0" w:line="235" w:lineRule="auto"/>
        <w:rPr>
          <w:sz w:val="20"/>
          <w:szCs w:val="20"/>
          <w:color w:val="auto"/>
        </w:rPr>
      </w:pPr>
      <w:r>
        <w:rPr>
          <w:rFonts w:ascii="Arial" w:cs="Arial" w:eastAsia="Arial" w:hAnsi="Arial"/>
          <w:sz w:val="18"/>
          <w:szCs w:val="18"/>
          <w:color w:val="auto"/>
        </w:rPr>
        <w:t>Additional paid-in capital</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stockholders’ deficit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wp:posOffset>
            </wp:positionV>
            <wp:extent cx="69291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589,215</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18,616,527</w:t>
            </w:r>
          </w:p>
        </w:tc>
      </w:tr>
      <w:tr>
        <w:trPr>
          <w:trHeight w:val="199"/>
        </w:trPr>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2"/>
              <w:spacing w:after="0" w:line="200" w:lineRule="exact"/>
              <w:rPr>
                <w:sz w:val="20"/>
                <w:szCs w:val="20"/>
                <w:color w:val="auto"/>
              </w:rPr>
            </w:pPr>
            <w:r>
              <w:rPr>
                <w:rFonts w:ascii="Arial" w:cs="Arial" w:eastAsia="Arial" w:hAnsi="Arial"/>
                <w:sz w:val="18"/>
                <w:szCs w:val="18"/>
                <w:color w:val="auto"/>
              </w:rPr>
              <w:t>568,283</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527,558</w:t>
            </w:r>
          </w:p>
        </w:tc>
      </w:tr>
      <w:tr>
        <w:trPr>
          <w:trHeight w:val="213"/>
        </w:trPr>
        <w:tc>
          <w:tcPr>
            <w:tcW w:w="260" w:type="dxa"/>
            <w:vAlign w:val="bottom"/>
          </w:tcPr>
          <w:p>
            <w:pPr>
              <w:spacing w:after="0"/>
              <w:rPr>
                <w:sz w:val="18"/>
                <w:szCs w:val="18"/>
                <w:color w:val="auto"/>
              </w:rPr>
            </w:pP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1,157,498</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19,144,085</w:t>
            </w:r>
          </w:p>
        </w:tc>
      </w:tr>
      <w:tr>
        <w:trPr>
          <w:trHeight w:val="203"/>
        </w:trPr>
        <w:tc>
          <w:tcPr>
            <w:tcW w:w="260" w:type="dxa"/>
            <w:vAlign w:val="bottom"/>
          </w:tcPr>
          <w:p>
            <w:pPr>
              <w:spacing w:after="0"/>
              <w:rPr>
                <w:sz w:val="17"/>
                <w:szCs w:val="17"/>
                <w:color w:val="auto"/>
              </w:rPr>
            </w:pP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2,768,167</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4,008,581</w:t>
            </w:r>
          </w:p>
        </w:tc>
      </w:tr>
      <w:tr>
        <w:trPr>
          <w:trHeight w:val="199"/>
        </w:trPr>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2"/>
              <w:spacing w:after="0" w:line="200" w:lineRule="exact"/>
              <w:rPr>
                <w:sz w:val="20"/>
                <w:szCs w:val="20"/>
                <w:color w:val="auto"/>
              </w:rPr>
            </w:pPr>
            <w:r>
              <w:rPr>
                <w:rFonts w:ascii="Arial" w:cs="Arial" w:eastAsia="Arial" w:hAnsi="Arial"/>
                <w:sz w:val="18"/>
                <w:szCs w:val="18"/>
                <w:color w:val="auto"/>
              </w:rPr>
              <w:t>213,821</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213,581</w:t>
            </w:r>
          </w:p>
        </w:tc>
      </w:tr>
      <w:tr>
        <w:trPr>
          <w:trHeight w:val="210"/>
        </w:trPr>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4,139,486</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23,366,247</w:t>
            </w:r>
          </w:p>
        </w:tc>
      </w:tr>
      <w:tr>
        <w:trPr>
          <w:trHeight w:val="685"/>
        </w:trPr>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2,217,276</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1,816,045</w:t>
            </w:r>
          </w:p>
        </w:tc>
      </w:tr>
      <w:tr>
        <w:trPr>
          <w:trHeight w:val="203"/>
        </w:trPr>
        <w:tc>
          <w:tcPr>
            <w:tcW w:w="260" w:type="dxa"/>
            <w:vAlign w:val="bottom"/>
          </w:tcPr>
          <w:p>
            <w:pPr>
              <w:spacing w:after="0"/>
              <w:rPr>
                <w:sz w:val="17"/>
                <w:szCs w:val="17"/>
                <w:color w:val="auto"/>
              </w:rPr>
            </w:pP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2,030,374</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2,159,209</w:t>
            </w:r>
          </w:p>
        </w:tc>
      </w:tr>
      <w:tr>
        <w:trPr>
          <w:trHeight w:val="203"/>
        </w:trPr>
        <w:tc>
          <w:tcPr>
            <w:tcW w:w="260" w:type="dxa"/>
            <w:vAlign w:val="bottom"/>
          </w:tcPr>
          <w:p>
            <w:pPr>
              <w:spacing w:after="0"/>
              <w:rPr>
                <w:sz w:val="17"/>
                <w:szCs w:val="17"/>
                <w:color w:val="auto"/>
              </w:rPr>
            </w:pP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135,730</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114,866</w:t>
            </w:r>
          </w:p>
        </w:tc>
      </w:tr>
      <w:tr>
        <w:trPr>
          <w:trHeight w:val="203"/>
        </w:trPr>
        <w:tc>
          <w:tcPr>
            <w:tcW w:w="260" w:type="dxa"/>
            <w:vAlign w:val="bottom"/>
          </w:tcPr>
          <w:p>
            <w:pPr>
              <w:spacing w:after="0"/>
              <w:rPr>
                <w:sz w:val="17"/>
                <w:szCs w:val="17"/>
                <w:color w:val="auto"/>
              </w:rPr>
            </w:pP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4,600,000</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5,482,353</w:t>
            </w:r>
          </w:p>
        </w:tc>
      </w:tr>
    </w:tbl>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107,783</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8,983,380</w:t>
      </w:r>
      <w:r>
        <w:rPr>
          <w:rFonts w:ascii="Arial" w:cs="Arial" w:eastAsia="Arial" w:hAnsi="Arial"/>
          <w:sz w:val="16"/>
          <w:szCs w:val="16"/>
          <w:color w:val="auto"/>
        </w:rPr>
        <w:t>9,680,256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189547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ind w:left="320"/>
        <w:spacing w:after="0" w:line="234" w:lineRule="auto"/>
        <w:tabs>
          <w:tab w:leader="none" w:pos="2080" w:val="left"/>
        </w:tabs>
        <w:rPr>
          <w:sz w:val="20"/>
          <w:szCs w:val="20"/>
          <w:color w:val="auto"/>
        </w:rPr>
      </w:pPr>
      <w:r>
        <w:rPr>
          <w:rFonts w:ascii="Arial" w:cs="Arial" w:eastAsia="Arial" w:hAnsi="Arial"/>
          <w:sz w:val="18"/>
          <w:szCs w:val="18"/>
          <w:color w:val="auto"/>
        </w:rPr>
        <w:t>30,000,000</w:t>
      </w:r>
      <w:r>
        <w:rPr>
          <w:sz w:val="20"/>
          <w:szCs w:val="20"/>
          <w:color w:val="auto"/>
        </w:rPr>
        <w:tab/>
      </w:r>
      <w:r>
        <w:rPr>
          <w:rFonts w:ascii="Arial" w:cs="Arial" w:eastAsia="Arial" w:hAnsi="Arial"/>
          <w:sz w:val="18"/>
          <w:szCs w:val="18"/>
          <w:color w:val="auto"/>
        </w:rPr>
        <w:t>33,989,320</w:t>
      </w:r>
    </w:p>
    <w:p>
      <w:pPr>
        <w:ind w:left="560"/>
        <w:spacing w:after="0" w:line="235" w:lineRule="auto"/>
        <w:tabs>
          <w:tab w:leader="none" w:pos="2320" w:val="left"/>
        </w:tabs>
        <w:rPr>
          <w:sz w:val="20"/>
          <w:szCs w:val="20"/>
          <w:color w:val="auto"/>
        </w:rPr>
      </w:pPr>
      <w:r>
        <w:rPr>
          <w:rFonts w:ascii="Arial" w:cs="Arial" w:eastAsia="Arial" w:hAnsi="Arial"/>
          <w:sz w:val="18"/>
          <w:szCs w:val="18"/>
          <w:color w:val="auto"/>
        </w:rPr>
        <w:t>198,565</w:t>
      </w:r>
      <w:r>
        <w:rPr>
          <w:sz w:val="20"/>
          <w:szCs w:val="20"/>
          <w:color w:val="auto"/>
        </w:rPr>
        <w:tab/>
      </w:r>
      <w:r>
        <w:rPr>
          <w:rFonts w:ascii="Arial" w:cs="Arial" w:eastAsia="Arial" w:hAnsi="Arial"/>
          <w:sz w:val="18"/>
          <w:szCs w:val="18"/>
          <w:color w:val="auto"/>
        </w:rPr>
        <w:t>301,364</w:t>
      </w:r>
    </w:p>
    <w:p>
      <w:pPr>
        <w:ind w:left="320"/>
        <w:spacing w:after="0" w:line="235" w:lineRule="auto"/>
        <w:tabs>
          <w:tab w:leader="none" w:pos="2080" w:val="left"/>
        </w:tabs>
        <w:rPr>
          <w:sz w:val="20"/>
          <w:szCs w:val="20"/>
          <w:color w:val="auto"/>
        </w:rPr>
      </w:pPr>
      <w:r>
        <w:rPr>
          <w:rFonts w:ascii="Arial" w:cs="Arial" w:eastAsia="Arial" w:hAnsi="Arial"/>
          <w:sz w:val="18"/>
          <w:szCs w:val="18"/>
          <w:color w:val="auto"/>
        </w:rPr>
        <w:t>13,800,000</w:t>
      </w:r>
      <w:r>
        <w:rPr>
          <w:sz w:val="20"/>
          <w:szCs w:val="20"/>
          <w:color w:val="auto"/>
        </w:rPr>
        <w:tab/>
      </w:r>
      <w:r>
        <w:rPr>
          <w:rFonts w:ascii="Arial" w:cs="Arial" w:eastAsia="Arial" w:hAnsi="Arial"/>
          <w:sz w:val="18"/>
          <w:szCs w:val="18"/>
          <w:color w:val="auto"/>
        </w:rPr>
        <w:t>17,250,000</w:t>
      </w:r>
    </w:p>
    <w:p>
      <w:pPr>
        <w:spacing w:after="0" w:line="1" w:lineRule="exact"/>
        <w:rPr>
          <w:sz w:val="20"/>
          <w:szCs w:val="20"/>
          <w:color w:val="auto"/>
        </w:rPr>
      </w:pPr>
    </w:p>
    <w:p>
      <w:pPr>
        <w:ind w:left="560"/>
        <w:spacing w:after="0"/>
        <w:tabs>
          <w:tab w:leader="none" w:pos="2320" w:val="left"/>
        </w:tabs>
        <w:rPr>
          <w:sz w:val="20"/>
          <w:szCs w:val="20"/>
          <w:color w:val="auto"/>
        </w:rPr>
      </w:pPr>
      <w:r>
        <w:rPr>
          <w:rFonts w:ascii="Arial" w:cs="Arial" w:eastAsia="Arial" w:hAnsi="Arial"/>
          <w:sz w:val="18"/>
          <w:szCs w:val="18"/>
          <w:color w:val="auto"/>
        </w:rPr>
        <w:t>314,400</w:t>
      </w:r>
      <w:r>
        <w:rPr>
          <w:sz w:val="20"/>
          <w:szCs w:val="20"/>
          <w:color w:val="auto"/>
        </w:rPr>
        <w:tab/>
      </w:r>
      <w:r>
        <w:rPr>
          <w:rFonts w:ascii="Arial" w:cs="Arial" w:eastAsia="Arial" w:hAnsi="Arial"/>
          <w:sz w:val="18"/>
          <w:szCs w:val="18"/>
          <w:color w:val="auto"/>
        </w:rPr>
        <w:t>255,067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189547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2080" w:val="left"/>
        </w:tabs>
        <w:rPr>
          <w:sz w:val="20"/>
          <w:szCs w:val="20"/>
          <w:color w:val="auto"/>
        </w:rPr>
      </w:pPr>
      <w:r>
        <w:rPr>
          <w:rFonts w:ascii="Arial" w:cs="Arial" w:eastAsia="Arial" w:hAnsi="Arial"/>
          <w:sz w:val="18"/>
          <w:szCs w:val="18"/>
          <w:color w:val="auto"/>
        </w:rPr>
        <w:t>53,296,345</w:t>
      </w:r>
      <w:r>
        <w:rPr>
          <w:sz w:val="20"/>
          <w:szCs w:val="20"/>
          <w:color w:val="auto"/>
        </w:rPr>
        <w:tab/>
      </w:r>
      <w:r>
        <w:rPr>
          <w:rFonts w:ascii="Arial" w:cs="Arial" w:eastAsia="Arial" w:hAnsi="Arial"/>
          <w:sz w:val="18"/>
          <w:szCs w:val="18"/>
          <w:color w:val="auto"/>
        </w:rPr>
        <w:t>61,476,007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0" w:type="dxa"/>
            <w:vAlign w:val="bottom"/>
          </w:tcPr>
          <w:p>
            <w:pPr>
              <w:spacing w:after="0"/>
              <w:rPr>
                <w:sz w:val="18"/>
                <w:szCs w:val="18"/>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74,259,411</w:t>
            </w:r>
          </w:p>
        </w:tc>
        <w:tc>
          <w:tcPr>
            <w:tcW w:w="1440" w:type="dxa"/>
            <w:vAlign w:val="bottom"/>
          </w:tcPr>
          <w:p>
            <w:pPr>
              <w:jc w:val="right"/>
              <w:spacing w:after="0"/>
              <w:rPr>
                <w:sz w:val="20"/>
                <w:szCs w:val="20"/>
                <w:color w:val="auto"/>
              </w:rPr>
            </w:pPr>
            <w:r>
              <w:rPr>
                <w:rFonts w:ascii="Arial" w:cs="Arial" w:eastAsia="Arial" w:hAnsi="Arial"/>
                <w:sz w:val="18"/>
                <w:szCs w:val="18"/>
                <w:color w:val="auto"/>
              </w:rPr>
              <w:t>74,259,411</w:t>
            </w:r>
          </w:p>
        </w:tc>
        <w:tc>
          <w:tcPr>
            <w:tcW w:w="60" w:type="dxa"/>
            <w:vAlign w:val="bottom"/>
          </w:tcPr>
          <w:p>
            <w:pPr>
              <w:spacing w:after="0"/>
              <w:rPr>
                <w:sz w:val="18"/>
                <w:szCs w:val="18"/>
                <w:color w:val="auto"/>
              </w:rPr>
            </w:pPr>
          </w:p>
        </w:tc>
      </w:tr>
      <w:tr>
        <w:trPr>
          <w:trHeight w:val="667"/>
        </w:trPr>
        <w:tc>
          <w:tcPr>
            <w:tcW w:w="120" w:type="dxa"/>
            <w:vAlign w:val="bottom"/>
          </w:tcPr>
          <w:p>
            <w:pPr>
              <w:spacing w:after="0"/>
              <w:rPr>
                <w:sz w:val="24"/>
                <w:szCs w:val="24"/>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19,018</w:t>
            </w:r>
          </w:p>
        </w:tc>
        <w:tc>
          <w:tcPr>
            <w:tcW w:w="1440" w:type="dxa"/>
            <w:vAlign w:val="bottom"/>
          </w:tcPr>
          <w:p>
            <w:pPr>
              <w:jc w:val="right"/>
              <w:spacing w:after="0"/>
              <w:rPr>
                <w:sz w:val="20"/>
                <w:szCs w:val="20"/>
                <w:color w:val="auto"/>
              </w:rPr>
            </w:pPr>
            <w:r>
              <w:rPr>
                <w:rFonts w:ascii="Arial" w:cs="Arial" w:eastAsia="Arial" w:hAnsi="Arial"/>
                <w:sz w:val="18"/>
                <w:szCs w:val="18"/>
                <w:color w:val="auto"/>
              </w:rPr>
              <w:t>19,084</w:t>
            </w:r>
          </w:p>
        </w:tc>
        <w:tc>
          <w:tcPr>
            <w:tcW w:w="6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14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5,450,595</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5,088,905</w:t>
            </w:r>
          </w:p>
        </w:tc>
        <w:tc>
          <w:tcPr>
            <w:tcW w:w="60" w:type="dxa"/>
            <w:vAlign w:val="bottom"/>
          </w:tcPr>
          <w:p>
            <w:pPr>
              <w:spacing w:after="0"/>
              <w:rPr>
                <w:sz w:val="17"/>
                <w:szCs w:val="17"/>
                <w:color w:val="auto"/>
              </w:rPr>
            </w:pPr>
          </w:p>
        </w:tc>
      </w:tr>
      <w:tr>
        <w:trPr>
          <w:trHeight w:val="199"/>
        </w:trPr>
        <w:tc>
          <w:tcPr>
            <w:tcW w:w="120" w:type="dxa"/>
            <w:vAlign w:val="bottom"/>
          </w:tcPr>
          <w:p>
            <w:pPr>
              <w:spacing w:after="0"/>
              <w:rPr>
                <w:sz w:val="17"/>
                <w:szCs w:val="17"/>
                <w:color w:val="auto"/>
              </w:rPr>
            </w:pPr>
          </w:p>
        </w:tc>
        <w:tc>
          <w:tcPr>
            <w:tcW w:w="1420" w:type="dxa"/>
            <w:vAlign w:val="bottom"/>
          </w:tcPr>
          <w:p>
            <w:pPr>
              <w:jc w:val="right"/>
              <w:ind w:right="192"/>
              <w:spacing w:after="0" w:line="200" w:lineRule="exact"/>
              <w:rPr>
                <w:sz w:val="20"/>
                <w:szCs w:val="20"/>
                <w:color w:val="auto"/>
              </w:rPr>
            </w:pPr>
            <w:r>
              <w:rPr>
                <w:rFonts w:ascii="Arial" w:cs="Arial" w:eastAsia="Arial" w:hAnsi="Arial"/>
                <w:sz w:val="18"/>
                <w:szCs w:val="18"/>
                <w:color w:val="auto"/>
                <w:w w:val="99"/>
              </w:rPr>
              <w:t>(128,885,883)</w:t>
            </w:r>
          </w:p>
        </w:tc>
        <w:tc>
          <w:tcPr>
            <w:tcW w:w="15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(117,477,160)</w:t>
            </w:r>
          </w:p>
        </w:tc>
      </w:tr>
      <w:tr>
        <w:trPr>
          <w:trHeight w:val="20"/>
        </w:trPr>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420" w:type="dxa"/>
            <w:vAlign w:val="bottom"/>
          </w:tcPr>
          <w:p>
            <w:pPr>
              <w:jc w:val="right"/>
              <w:ind w:right="192"/>
              <w:spacing w:after="0"/>
              <w:rPr>
                <w:sz w:val="20"/>
                <w:szCs w:val="20"/>
                <w:color w:val="auto"/>
              </w:rPr>
            </w:pPr>
            <w:r>
              <w:rPr>
                <w:rFonts w:ascii="Arial" w:cs="Arial" w:eastAsia="Arial" w:hAnsi="Arial"/>
                <w:sz w:val="18"/>
                <w:szCs w:val="18"/>
                <w:color w:val="auto"/>
                <w:w w:val="99"/>
              </w:rPr>
              <w:t>(123,416,270)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(112,369,171)</w:t>
            </w:r>
          </w:p>
        </w:tc>
      </w:tr>
      <w:tr>
        <w:trPr>
          <w:trHeight w:val="221"/>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4,139,486</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23,366,247</w:t>
            </w:r>
          </w:p>
        </w:tc>
        <w:tc>
          <w:tcPr>
            <w:tcW w:w="60" w:type="dxa"/>
            <w:vAlign w:val="bottom"/>
          </w:tcPr>
          <w:p>
            <w:pPr>
              <w:spacing w:after="0"/>
              <w:rPr>
                <w:sz w:val="19"/>
                <w:szCs w:val="19"/>
                <w:color w:val="auto"/>
              </w:rPr>
            </w:pPr>
          </w:p>
        </w:tc>
      </w:tr>
    </w:tbl>
    <w:p>
      <w:pPr>
        <w:spacing w:after="0" w:line="109" w:lineRule="exact"/>
        <w:rPr>
          <w:sz w:val="20"/>
          <w:szCs w:val="20"/>
          <w:color w:val="auto"/>
        </w:rPr>
      </w:pPr>
    </w:p>
    <w:p>
      <w:pPr>
        <w:sectPr>
          <w:pgSz w:w="11900" w:h="16838" w:orient="portrait"/>
          <w:cols w:equalWidth="0" w:num="2">
            <w:col w:w="7420" w:space="720"/>
            <w:col w:w="310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F-95</w:t>
      </w:r>
    </w:p>
    <w:p>
      <w:pPr>
        <w:sectPr>
          <w:pgSz w:w="11900" w:h="16838" w:orient="portrait"/>
          <w:cols w:equalWidth="0" w:num="1">
            <w:col w:w="11240"/>
          </w:cols>
          <w:pgMar w:left="240" w:top="459" w:right="419" w:bottom="1440" w:gutter="0" w:footer="0" w:header="0"/>
          <w:type w:val="continuous"/>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right="1460"/>
        <w:spacing w:after="0" w:line="260" w:lineRule="auto"/>
        <w:rPr>
          <w:sz w:val="20"/>
          <w:szCs w:val="20"/>
          <w:color w:val="auto"/>
        </w:rPr>
      </w:pPr>
      <w:r>
        <w:rPr>
          <w:rFonts w:ascii="Arial" w:cs="Arial" w:eastAsia="Arial" w:hAnsi="Arial"/>
          <w:sz w:val="32"/>
          <w:szCs w:val="32"/>
          <w:b w:val="1"/>
          <w:bCs w:val="1"/>
          <w:color w:val="auto"/>
        </w:rPr>
        <w:t>Condensed statements of operations and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05"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-4445</wp:posOffset>
            </wp:positionV>
            <wp:extent cx="174117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57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Collaboration revenue, related party</w:t>
            </w:r>
          </w:p>
        </w:tc>
        <w:tc>
          <w:tcPr>
            <w:tcW w:w="2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882,353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4,402,077</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Collaboration revenue</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3,450,000</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Grant revenue</w:t>
            </w:r>
          </w:p>
        </w:tc>
        <w:tc>
          <w:tcPr>
            <w:tcW w:w="2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463,931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982,353</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revenue</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4,796,284</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5,384,430</w:t>
            </w:r>
          </w:p>
        </w:tc>
        <w:tc>
          <w:tcPr>
            <w:tcW w:w="140" w:type="dxa"/>
            <w:vAlign w:val="bottom"/>
            <w:shd w:val="clear" w:color="auto" w:fill="CCEEFF"/>
          </w:tcPr>
          <w:p>
            <w:pPr>
              <w:spacing w:after="0"/>
              <w:rPr>
                <w:sz w:val="17"/>
                <w:szCs w:val="17"/>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14,936,903</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18,145,152</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5,335,931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5,539,682</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operating expenses</w:t>
            </w:r>
          </w:p>
        </w:tc>
        <w:tc>
          <w:tcPr>
            <w:tcW w:w="24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20,272,834</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23,684,834</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Loss from operations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(15,476,550)</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(18,300,404)</w:t>
            </w: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restructuring of debt, related party</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5,053,805</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Interest and income</w:t>
            </w:r>
          </w:p>
        </w:tc>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101,527</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16,697</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(1,087,505)</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(2,112,225)</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Net loss and comprehensive loss</w:t>
            </w:r>
          </w:p>
        </w:tc>
        <w:tc>
          <w:tcPr>
            <w:tcW w:w="2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(11,408,723)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(20,395,932)</w:t>
            </w: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240"/>
          </w:cols>
          <w:pgMar w:left="240" w:top="459" w:right="41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Condensed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-4445</wp:posOffset>
            </wp:positionV>
            <wp:extent cx="174117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8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(11,408,723)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(20,395,932)</w:t>
            </w:r>
          </w:p>
        </w:tc>
        <w:tc>
          <w:tcPr>
            <w:tcW w:w="0" w:type="dxa"/>
            <w:vAlign w:val="bottom"/>
          </w:tcPr>
          <w:p>
            <w:pPr>
              <w:spacing w:after="0"/>
              <w:rPr>
                <w:sz w:val="1"/>
                <w:szCs w:val="1"/>
                <w:color w:val="auto"/>
              </w:rPr>
            </w:pPr>
          </w:p>
        </w:tc>
      </w:tr>
      <w:tr>
        <w:trPr>
          <w:trHeight w:val="56"/>
        </w:trPr>
        <w:tc>
          <w:tcPr>
            <w:tcW w:w="6900" w:type="dxa"/>
            <w:vAlign w:val="bottom"/>
            <w:gridSpan w:val="2"/>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 expense</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1,064,484</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2,112,225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362,284</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508,649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200"/>
              <w:spacing w:after="0" w:line="202" w:lineRule="exact"/>
              <w:rPr>
                <w:sz w:val="20"/>
                <w:szCs w:val="20"/>
                <w:color w:val="auto"/>
              </w:rPr>
            </w:pPr>
            <w:r>
              <w:rPr>
                <w:rFonts w:ascii="Arial" w:cs="Arial" w:eastAsia="Arial" w:hAnsi="Arial"/>
                <w:sz w:val="18"/>
                <w:szCs w:val="18"/>
                <w:color w:val="auto"/>
              </w:rPr>
              <w:t>Gain on restructuring of debt, related party</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(5,053,805)</w:t>
            </w:r>
          </w:p>
        </w:tc>
        <w:tc>
          <w:tcPr>
            <w:tcW w:w="3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sale of fixed assets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(2,476)</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1,442,952</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1,869,436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(40,725)</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101,221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424,867</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1,004,348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420"/>
              <w:spacing w:after="0" w:line="202" w:lineRule="exact"/>
              <w:rPr>
                <w:sz w:val="20"/>
                <w:szCs w:val="20"/>
                <w:color w:val="auto"/>
              </w:rPr>
            </w:pPr>
            <w:r>
              <w:rPr>
                <w:rFonts w:ascii="Arial" w:cs="Arial" w:eastAsia="Arial" w:hAnsi="Arial"/>
                <w:sz w:val="18"/>
                <w:szCs w:val="18"/>
                <w:color w:val="auto"/>
              </w:rPr>
              <w:t>Accrued expenses</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(128,834)</w:t>
            </w:r>
          </w:p>
        </w:tc>
        <w:tc>
          <w:tcPr>
            <w:tcW w:w="3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(173,096)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revenue</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(4,332,353)</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6,597,923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420"/>
              <w:spacing w:after="0" w:line="202" w:lineRule="exact"/>
              <w:rPr>
                <w:sz w:val="20"/>
                <w:szCs w:val="20"/>
                <w:color w:val="auto"/>
              </w:rPr>
            </w:pPr>
            <w:r>
              <w:rPr>
                <w:rFonts w:ascii="Arial" w:cs="Arial" w:eastAsia="Arial" w:hAnsi="Arial"/>
                <w:sz w:val="18"/>
                <w:szCs w:val="18"/>
                <w:color w:val="auto"/>
              </w:rPr>
              <w:t>Deferred rent</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(48,450)</w:t>
            </w:r>
          </w:p>
        </w:tc>
        <w:tc>
          <w:tcPr>
            <w:tcW w:w="3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(487,600)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used in operating activities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(17,720,779)</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(8,862,826)</w:t>
            </w:r>
          </w:p>
        </w:tc>
        <w:tc>
          <w:tcPr>
            <w:tcW w:w="0" w:type="dxa"/>
            <w:vAlign w:val="bottom"/>
          </w:tcPr>
          <w:p>
            <w:pPr>
              <w:spacing w:after="0"/>
              <w:rPr>
                <w:sz w:val="1"/>
                <w:szCs w:val="1"/>
                <w:color w:val="auto"/>
              </w:rPr>
            </w:pPr>
          </w:p>
        </w:tc>
      </w:tr>
      <w:tr>
        <w:trPr>
          <w:trHeight w:val="277"/>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(226,174)</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(901,509)</w:t>
            </w: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line="202" w:lineRule="exact"/>
              <w:rPr>
                <w:sz w:val="20"/>
                <w:szCs w:val="20"/>
                <w:color w:val="auto"/>
              </w:rPr>
            </w:pPr>
            <w:r>
              <w:rPr>
                <w:rFonts w:ascii="Arial" w:cs="Arial" w:eastAsia="Arial" w:hAnsi="Arial"/>
                <w:sz w:val="18"/>
                <w:szCs w:val="18"/>
                <w:color w:val="auto"/>
              </w:rPr>
              <w:t>Change in restricted cash</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(240)</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106,707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1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2,476</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(223,938)</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(794,802)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issuance of restricted stock</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3,100</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 of unvested restricted stock</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(3,760)</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notes payable, related party</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8,999,731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Repayments of capital lease</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(81,935)</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(82,595)</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9,000,726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(18,027,312)</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(656,902)</w:t>
            </w:r>
          </w:p>
        </w:tc>
        <w:tc>
          <w:tcPr>
            <w:tcW w:w="0" w:type="dxa"/>
            <w:vAlign w:val="bottom"/>
          </w:tcPr>
          <w:p>
            <w:pPr>
              <w:spacing w:after="0"/>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1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1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18,616,527</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2,173,765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589,215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1,516,863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activities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Equipment purchases included in accounts payable</w:t>
            </w: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240"/>
          </w:cols>
          <w:pgMar w:left="240" w:top="459" w:right="41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Notes to the unaudited condensed financial statements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 Organization and basis of presentation</w:t>
      </w:r>
    </w:p>
    <w:p>
      <w:pPr>
        <w:spacing w:after="0" w:line="134"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Warp Drive Bio, Inc. (the “Company”) operates on the core principle that nature is the most powerful inventor of new drugs, unconstrained by the boundaries of modern science.</w:t>
      </w:r>
    </w:p>
    <w:p>
      <w:pPr>
        <w:spacing w:after="0" w:line="101" w:lineRule="exact"/>
        <w:rPr>
          <w:sz w:val="20"/>
          <w:szCs w:val="20"/>
          <w:color w:val="auto"/>
        </w:rPr>
      </w:pPr>
    </w:p>
    <w:p>
      <w:pPr>
        <w:ind w:left="200" w:right="180"/>
        <w:spacing w:after="0" w:line="273" w:lineRule="auto"/>
        <w:rPr>
          <w:sz w:val="20"/>
          <w:szCs w:val="20"/>
          <w:color w:val="auto"/>
        </w:rPr>
      </w:pPr>
      <w:r>
        <w:rPr>
          <w:rFonts w:ascii="Arial" w:cs="Arial" w:eastAsia="Arial" w:hAnsi="Arial"/>
          <w:sz w:val="16"/>
          <w:szCs w:val="16"/>
          <w:color w:val="auto"/>
        </w:rPr>
        <w:t>The Company is deploying innovative Small Molecule-Assisted Receptor Targeting (SMART</w:t>
      </w:r>
      <w:r>
        <w:rPr>
          <w:rFonts w:ascii="Arial" w:cs="Arial" w:eastAsia="Arial" w:hAnsi="Arial"/>
          <w:sz w:val="10"/>
          <w:szCs w:val="10"/>
          <w:color w:val="auto"/>
        </w:rPr>
        <w:t>™</w:t>
      </w:r>
      <w:r>
        <w:rPr>
          <w:rFonts w:ascii="Arial" w:cs="Arial" w:eastAsia="Arial" w:hAnsi="Arial"/>
          <w:sz w:val="16"/>
          <w:szCs w:val="16"/>
          <w:color w:val="auto"/>
        </w:rPr>
        <w:t>) and Genomic Mining / antibiotic platforms to discover new medicines that have the potential to make a significant difference in the lives of patients. The Company was launched in 2011 through a partnership with Sanofi and with financing from Third Rock Ventures and Greylock Partners. As described in Note 13, on October 24, 2018, the Company and Revolution Medicines, Inc. (“Revolution”) completed a sale pursuant to an Agreement and Plan of Merger in which Revolution acquired all the Series A convertible preferred stock and the common stock of the Company.</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24"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The accompanying unaudited interim financial statements of Warp Drive Bio, Inc. (the “Company”) should be read in conjunction with the Company’s audited financial statements as of and for the year ended December 31, 2017. The accompanying financial statements have been prepared in accordance with accounting principles generally accepted in the United States of America (“GAAP”) for interim financial information. Accordingly, since they are interim statements, the accompanying financial statements do not include all of the information and notes required by GAAP for a complete financial statement presentation. In the opinion of management, the interim financial statements reflect all adjustments consisting of normal, recurring adjustments that are necessary for a fair statement of the financial position, results of operations and cash flows for the condensed interim periods presented. Interim results are not necessarily indicative of results for a full year.</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Company’s financial statements have been prepared on the basis of continuity of operations, realization of assets and the satisfaction of liabilities and commitments in the ordinary course of business. The Company has primarily funded its operations with proceeds from the sales of preferred stock, convertible notes and payments received from collaboration arrangements.</w:t>
      </w:r>
    </w:p>
    <w:p>
      <w:pPr>
        <w:spacing w:after="0" w:line="100" w:lineRule="exact"/>
        <w:rPr>
          <w:sz w:val="20"/>
          <w:szCs w:val="20"/>
          <w:color w:val="auto"/>
        </w:rPr>
      </w:pPr>
    </w:p>
    <w:p>
      <w:pPr>
        <w:ind w:left="200" w:right="80"/>
        <w:spacing w:after="0" w:line="273" w:lineRule="auto"/>
        <w:rPr>
          <w:sz w:val="20"/>
          <w:szCs w:val="20"/>
          <w:color w:val="auto"/>
        </w:rPr>
      </w:pPr>
      <w:r>
        <w:rPr>
          <w:rFonts w:ascii="Arial" w:cs="Arial" w:eastAsia="Arial" w:hAnsi="Arial"/>
          <w:sz w:val="16"/>
          <w:szCs w:val="16"/>
          <w:color w:val="auto"/>
        </w:rPr>
        <w:t>The Company has incurred losses since its inception, including net losses of approximately $11.4 million and $18.2 million for the nine months ended September 30, 2018 and year ended December 31, 2017, respectively. As of September 30, 2018, the Company had an accumulated deficit of approximately $128.9 million. The Company expects that its operating losses and negative cash flows will continue for the foreseeable future. On October 3, 2018, the Company received $2 million in cash proceeds from an existing investor in exchange for a convertible promissory note purchase agreement with a maturity date of April 8, 2019 and an 8% annual interest rate. (See Note 13).</w:t>
      </w:r>
    </w:p>
    <w:p>
      <w:pPr>
        <w:spacing w:after="0" w:line="75"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future viability of the Company is dependent on its ability to draw down additional capital from its parent company to finance its operations. There is no assurance that the Company will be successful in obtaining such financing from its parent. If adequate funds are not available to the Company, the Company may be required to delay, reduce or eliminate research and development programs, reduce operational costs, or obtain funds through arrangements with collaborators on terms unfavorable to the Company. The circumstances described above raise substantial doubt about the Company’s ability to continue as a going concern as of the date the financial statements are issued. The financial statements do not include any adjustments that might result from the outcome of this uncertainty.</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180"/>
          </w:cols>
          <w:pgMar w:left="240" w:top="459" w:right="47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 Significant accounting policies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24" w:lineRule="exact"/>
        <w:rPr>
          <w:sz w:val="20"/>
          <w:szCs w:val="20"/>
          <w:color w:val="auto"/>
        </w:rPr>
      </w:pPr>
    </w:p>
    <w:p>
      <w:pPr>
        <w:ind w:left="200" w:right="520"/>
        <w:spacing w:after="0" w:line="239"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Company’s audited financial statements for the year ended December 31, 2017.</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March 2016, the FASB issued ASU No. 2016-09, Improvements to Employee Share-Based Payment Accounting, or ASU No. 2016-09, which simplifies several aspects of the accounting for share-based payment transactions, including the income tax consequences, classification of awards as either equity or liabilities and classification of cash flows. In 2018, the Company adopted ASU 2016-09 and elected to account prospectively for forfeitures as they occur rather than apply an estimated forfeiture rate to stock-based compensation expense. The adoption of ASU 2016-09 had no impact on the Company’s financial position, results of operations or cash flows.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Newly issued accounting pronouncements</w:t>
      </w:r>
    </w:p>
    <w:p>
      <w:pPr>
        <w:spacing w:after="0" w:line="124"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In May 2014, the Financial Accounting Standards Board, or FASB, issued Accounting Standard Update, or ASU No. 2014-9, Revenue from Contracts with Customers,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private companies for annual reporting periods beginning after December 15, 2018 and should be applied retrospectively to each prior reporting period presented or retrospectively with the cumulative effect of initially applying this update recognized at the date of initial application. The Company is currently evaluating the impact of the adoption of this standard on its financial statements.</w:t>
      </w:r>
    </w:p>
    <w:p>
      <w:pPr>
        <w:spacing w:after="0" w:line="107"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In February 2016, the FASB issued ASU 2016-02, Leases. This standard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is effective for private companies for annual reporting periods beginning after December 15, 2019. The Company is currently evaluating the impact of the adoption of this standard on its financial statements.</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220"/>
          </w:cols>
          <w:pgMar w:left="24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In November 2016, FASB issued ASU No. 2016-18, Statement of Cash Flows, Restricted Cash, or ASU No. 2016-18, which provides guidance on the presentation of restricted cash and restricted cash equivalents in the statement of cash flows. Under ASU No. 2016-18, the statement of cash flows shall explain the change during the period in the total of cash, cash equivalents, and amounts generally described as restricted cash or restricted cash equivalents. Amounts generally described as restricted cash and cash equivalents should now be included with cash and cash equivalents when reconciling the beginning-of-period and end-of-period amounts shown on the statements of cash flows. This ASU is effective for private companies for reporting periods beginning after December 15, 2018, with early adoption permitted. Other than the revised statement of cash flows presentation, the adoption of ASU No. 2016-18 will not have an impact on the Company’s financial statements.</w:t>
      </w:r>
    </w:p>
    <w:p>
      <w:pPr>
        <w:spacing w:after="0" w:line="10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In August 2018, the FASB issued ASU 2018-13, Fair Value Measurement (Topic 820)—Disclosure Framework—Changes to the Disclosure Requirements for Fair Value Measurement. ASU 2018-13 removes the disclosure requirement for the amount and reasons for transfers between Level 1 and Level 2 fair value measurements as well as the process for Level 3 fair value measurements. In addition, the ASU adds the disclosure requirements for changes in unrealized gains and losses included in Other comprehensive income (loss) for recurring Level 3 fair value measurements held at the end of the reporting period as well as the range and weighted average of significant unobservable inputs used to develop Level 3 fair value measurements. The ASU is effective for fiscal years beginning after December 15, 2019, and interim periods within those fiscal years and will be applied on a retrospective basis to all periods presented. Early adoption is permitted. The Company is currently evaluating the impact this standard will have on its financial statements and related disclosures.</w:t>
      </w:r>
    </w:p>
    <w:p>
      <w:pPr>
        <w:spacing w:after="0" w:line="100"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In November 2018, the FASB issued ASU 2018-18, Collaboration Arrangements (Topic 808): Clarifying the Interaction between Topic 808 and Topic 606 to clarify the interaction between the accounting guidance for collaborative arrangements and revenue from contracts with customers. The amendments become effective for the Company’s fiscal year, including interim periods, beginning January 1, 2021. Early adoption, including adoption in any interim period, is permitted. This guidance is required to be applied retrospectively as of the date of the Company’s adoption of the new revenue standard on January 1, 2019. The Company is currently evaluating the timing of the Company’s adoption and the expected impact this guidance could have on its financial statements and related disclosures.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3. Property and equipment</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3"/>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20" w:type="dxa"/>
            <w:vAlign w:val="bottom"/>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b w:val="1"/>
                <w:bCs w:val="1"/>
                <w:color w:val="auto"/>
                <w:w w:val="97"/>
              </w:rPr>
              <w:t>Useful life</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3720" w:type="dxa"/>
            <w:vAlign w:val="bottom"/>
            <w:shd w:val="clear" w:color="auto" w:fill="CCEEFF"/>
          </w:tcPr>
          <w:p>
            <w:pPr>
              <w:jc w:val="center"/>
              <w:ind w:left="512"/>
              <w:spacing w:after="0" w:line="196" w:lineRule="exact"/>
              <w:rPr>
                <w:sz w:val="20"/>
                <w:szCs w:val="20"/>
                <w:color w:val="auto"/>
              </w:rPr>
            </w:pPr>
            <w:r>
              <w:rPr>
                <w:rFonts w:ascii="Arial" w:cs="Arial" w:eastAsia="Arial" w:hAnsi="Arial"/>
                <w:sz w:val="18"/>
                <w:szCs w:val="18"/>
                <w:color w:val="auto"/>
                <w:w w:val="94"/>
              </w:rPr>
              <w:t>5 years</w:t>
            </w:r>
          </w:p>
        </w:tc>
        <w:tc>
          <w:tcPr>
            <w:tcW w:w="460" w:type="dxa"/>
            <w:vAlign w:val="bottom"/>
            <w:gridSpan w:val="2"/>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9,131,787</w:t>
            </w:r>
          </w:p>
        </w:tc>
        <w:tc>
          <w:tcPr>
            <w:tcW w:w="2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8,971,721</w:t>
            </w:r>
          </w:p>
        </w:tc>
        <w:tc>
          <w:tcPr>
            <w:tcW w:w="120" w:type="dxa"/>
            <w:vAlign w:val="bottom"/>
            <w:shd w:val="clear" w:color="auto" w:fill="CCEEFF"/>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3720" w:type="dxa"/>
            <w:vAlign w:val="bottom"/>
          </w:tcPr>
          <w:p>
            <w:pPr>
              <w:jc w:val="center"/>
              <w:ind w:left="512"/>
              <w:spacing w:after="0" w:line="202" w:lineRule="exact"/>
              <w:rPr>
                <w:sz w:val="20"/>
                <w:szCs w:val="20"/>
                <w:color w:val="auto"/>
              </w:rPr>
            </w:pPr>
            <w:r>
              <w:rPr>
                <w:rFonts w:ascii="Arial" w:cs="Arial" w:eastAsia="Arial" w:hAnsi="Arial"/>
                <w:sz w:val="18"/>
                <w:szCs w:val="18"/>
                <w:color w:val="auto"/>
                <w:w w:val="94"/>
              </w:rPr>
              <w:t>3 years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762,334</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738,132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furniture</w:t>
            </w:r>
          </w:p>
        </w:tc>
        <w:tc>
          <w:tcPr>
            <w:tcW w:w="3720" w:type="dxa"/>
            <w:vAlign w:val="bottom"/>
            <w:shd w:val="clear" w:color="auto" w:fill="CCEEFF"/>
          </w:tcPr>
          <w:p>
            <w:pPr>
              <w:jc w:val="center"/>
              <w:ind w:left="512"/>
              <w:spacing w:after="0" w:line="202" w:lineRule="exact"/>
              <w:rPr>
                <w:sz w:val="20"/>
                <w:szCs w:val="20"/>
                <w:color w:val="auto"/>
              </w:rPr>
            </w:pPr>
            <w:r>
              <w:rPr>
                <w:rFonts w:ascii="Arial" w:cs="Arial" w:eastAsia="Arial" w:hAnsi="Arial"/>
                <w:sz w:val="18"/>
                <w:szCs w:val="18"/>
                <w:color w:val="auto"/>
                <w:w w:val="94"/>
              </w:rPr>
              <w:t>5 years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129,460</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129,460</w:t>
            </w:r>
          </w:p>
        </w:tc>
        <w:tc>
          <w:tcPr>
            <w:tcW w:w="120" w:type="dxa"/>
            <w:vAlign w:val="bottom"/>
            <w:shd w:val="clear" w:color="auto" w:fill="CCEEFF"/>
          </w:tcPr>
          <w:p>
            <w:pPr>
              <w:spacing w:after="0"/>
              <w:rPr>
                <w:sz w:val="17"/>
                <w:szCs w:val="17"/>
                <w:color w:val="auto"/>
              </w:rPr>
            </w:pPr>
          </w:p>
        </w:tc>
      </w:tr>
      <w:tr>
        <w:trPr>
          <w:trHeight w:val="210"/>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3720" w:type="dxa"/>
            <w:vAlign w:val="bottom"/>
          </w:tcPr>
          <w:p>
            <w:pPr>
              <w:jc w:val="center"/>
              <w:ind w:left="512"/>
              <w:spacing w:after="0" w:line="202" w:lineRule="exact"/>
              <w:rPr>
                <w:sz w:val="20"/>
                <w:szCs w:val="20"/>
                <w:color w:val="auto"/>
              </w:rPr>
            </w:pPr>
            <w:r>
              <w:rPr>
                <w:rFonts w:ascii="Arial" w:cs="Arial" w:eastAsia="Arial" w:hAnsi="Arial"/>
                <w:sz w:val="18"/>
                <w:szCs w:val="18"/>
                <w:color w:val="auto"/>
                <w:w w:val="98"/>
              </w:rPr>
              <w:t>Lesser of useful life or lease term</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4,827,801</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4,827,801</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property and equipment, at cost</w:t>
            </w:r>
          </w:p>
        </w:tc>
        <w:tc>
          <w:tcPr>
            <w:tcW w:w="3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14,851,382</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14,667,114</w:t>
            </w:r>
          </w:p>
        </w:tc>
        <w:tc>
          <w:tcPr>
            <w:tcW w:w="120" w:type="dxa"/>
            <w:vAlign w:val="bottom"/>
            <w:shd w:val="clear" w:color="auto" w:fill="CCEEFF"/>
          </w:tcPr>
          <w:p>
            <w:pPr>
              <w:spacing w:after="0"/>
              <w:rPr>
                <w:sz w:val="17"/>
                <w:szCs w:val="17"/>
                <w:color w:val="auto"/>
              </w:rPr>
            </w:pPr>
          </w:p>
        </w:tc>
      </w:tr>
      <w:tr>
        <w:trPr>
          <w:trHeight w:val="210"/>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(12,083,215)</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(10,658,533)</w:t>
            </w: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3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2,768,167</w:t>
            </w:r>
          </w:p>
        </w:tc>
        <w:tc>
          <w:tcPr>
            <w:tcW w:w="280" w:type="dxa"/>
            <w:vAlign w:val="bottom"/>
            <w:tcBorders>
              <w:top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4,008,581</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720" w:type="dxa"/>
            <w:vAlign w:val="bottom"/>
          </w:tcPr>
          <w:p>
            <w:pPr>
              <w:ind w:left="1040"/>
              <w:spacing w:after="0"/>
              <w:rPr>
                <w:sz w:val="20"/>
                <w:szCs w:val="20"/>
                <w:color w:val="auto"/>
              </w:rPr>
            </w:pPr>
            <w:r>
              <w:rPr>
                <w:rFonts w:ascii="Arial" w:cs="Arial" w:eastAsia="Arial" w:hAnsi="Arial"/>
                <w:sz w:val="18"/>
                <w:szCs w:val="18"/>
                <w:color w:val="auto"/>
              </w:rPr>
              <w:t>F-100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4. Collaborations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Roche collaboration</w:t>
      </w:r>
    </w:p>
    <w:p>
      <w:pPr>
        <w:spacing w:after="0" w:line="124"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In October 2017, the Company and F. Hoffman-La Roche Limited and Hoffman-La Roche Inc. (“Roche”) entered into a collaboration agreement (“Roche Collaboration Agreement”) utilizing the Company’s proprietary genome mining platform to discover and develop multiple novel classes of antibiotics.</w:t>
      </w:r>
    </w:p>
    <w:p>
      <w:pPr>
        <w:spacing w:after="0" w:line="100"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Under the Roche Collaboration Agreement, the Company is focused on antibiotics with activity against clinically important, drug-resistant, Gram-negative pathogens. The Company’s platform enables access to natural product drugs that have not been analyzed previously, due to historical technology limitations.</w:t>
      </w:r>
    </w:p>
    <w:p>
      <w:pPr>
        <w:spacing w:after="0" w:line="100"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Company is solely responsible for the conduct of research and development activities for each antibiotic program through selection of a drug development candidate. Roche may or may not exercise options for antibiotic programs at the drug development candidate stage. Roche has no obligations to develop or commercialize under the Roche Collaboration Agreement, until such time, if any, that Roche exercises an option for a drug development candidate.</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Roche paid the Company a $23 million nonrefundable, up-front fee in October 2017.</w:t>
      </w:r>
    </w:p>
    <w:p>
      <w:pPr>
        <w:spacing w:after="0" w:line="104"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The Company estimates that the sum of the nonrefundable up-front fee already paid, potential option fees and potential milestone payments for preclinical events could total $87 million.</w:t>
      </w:r>
    </w:p>
    <w:p>
      <w:pPr>
        <w:spacing w:after="0" w:line="101" w:lineRule="exact"/>
        <w:rPr>
          <w:sz w:val="20"/>
          <w:szCs w:val="20"/>
          <w:color w:val="auto"/>
        </w:rPr>
      </w:pPr>
    </w:p>
    <w:p>
      <w:pPr>
        <w:ind w:left="200" w:right="740"/>
        <w:spacing w:after="0" w:line="239" w:lineRule="auto"/>
        <w:rPr>
          <w:sz w:val="20"/>
          <w:szCs w:val="20"/>
          <w:color w:val="auto"/>
        </w:rPr>
      </w:pPr>
      <w:r>
        <w:rPr>
          <w:rFonts w:ascii="Arial" w:cs="Arial" w:eastAsia="Arial" w:hAnsi="Arial"/>
          <w:sz w:val="18"/>
          <w:szCs w:val="18"/>
          <w:color w:val="auto"/>
        </w:rPr>
        <w:t>The Company estimates that the total potential clinical, regulatory and sales milestones on products licensed to Roche could total an additional $300 million.</w:t>
      </w:r>
    </w:p>
    <w:p>
      <w:pPr>
        <w:spacing w:after="0" w:line="10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The research term will be in effect for a period of time beginning in October 2017 through the later of October 2022 or 24 months after the Company achieves certain research milestones for the last eligible antibiotic programs. The Company is currently estimating a research term of five years for the Roche Collaboration Agreement.</w:t>
      </w:r>
    </w:p>
    <w:p>
      <w:pPr>
        <w:spacing w:after="0" w:line="100"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The Roche Collaboration Agreement automatically terminates if Roche does not exercise an option on a development candidate by October 2022. Roche may voluntarily terminate the Roche Collaboration Agreement in its entirety or on a program by program basis upon 90 days’ written notice.</w:t>
      </w:r>
    </w:p>
    <w:p>
      <w:pPr>
        <w:spacing w:after="0" w:line="100"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The Company is eligible to receive tiered royalties for antibiotic programs for which Roche exercises its options up to low double digits on future net sales.</w:t>
      </w:r>
    </w:p>
    <w:p>
      <w:pPr>
        <w:spacing w:after="0" w:line="101"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As there is no discernable patter of performance, the revenue is recognized on a straight-line basis over the research term, assumed to last five years.</w:t>
      </w:r>
    </w:p>
    <w:p>
      <w:pPr>
        <w:spacing w:after="0" w:line="101"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8"/>
          <w:szCs w:val="18"/>
          <w:color w:val="auto"/>
        </w:rPr>
        <w:t>The Company recognized approximately $3.5 million in collaboration revenue related solely to the up-front fee during the nine months ended September 30, 2018. The Company recorded total deferred revenue of approximately $18.4 million ($4.6 million in current portion of deferred revenue and $13.8 million in deferred revenue less current portion) as of September 30,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Sanofi collaboration</w:t>
      </w:r>
    </w:p>
    <w:p>
      <w:pPr>
        <w:spacing w:after="0" w:line="12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In January 2016, the Company and Sanofi entered into a collaboration and license agreement (Sanofi Collaboration Agreement) utilizing the Company’s proprietary SMART</w:t>
      </w:r>
      <w:r>
        <w:rPr>
          <w:rFonts w:ascii="Arial" w:cs="Arial" w:eastAsia="Arial" w:hAnsi="Arial"/>
          <w:sz w:val="11"/>
          <w:szCs w:val="11"/>
          <w:color w:val="auto"/>
        </w:rPr>
        <w:t>™</w:t>
      </w:r>
      <w:r>
        <w:rPr>
          <w:rFonts w:ascii="Arial" w:cs="Arial" w:eastAsia="Arial" w:hAnsi="Arial"/>
          <w:sz w:val="18"/>
          <w:szCs w:val="18"/>
          <w:color w:val="auto"/>
        </w:rPr>
        <w:t xml:space="preserve"> and genome mining platforms to discover novel oncology therapeutics and antibiotics. The Sanofi Collaboration Agreement focused on the development of drugs targeting important human oncogenes and new antibiotics. The Company was solely responsible for the conduct of research and development activities for each collaboration program until the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220"/>
          </w:cols>
          <w:pgMar w:left="240" w:top="459" w:right="4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100"/>
        <w:spacing w:after="0" w:line="281" w:lineRule="auto"/>
        <w:rPr>
          <w:sz w:val="20"/>
          <w:szCs w:val="20"/>
          <w:color w:val="auto"/>
        </w:rPr>
      </w:pPr>
      <w:r>
        <w:rPr>
          <w:rFonts w:ascii="Arial" w:cs="Arial" w:eastAsia="Arial" w:hAnsi="Arial"/>
          <w:sz w:val="16"/>
          <w:szCs w:val="16"/>
          <w:color w:val="auto"/>
        </w:rPr>
        <w:t>applicable transition stage (i.e., the specified point in time at which the research and development efforts are transitioned from the Company to Sanofi) for the respective collaboration program, unless otherwise agreed to by the parties in writing. Sanofi had no obligations to develop or commercialize under any collaboration program, until such time, if any, that the applicable transition has occurred.</w:t>
      </w:r>
    </w:p>
    <w:p>
      <w:pPr>
        <w:spacing w:after="0" w:line="70" w:lineRule="exact"/>
        <w:rPr>
          <w:sz w:val="20"/>
          <w:szCs w:val="20"/>
          <w:color w:val="auto"/>
        </w:rPr>
      </w:pPr>
    </w:p>
    <w:p>
      <w:pPr>
        <w:jc w:val="both"/>
        <w:ind w:left="200" w:right="240"/>
        <w:spacing w:after="0" w:line="299" w:lineRule="auto"/>
        <w:rPr>
          <w:sz w:val="20"/>
          <w:szCs w:val="20"/>
          <w:color w:val="auto"/>
        </w:rPr>
      </w:pPr>
      <w:r>
        <w:rPr>
          <w:rFonts w:ascii="Arial" w:cs="Arial" w:eastAsia="Arial" w:hAnsi="Arial"/>
          <w:sz w:val="16"/>
          <w:szCs w:val="16"/>
          <w:color w:val="auto"/>
        </w:rPr>
        <w:t>Under the terms of the Sanofi Collaboration Agreement, the Company would lead the research collaboration for a period of five years, and Sanofi would receive worldwide exclusive licenses to develop and commercialize product candidates discovered during the research term.</w:t>
      </w:r>
    </w:p>
    <w:p>
      <w:pPr>
        <w:spacing w:after="0" w:line="55"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Company and Sanofi initially focused on three defined oncology programs targeting different mutants and states of the oncogenic protein Ras. For the antibiotic program, the Company led initial discovery efforts, and Sanofi would lead any subsequent discovery and development activities. The Company reached the transition stage for the antibiotic program during the year ended December 31, 2016. The estimated research term for the antibiotic program was one year.</w:t>
      </w:r>
    </w:p>
    <w:p>
      <w:pPr>
        <w:spacing w:after="0" w:line="101"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In July 2017, Sanofi provided 90 days’ written notice to terminate the antibiotic portion of the Sanofi Collaboration Agreement, which officially terminated in October 2017. In November 2017, Sanofi provided 90 days’ written notice to terminate all oncology programs or the remaining portion of the research activities under the Sanofi Collaboration Agreement, which officially terminated in February 2018.</w:t>
      </w:r>
    </w:p>
    <w:p>
      <w:pPr>
        <w:spacing w:after="0" w:line="100"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From the start of the Sanofi Collaboration Agreement through December 31, 2017, the Company received $15.8 million in milestone payments from Sanofi. In June 2018, a milestone payment of $6.0 million, which was achieved in December 2017, was cancelled and forgiven in full per the terms of the convertible notes payable amendment (see Note 5). This milestone payment was not previously recorded for accounting purposes due to collectability not being reasonably assured.</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did not receive any milestone payments from Sanofi during the nine months ended September 30, 2018.</w:t>
      </w:r>
    </w:p>
    <w:p>
      <w:pPr>
        <w:spacing w:after="0" w:line="104"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Company recognized approximately $0.9 million of revenue related to the Sanofi Collaboration Agreement during the nine months ended September 30, 2018. The Company had zero deferred revenue as of September 30, 2018 related to the Sanofi Collaboration Agreement and no additional revenue will be recognized as the Company has fulfilled its obligations to Sanofi up through the termination date which occurred in February 2018.</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5. Convertible notes payable, related party</w:t>
      </w:r>
    </w:p>
    <w:p>
      <w:pPr>
        <w:spacing w:after="0" w:line="13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Under the January 2016 convertible notes payable agreement with Sanofi, the Company could borrow up to $30.0 million to fund certain expenses. The notes payable bore interest at LIBOR plus 8.5%. Subject to certain exceptions, there were no payments due prior to maturity, and interest is paid-in-kind. The notes payable were automatically convertible into shares of common stock upon the completion of an initial public offering and convertible at the option of the investor upon a financing in which the Company sold shares of a new series of preferred stock in which the Company receives proceeds of at least $30.0 million. The conversion rate upon such conversion was 95% of the initial public offering price or 95% of the financing purchase price. If the Company was acquired, the debt would be settled at 120% of the outstanding principal balance or $36.0 million. On October 17, 2018, in conjunction with the acquisition of the Company by Revolution (“Parties”), the Parties agreed to convert the debt to 18 million shares of Series A Preferred stock or 5.4 million Revolution shares, which had a fair value of $2.06 per share.</w:t>
      </w:r>
    </w:p>
    <w:p>
      <w:pPr>
        <w:spacing w:after="0" w:line="107"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In November 2017, Sanofi provided 90 days’ written notice to terminate all oncology programs or the remaining portion of the research activities under the Sanofi Collaboration Agreement, which officially terminated in</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160"/>
          </w:cols>
          <w:pgMar w:left="240" w:top="459" w:right="49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February 2018. With the termination of the Sanofi Collaboration Agreement, the maturity date of the convertible notes payable, related party became February 2020.</w:t>
      </w:r>
    </w:p>
    <w:p>
      <w:pPr>
        <w:spacing w:after="0" w:line="101"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In June 2018, the Company and Sanofi (“Parties”) agreed to amend the terms of the existing convertible notes payable. Per the terms of the amended agreement, all current and future interest due on the convertible notes payable was cancelled and forgiven in full. Additionally, the Parties agreed to exchange the existing convertible notes payable with new notes payable with an extended maturity date and certain other amended provisions immediately prior to a future closing of the Company’s first issuance and sale of preferred stock prior to December 31, 2019. As no preferred stock financing occurred prior to the merger between Revolution and the Company (see Note 13), no exchange of notes payable occurred.</w:t>
      </w:r>
    </w:p>
    <w:p>
      <w:pPr>
        <w:spacing w:after="0" w:line="102"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Company recognized a gain on the restructuring of debt, related party due to the cancellation of current and future interest due on the convertible notes payable of $5.1 million in the nine months ended September 30, 2018. The restructuring of debt was considered a troubled debt restructuring because of the doubt surrounding the Company’s ability to continue as a going concern and Sanofi was granting the Company a concession, namely cancelling all current and future interest due on the convertible notes payable.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6. Fair value measurements</w:t>
      </w:r>
    </w:p>
    <w:p>
      <w:pPr>
        <w:spacing w:after="0" w:line="134" w:lineRule="exact"/>
        <w:rPr>
          <w:sz w:val="20"/>
          <w:szCs w:val="20"/>
          <w:color w:val="auto"/>
        </w:rPr>
      </w:pPr>
    </w:p>
    <w:p>
      <w:pPr>
        <w:jc w:val="both"/>
        <w:ind w:left="200" w:right="300"/>
        <w:spacing w:after="0" w:line="238" w:lineRule="auto"/>
        <w:rPr>
          <w:sz w:val="20"/>
          <w:szCs w:val="20"/>
          <w:color w:val="auto"/>
        </w:rPr>
      </w:pPr>
      <w:r>
        <w:rPr>
          <w:rFonts w:ascii="Arial" w:cs="Arial" w:eastAsia="Arial" w:hAnsi="Arial"/>
          <w:sz w:val="18"/>
          <w:szCs w:val="18"/>
          <w:color w:val="auto"/>
        </w:rPr>
        <w:t>Financial Accounting Standards Board Accounting Standards Codification (ASC) 825, Financial Instruments, requires disclosure of the fair value of financial instruments. For financial instruments including cash equivalents, accounts payable and accrued expenses, the carrying amount approximates fair value due to their short-term nature.</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ASC 820, Fair Value Measurements and Disclosures (ASC 820), defines fair value and establishes a framework for measuring fair value in accordance with GAAP and expands disclosures about fair value measurements. ASC 820 codifies the definition of fair value as the price that would be received to sell an asset or paid to transfer a liability in an orderly transaction between market participants at the measurement date, clarifies the principle that fair value should be based on the assumptions market participants would use when pricing the asset or liability, and establishes a fair value hierarchy that prioritizes the information used to develop those assumptions. The valuation hierarchy is based upon the transparency of inputs to the valuation of an asset or liability as of the measurement date.</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Fair value measurements are classified and disclosed in one of the following three categories: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04" w:lineRule="exact"/>
        <w:rPr>
          <w:sz w:val="20"/>
          <w:szCs w:val="20"/>
          <w:color w:val="auto"/>
        </w:rPr>
      </w:pPr>
    </w:p>
    <w:p>
      <w:pPr>
        <w:jc w:val="both"/>
        <w:ind w:left="420" w:right="460"/>
        <w:spacing w:after="0" w:line="238" w:lineRule="auto"/>
        <w:rPr>
          <w:sz w:val="20"/>
          <w:szCs w:val="20"/>
          <w:color w:val="auto"/>
        </w:rPr>
      </w:pPr>
      <w:r>
        <w:rPr>
          <w:rFonts w:ascii="Arial" w:cs="Arial" w:eastAsia="Arial" w:hAnsi="Arial"/>
          <w:sz w:val="18"/>
          <w:szCs w:val="18"/>
          <w:color w:val="auto"/>
        </w:rPr>
        <w:t>Level 2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0" w:lineRule="exact"/>
        <w:rPr>
          <w:sz w:val="20"/>
          <w:szCs w:val="20"/>
          <w:color w:val="auto"/>
        </w:rPr>
      </w:pPr>
    </w:p>
    <w:p>
      <w:pPr>
        <w:jc w:val="center"/>
        <w:ind w:left="560" w:right="100"/>
        <w:spacing w:after="0" w:line="411" w:lineRule="auto"/>
        <w:rPr>
          <w:sz w:val="20"/>
          <w:szCs w:val="20"/>
          <w:color w:val="auto"/>
        </w:rPr>
      </w:pPr>
      <w:r>
        <w:rPr>
          <w:rFonts w:ascii="Arial" w:cs="Arial" w:eastAsia="Arial" w:hAnsi="Arial"/>
          <w:sz w:val="18"/>
          <w:szCs w:val="18"/>
          <w:color w:val="auto"/>
        </w:rPr>
        <w:t>Level 3 Unobservable inputs that are supported by little or no market activity and that are significant to the fair value of assets or liabilities. F-103</w:t>
      </w:r>
    </w:p>
    <w:p>
      <w:pPr>
        <w:sectPr>
          <w:pgSz w:w="11900" w:h="16838" w:orient="portrait"/>
          <w:cols w:equalWidth="0" w:num="1">
            <w:col w:w="11200"/>
          </w:cols>
          <w:pgMar w:left="240" w:top="459" w:right="4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The Company measures the following financial assets at fair value on a recurring basis. The fair value of these assets was determined as follows at September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ind w:right="512"/>
              <w:spacing w:after="0"/>
              <w:rPr>
                <w:sz w:val="20"/>
                <w:szCs w:val="20"/>
                <w:color w:val="auto"/>
              </w:rPr>
            </w:pPr>
            <w:r>
              <w:rPr>
                <w:rFonts w:ascii="Arial" w:cs="Arial" w:eastAsia="Arial" w:hAnsi="Arial"/>
                <w:sz w:val="18"/>
                <w:szCs w:val="18"/>
                <w:b w:val="1"/>
                <w:bCs w:val="1"/>
                <w:color w:val="auto"/>
                <w:w w:val="99"/>
              </w:rPr>
              <w:t>Other</w:t>
            </w:r>
          </w:p>
        </w:tc>
        <w:tc>
          <w:tcPr>
            <w:tcW w:w="38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Significant</w:t>
            </w: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ind w:left="160"/>
              <w:spacing w:after="0" w:line="202" w:lineRule="exact"/>
              <w:rPr>
                <w:sz w:val="20"/>
                <w:szCs w:val="20"/>
                <w:color w:val="auto"/>
              </w:rPr>
            </w:pPr>
            <w:r>
              <w:rPr>
                <w:rFonts w:ascii="Arial" w:cs="Arial" w:eastAsia="Arial" w:hAnsi="Arial"/>
                <w:sz w:val="18"/>
                <w:szCs w:val="18"/>
                <w:b w:val="1"/>
                <w:bCs w:val="1"/>
                <w:color w:val="auto"/>
              </w:rPr>
              <w:t>Balance at</w:t>
            </w:r>
          </w:p>
        </w:tc>
        <w:tc>
          <w:tcPr>
            <w:tcW w:w="182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Active markets</w:t>
            </w:r>
          </w:p>
        </w:tc>
        <w:tc>
          <w:tcPr>
            <w:tcW w:w="120" w:type="dxa"/>
            <w:vAlign w:val="bottom"/>
          </w:tcPr>
          <w:p>
            <w:pPr>
              <w:spacing w:after="0"/>
              <w:rPr>
                <w:sz w:val="17"/>
                <w:szCs w:val="17"/>
                <w:color w:val="auto"/>
              </w:rPr>
            </w:pPr>
          </w:p>
        </w:tc>
        <w:tc>
          <w:tcPr>
            <w:tcW w:w="1500" w:type="dxa"/>
            <w:vAlign w:val="bottom"/>
            <w:gridSpan w:val="2"/>
          </w:tcPr>
          <w:p>
            <w:pPr>
              <w:jc w:val="right"/>
              <w:ind w:right="292"/>
              <w:spacing w:after="0" w:line="202" w:lineRule="exact"/>
              <w:rPr>
                <w:sz w:val="20"/>
                <w:szCs w:val="20"/>
                <w:color w:val="auto"/>
              </w:rPr>
            </w:pPr>
            <w:r>
              <w:rPr>
                <w:rFonts w:ascii="Arial" w:cs="Arial" w:eastAsia="Arial" w:hAnsi="Arial"/>
                <w:sz w:val="18"/>
                <w:szCs w:val="18"/>
                <w:b w:val="1"/>
                <w:bCs w:val="1"/>
                <w:color w:val="auto"/>
              </w:rPr>
              <w:t>observable</w:t>
            </w:r>
          </w:p>
        </w:tc>
        <w:tc>
          <w:tcPr>
            <w:tcW w:w="1480" w:type="dxa"/>
            <w:vAlign w:val="bottom"/>
            <w:gridSpan w:val="3"/>
          </w:tcPr>
          <w:p>
            <w:pPr>
              <w:ind w:left="26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900" w:type="dxa"/>
            <w:vAlign w:val="bottom"/>
            <w:gridSpan w:val="4"/>
          </w:tcPr>
          <w:p>
            <w:pPr>
              <w:ind w:left="260"/>
              <w:spacing w:after="0" w:line="202" w:lineRule="exact"/>
              <w:rPr>
                <w:sz w:val="20"/>
                <w:szCs w:val="20"/>
                <w:color w:val="auto"/>
              </w:rPr>
            </w:pPr>
            <w:r>
              <w:rPr>
                <w:rFonts w:ascii="Arial" w:cs="Arial" w:eastAsia="Arial" w:hAnsi="Arial"/>
                <w:sz w:val="18"/>
                <w:szCs w:val="18"/>
                <w:b w:val="1"/>
                <w:bCs w:val="1"/>
                <w:color w:val="auto"/>
              </w:rPr>
              <w:t>September 30,</w:t>
            </w:r>
          </w:p>
        </w:tc>
        <w:tc>
          <w:tcPr>
            <w:tcW w:w="1820" w:type="dxa"/>
            <w:vAlign w:val="bottom"/>
            <w:gridSpan w:val="2"/>
          </w:tcPr>
          <w:p>
            <w:pPr>
              <w:ind w:left="340"/>
              <w:spacing w:after="0" w:line="202" w:lineRule="exact"/>
              <w:rPr>
                <w:sz w:val="20"/>
                <w:szCs w:val="20"/>
                <w:color w:val="auto"/>
              </w:rPr>
            </w:pPr>
            <w:r>
              <w:rPr>
                <w:rFonts w:ascii="Arial" w:cs="Arial" w:eastAsia="Arial" w:hAnsi="Arial"/>
                <w:sz w:val="18"/>
                <w:szCs w:val="18"/>
                <w:b w:val="1"/>
                <w:bCs w:val="1"/>
                <w:color w:val="auto"/>
              </w:rPr>
              <w:t>for identical</w:t>
            </w:r>
          </w:p>
        </w:tc>
        <w:tc>
          <w:tcPr>
            <w:tcW w:w="120" w:type="dxa"/>
            <w:vAlign w:val="bottom"/>
          </w:tcPr>
          <w:p>
            <w:pPr>
              <w:spacing w:after="0"/>
              <w:rPr>
                <w:sz w:val="17"/>
                <w:szCs w:val="17"/>
                <w:color w:val="auto"/>
              </w:rPr>
            </w:pPr>
          </w:p>
        </w:tc>
        <w:tc>
          <w:tcPr>
            <w:tcW w:w="1500" w:type="dxa"/>
            <w:vAlign w:val="bottom"/>
            <w:gridSpan w:val="2"/>
          </w:tcPr>
          <w:p>
            <w:pPr>
              <w:ind w:left="400"/>
              <w:spacing w:after="0" w:line="202" w:lineRule="exact"/>
              <w:rPr>
                <w:sz w:val="20"/>
                <w:szCs w:val="20"/>
                <w:color w:val="auto"/>
              </w:rPr>
            </w:pPr>
            <w:r>
              <w:rPr>
                <w:rFonts w:ascii="Arial" w:cs="Arial" w:eastAsia="Arial" w:hAnsi="Arial"/>
                <w:sz w:val="18"/>
                <w:szCs w:val="18"/>
                <w:b w:val="1"/>
                <w:bCs w:val="1"/>
                <w:color w:val="auto"/>
              </w:rPr>
              <w:t>inputs</w:t>
            </w:r>
          </w:p>
        </w:tc>
        <w:tc>
          <w:tcPr>
            <w:tcW w:w="380" w:type="dxa"/>
            <w:vAlign w:val="bottom"/>
          </w:tcPr>
          <w:p>
            <w:pPr>
              <w:spacing w:after="0"/>
              <w:rPr>
                <w:sz w:val="17"/>
                <w:szCs w:val="17"/>
                <w:color w:val="auto"/>
              </w:rPr>
            </w:pPr>
          </w:p>
        </w:tc>
        <w:tc>
          <w:tcPr>
            <w:tcW w:w="11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inputs</w:t>
            </w:r>
          </w:p>
        </w:tc>
      </w:tr>
      <w:tr>
        <w:trPr>
          <w:trHeight w:val="221"/>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18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assets (Level 1)</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b w:val="1"/>
                <w:bCs w:val="1"/>
                <w:color w:val="auto"/>
              </w:rPr>
              <w:t>(level 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(level 3)</w:t>
            </w:r>
          </w:p>
        </w:tc>
      </w:tr>
      <w:tr>
        <w:trPr>
          <w:trHeight w:val="48"/>
        </w:trPr>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5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tcPr>
          <w:p>
            <w:pPr>
              <w:ind w:left="160"/>
              <w:spacing w:after="0" w:line="202" w:lineRule="exact"/>
              <w:rPr>
                <w:sz w:val="20"/>
                <w:szCs w:val="20"/>
                <w:color w:val="auto"/>
              </w:rPr>
            </w:pPr>
            <w:r>
              <w:rPr>
                <w:rFonts w:ascii="Arial" w:cs="Arial" w:eastAsia="Arial" w:hAnsi="Arial"/>
                <w:sz w:val="18"/>
                <w:szCs w:val="18"/>
                <w:color w:val="auto"/>
              </w:rPr>
              <w:t>414,268</w:t>
            </w:r>
          </w:p>
        </w:tc>
        <w:tc>
          <w:tcPr>
            <w:tcW w:w="48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414,268</w:t>
            </w:r>
          </w:p>
        </w:tc>
        <w:tc>
          <w:tcPr>
            <w:tcW w:w="5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5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414,268</w:t>
            </w:r>
          </w:p>
        </w:tc>
        <w:tc>
          <w:tcPr>
            <w:tcW w:w="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414,268</w:t>
            </w:r>
          </w:p>
        </w:tc>
        <w:tc>
          <w:tcPr>
            <w:tcW w:w="5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20" w:type="dxa"/>
            <w:vAlign w:val="bottom"/>
            <w:gridSpan w:val="2"/>
          </w:tcPr>
          <w:p>
            <w:pPr>
              <w:ind w:left="320"/>
              <w:spacing w:after="0"/>
              <w:rPr>
                <w:sz w:val="20"/>
                <w:szCs w:val="20"/>
                <w:color w:val="auto"/>
              </w:rPr>
            </w:pPr>
            <w:r>
              <w:rPr>
                <w:rFonts w:ascii="Arial" w:cs="Arial" w:eastAsia="Arial" w:hAnsi="Arial"/>
                <w:sz w:val="18"/>
                <w:szCs w:val="18"/>
                <w:b w:val="1"/>
                <w:bCs w:val="1"/>
                <w:color w:val="auto"/>
              </w:rPr>
              <w:t>Quoted prices in</w:t>
            </w:r>
          </w:p>
        </w:tc>
        <w:tc>
          <w:tcPr>
            <w:tcW w:w="120" w:type="dxa"/>
            <w:vAlign w:val="bottom"/>
          </w:tcPr>
          <w:p>
            <w:pPr>
              <w:spacing w:after="0"/>
              <w:rPr>
                <w:sz w:val="19"/>
                <w:szCs w:val="19"/>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b w:val="1"/>
                <w:bCs w:val="1"/>
                <w:color w:val="auto"/>
              </w:rPr>
              <w:t>Significant</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gridSpan w:val="2"/>
          </w:tcPr>
          <w:p>
            <w:pPr>
              <w:jc w:val="center"/>
              <w:ind w:left="152"/>
              <w:spacing w:after="0" w:line="202" w:lineRule="exact"/>
              <w:rPr>
                <w:sz w:val="20"/>
                <w:szCs w:val="20"/>
                <w:color w:val="auto"/>
              </w:rPr>
            </w:pPr>
            <w:r>
              <w:rPr>
                <w:rFonts w:ascii="Arial" w:cs="Arial" w:eastAsia="Arial" w:hAnsi="Arial"/>
                <w:sz w:val="18"/>
                <w:szCs w:val="18"/>
                <w:b w:val="1"/>
                <w:bCs w:val="1"/>
                <w:color w:val="auto"/>
                <w:w w:val="97"/>
              </w:rPr>
              <w:t>active markets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ind w:right="432"/>
              <w:spacing w:after="0" w:line="202" w:lineRule="exact"/>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17"/>
                <w:szCs w:val="17"/>
                <w:color w:val="auto"/>
              </w:rPr>
            </w:pPr>
          </w:p>
        </w:tc>
        <w:tc>
          <w:tcPr>
            <w:tcW w:w="11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7"/>
              </w:rPr>
              <w:t>Significant</w:t>
            </w: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Balance at</w:t>
            </w:r>
          </w:p>
        </w:tc>
        <w:tc>
          <w:tcPr>
            <w:tcW w:w="480" w:type="dxa"/>
            <w:vAlign w:val="bottom"/>
          </w:tcPr>
          <w:p>
            <w:pPr>
              <w:spacing w:after="0"/>
              <w:rPr>
                <w:sz w:val="17"/>
                <w:szCs w:val="17"/>
                <w:color w:val="auto"/>
              </w:rPr>
            </w:pPr>
          </w:p>
        </w:tc>
        <w:tc>
          <w:tcPr>
            <w:tcW w:w="1340" w:type="dxa"/>
            <w:vAlign w:val="bottom"/>
          </w:tcPr>
          <w:p>
            <w:pPr>
              <w:jc w:val="center"/>
              <w:ind w:right="172"/>
              <w:spacing w:after="0" w:line="202" w:lineRule="exact"/>
              <w:rPr>
                <w:sz w:val="20"/>
                <w:szCs w:val="20"/>
                <w:color w:val="auto"/>
              </w:rPr>
            </w:pPr>
            <w:r>
              <w:rPr>
                <w:rFonts w:ascii="Arial" w:cs="Arial" w:eastAsia="Arial" w:hAnsi="Arial"/>
                <w:sz w:val="18"/>
                <w:szCs w:val="18"/>
                <w:b w:val="1"/>
                <w:bCs w:val="1"/>
                <w:color w:val="auto"/>
                <w:w w:val="97"/>
              </w:rPr>
              <w:t>for identical</w:t>
            </w:r>
          </w:p>
        </w:tc>
        <w:tc>
          <w:tcPr>
            <w:tcW w:w="120" w:type="dxa"/>
            <w:vAlign w:val="bottom"/>
          </w:tcPr>
          <w:p>
            <w:pPr>
              <w:spacing w:after="0"/>
              <w:rPr>
                <w:sz w:val="17"/>
                <w:szCs w:val="17"/>
                <w:color w:val="auto"/>
              </w:rPr>
            </w:pPr>
          </w:p>
        </w:tc>
        <w:tc>
          <w:tcPr>
            <w:tcW w:w="150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observable</w:t>
            </w:r>
          </w:p>
        </w:tc>
        <w:tc>
          <w:tcPr>
            <w:tcW w:w="1480" w:type="dxa"/>
            <w:vAlign w:val="bottom"/>
            <w:gridSpan w:val="3"/>
          </w:tcPr>
          <w:p>
            <w:pPr>
              <w:ind w:left="26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ind w:left="300"/>
              <w:spacing w:after="0" w:line="202" w:lineRule="exact"/>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17"/>
                <w:szCs w:val="17"/>
                <w:color w:val="auto"/>
              </w:rPr>
            </w:pPr>
          </w:p>
        </w:tc>
        <w:tc>
          <w:tcPr>
            <w:tcW w:w="1340" w:type="dxa"/>
            <w:vAlign w:val="bottom"/>
          </w:tcPr>
          <w:p>
            <w:pPr>
              <w:jc w:val="center"/>
              <w:ind w:right="172"/>
              <w:spacing w:after="0" w:line="202" w:lineRule="exact"/>
              <w:rPr>
                <w:sz w:val="20"/>
                <w:szCs w:val="20"/>
                <w:color w:val="auto"/>
              </w:rPr>
            </w:pPr>
            <w:r>
              <w:rPr>
                <w:rFonts w:ascii="Arial" w:cs="Arial" w:eastAsia="Arial" w:hAnsi="Arial"/>
                <w:sz w:val="18"/>
                <w:szCs w:val="18"/>
                <w:b w:val="1"/>
                <w:bCs w:val="1"/>
                <w:color w:val="auto"/>
                <w:w w:val="99"/>
              </w:rPr>
              <w:t>assets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ind w:right="372"/>
              <w:spacing w:after="0" w:line="202" w:lineRule="exact"/>
              <w:rPr>
                <w:sz w:val="20"/>
                <w:szCs w:val="20"/>
                <w:color w:val="auto"/>
              </w:rPr>
            </w:pPr>
            <w:r>
              <w:rPr>
                <w:rFonts w:ascii="Arial" w:cs="Arial" w:eastAsia="Arial" w:hAnsi="Arial"/>
                <w:sz w:val="18"/>
                <w:szCs w:val="18"/>
                <w:b w:val="1"/>
                <w:bCs w:val="1"/>
                <w:color w:val="auto"/>
              </w:rPr>
              <w:t>inputs</w:t>
            </w:r>
          </w:p>
        </w:tc>
        <w:tc>
          <w:tcPr>
            <w:tcW w:w="380" w:type="dxa"/>
            <w:vAlign w:val="bottom"/>
          </w:tcPr>
          <w:p>
            <w:pPr>
              <w:spacing w:after="0"/>
              <w:rPr>
                <w:sz w:val="17"/>
                <w:szCs w:val="17"/>
                <w:color w:val="auto"/>
              </w:rPr>
            </w:pPr>
          </w:p>
        </w:tc>
        <w:tc>
          <w:tcPr>
            <w:tcW w:w="11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inputs</w:t>
            </w:r>
          </w:p>
        </w:tc>
      </w:tr>
      <w:tr>
        <w:trPr>
          <w:trHeight w:val="235"/>
        </w:trPr>
        <w:tc>
          <w:tcPr>
            <w:tcW w:w="20" w:type="dxa"/>
            <w:vAlign w:val="bottom"/>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5"/>
              </w:rPr>
              <w:t>(Level 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8"/>
              </w:rPr>
              <w:t>(Level 3)</w:t>
            </w:r>
          </w:p>
        </w:tc>
      </w:tr>
      <w:tr>
        <w:trPr>
          <w:trHeight w:val="48"/>
        </w:trPr>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660" w:type="dxa"/>
            <w:vAlign w:val="bottom"/>
            <w:gridSpan w:val="3"/>
          </w:tcPr>
          <w:p>
            <w:pPr>
              <w:ind w:left="56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ind w:left="160"/>
              <w:spacing w:after="0" w:line="202" w:lineRule="exact"/>
              <w:rPr>
                <w:sz w:val="20"/>
                <w:szCs w:val="20"/>
                <w:color w:val="auto"/>
              </w:rPr>
            </w:pPr>
            <w:r>
              <w:rPr>
                <w:rFonts w:ascii="Arial" w:cs="Arial" w:eastAsia="Arial" w:hAnsi="Arial"/>
                <w:sz w:val="18"/>
                <w:szCs w:val="18"/>
                <w:color w:val="auto"/>
              </w:rPr>
              <w:t>18,411,704</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18,411,704</w:t>
            </w:r>
          </w:p>
        </w:tc>
        <w:tc>
          <w:tcPr>
            <w:tcW w:w="520" w:type="dxa"/>
            <w:vAlign w:val="bottom"/>
            <w:gridSpan w:val="2"/>
          </w:tcPr>
          <w:p>
            <w:pPr>
              <w:ind w:left="42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660" w:type="dxa"/>
            <w:vAlign w:val="bottom"/>
            <w:gridSpan w:val="3"/>
            <w:shd w:val="clear" w:color="auto" w:fill="CCEEFF"/>
          </w:tcPr>
          <w:p>
            <w:pPr>
              <w:ind w:left="56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18,411,704</w:t>
            </w:r>
          </w:p>
        </w:tc>
        <w:tc>
          <w:tcPr>
            <w:tcW w:w="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18,411,704</w:t>
            </w: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860" w:type="dxa"/>
            <w:vAlign w:val="bottom"/>
            <w:tcBorders>
              <w:bottom w:val="single" w:sz="8" w:color="auto"/>
            </w:tcBorders>
            <w:gridSpan w:val="4"/>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6"/>
        </w:trPr>
        <w:tc>
          <w:tcPr>
            <w:tcW w:w="4880" w:type="dxa"/>
            <w:vAlign w:val="bottom"/>
            <w:gridSpan w:val="5"/>
          </w:tcPr>
          <w:p>
            <w:pPr>
              <w:spacing w:after="0"/>
              <w:rPr>
                <w:sz w:val="20"/>
                <w:szCs w:val="20"/>
                <w:color w:val="auto"/>
              </w:rPr>
            </w:pPr>
            <w:r>
              <w:rPr>
                <w:rFonts w:ascii="Arial" w:cs="Arial" w:eastAsia="Arial" w:hAnsi="Arial"/>
                <w:sz w:val="22"/>
                <w:szCs w:val="22"/>
                <w:b w:val="1"/>
                <w:bCs w:val="1"/>
                <w:color w:val="auto"/>
              </w:rPr>
              <w:t>7. Prepaid expenses and other current assets</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2"/>
        </w:trPr>
        <w:tc>
          <w:tcPr>
            <w:tcW w:w="6120" w:type="dxa"/>
            <w:vAlign w:val="bottom"/>
            <w:gridSpan w:val="6"/>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spacing w:after="0"/>
              <w:rPr>
                <w:sz w:val="10"/>
                <w:szCs w:val="10"/>
                <w:color w:val="auto"/>
              </w:rPr>
            </w:pPr>
          </w:p>
        </w:tc>
        <w:tc>
          <w:tcPr>
            <w:tcW w:w="1480" w:type="dxa"/>
            <w:vAlign w:val="bottom"/>
            <w:tcBorders>
              <w:bottom w:val="single" w:sz="8" w:color="auto"/>
            </w:tcBorders>
            <w:gridSpan w:val="3"/>
          </w:tcPr>
          <w:p>
            <w:pPr>
              <w:spacing w:after="0"/>
              <w:rPr>
                <w:sz w:val="10"/>
                <w:szCs w:val="10"/>
                <w:color w:val="auto"/>
              </w:rPr>
            </w:pPr>
          </w:p>
        </w:tc>
      </w:tr>
      <w:tr>
        <w:trPr>
          <w:trHeight w:val="224"/>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gridSpan w:val="3"/>
          </w:tcPr>
          <w:p>
            <w:pPr>
              <w:ind w:left="2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9"/>
              </w:rPr>
              <w:t>2017</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Prepaid software licenses</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196,113</w:t>
            </w:r>
          </w:p>
        </w:tc>
        <w:tc>
          <w:tcPr>
            <w:tcW w:w="38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198,339</w:t>
            </w:r>
          </w:p>
        </w:tc>
        <w:tc>
          <w:tcPr>
            <w:tcW w:w="60" w:type="dxa"/>
            <w:vAlign w:val="bottom"/>
            <w:shd w:val="clear" w:color="auto" w:fill="CCEEFF"/>
          </w:tcPr>
          <w:p>
            <w:pPr>
              <w:spacing w:after="0"/>
              <w:rPr>
                <w:sz w:val="17"/>
                <w:szCs w:val="17"/>
                <w:color w:val="auto"/>
              </w:rPr>
            </w:pPr>
          </w:p>
        </w:tc>
      </w:tr>
      <w:tr>
        <w:trPr>
          <w:trHeight w:val="203"/>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Prepaid rent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187,261</w:t>
            </w: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172,761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maintenance services</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160,873</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110,314</w:t>
            </w:r>
          </w:p>
        </w:tc>
        <w:tc>
          <w:tcPr>
            <w:tcW w:w="60" w:type="dxa"/>
            <w:vAlign w:val="bottom"/>
            <w:shd w:val="clear" w:color="auto" w:fill="CCEEFF"/>
          </w:tcPr>
          <w:p>
            <w:pPr>
              <w:spacing w:after="0"/>
              <w:rPr>
                <w:sz w:val="17"/>
                <w:szCs w:val="17"/>
                <w:color w:val="auto"/>
              </w:rPr>
            </w:pPr>
          </w:p>
        </w:tc>
      </w:tr>
      <w:tr>
        <w:trPr>
          <w:trHeight w:val="210"/>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24,036</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46,144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prepaid expenses and other current assets</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568,283</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527,558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8. Convertible preferred stock and stockholders’ deficit</w:t>
      </w:r>
    </w:p>
    <w:p>
      <w:pPr>
        <w:spacing w:after="0" w:line="134"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In conjunction with the recapitalization, certain put and call rights that the Company’s two primarily investors held were eliminated, and the holders of preferred units received an equivalent number of shares of Series A preferred stock. The holders of common units received an equivalent number of common stock.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Series A Convertible Preferred Stock (“Series A Preferred Stock”) has the following characteristics: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w:t>
      </w:r>
    </w:p>
    <w:p>
      <w:pPr>
        <w:spacing w:after="0" w:line="124"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The Series A Preferred Stock is entitled to vote together with the common stockholders as one class and are entitled to separate votes on certain matters.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240"/>
          </w:cols>
          <w:pgMar w:left="240" w:top="459" w:right="41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The Series A stockholders are entitled to receive an annual, cumulative 8% dividend, when and if declared by the Board of Directors. No dividends have been declared through September 30, 2018.</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24"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The Series A stockholders are entitled to a liquidation preference of their original purchase price of $1.00 per share for Series A Preferred Stock shares, plus accumulated dividends, in the event of liquidation, dissolution, or winding up of the Company. In the event the Company merges with, or is acquired by, another entity, such merger or acquisition could be deemed a dissolution.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w:t>
      </w:r>
    </w:p>
    <w:p>
      <w:pPr>
        <w:spacing w:after="0" w:line="124" w:lineRule="exact"/>
        <w:rPr>
          <w:sz w:val="20"/>
          <w:szCs w:val="20"/>
          <w:color w:val="auto"/>
        </w:rPr>
      </w:pPr>
    </w:p>
    <w:p>
      <w:pPr>
        <w:ind w:left="200" w:right="120"/>
        <w:spacing w:after="0" w:line="281" w:lineRule="auto"/>
        <w:rPr>
          <w:sz w:val="20"/>
          <w:szCs w:val="20"/>
          <w:color w:val="auto"/>
        </w:rPr>
      </w:pPr>
      <w:r>
        <w:rPr>
          <w:rFonts w:ascii="Arial" w:cs="Arial" w:eastAsia="Arial" w:hAnsi="Arial"/>
          <w:sz w:val="16"/>
          <w:szCs w:val="16"/>
          <w:color w:val="auto"/>
        </w:rPr>
        <w:t>The Series A Preferred Stock is convertible upon approval of the holders of at least 66.66% of the outstanding shares of Series A preferred stock, on a share-for-share basis, subject to certain antidilution adjustments. The Series A preferred stock converts automatically on a share-for-share basis into shares of common stock up on the closing of a qualified initial public offering (IPO), as defined.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2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Series A Preferred Stock can be redeemed upon a deemed liquidation, as defined by the articles of incorporation. The preferred stock is otherwise not redeemable.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Each holder of common stock is entitled to one vote per share of common stock. Subject to the rights of holders of Series A Preferred Stock as described above, holders of common stock are also entitled (i) to receive dividends whenever funds are legally available and when declared by the Board of Directors and (ii) upon a deemed liquidation, to receive ratably and equally with the holders of Series A Preferred Stock all the asset and funds of the Company remaining after the payment to the holders of Series A Preferred Stock of the amounts which they are entitled, as provided above.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9. Commitments and contingencies</w:t>
      </w:r>
    </w:p>
    <w:p>
      <w:pPr>
        <w:spacing w:after="0" w:line="134" w:lineRule="exact"/>
        <w:rPr>
          <w:sz w:val="20"/>
          <w:szCs w:val="20"/>
          <w:color w:val="auto"/>
        </w:rPr>
      </w:pPr>
    </w:p>
    <w:p>
      <w:pPr>
        <w:jc w:val="both"/>
        <w:ind w:left="200" w:right="300"/>
        <w:spacing w:after="0" w:line="238" w:lineRule="auto"/>
        <w:rPr>
          <w:sz w:val="20"/>
          <w:szCs w:val="20"/>
          <w:color w:val="auto"/>
        </w:rPr>
      </w:pPr>
      <w:r>
        <w:rPr>
          <w:rFonts w:ascii="Arial" w:cs="Arial" w:eastAsia="Arial" w:hAnsi="Arial"/>
          <w:sz w:val="18"/>
          <w:szCs w:val="18"/>
          <w:color w:val="auto"/>
        </w:rPr>
        <w:t>In May 2017, the Company and the landlord finalized an extension of the Company’s facility lease in Cambridge, Massachusetts through February 2023. The lease extension includes a rent increase of approximately 12% starting in March 2018 and three percent annual rent increases through 2023.</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w:t>
      </w:r>
    </w:p>
    <w:p>
      <w:pPr>
        <w:spacing w:after="0" w:line="124" w:lineRule="exact"/>
        <w:rPr>
          <w:sz w:val="20"/>
          <w:szCs w:val="20"/>
          <w:color w:val="auto"/>
        </w:rPr>
      </w:pPr>
    </w:p>
    <w:p>
      <w:pPr>
        <w:jc w:val="both"/>
        <w:ind w:left="200" w:right="300"/>
        <w:spacing w:after="0" w:line="239" w:lineRule="auto"/>
        <w:rPr>
          <w:sz w:val="20"/>
          <w:szCs w:val="20"/>
          <w:color w:val="auto"/>
        </w:rPr>
      </w:pPr>
      <w:r>
        <w:rPr>
          <w:rFonts w:ascii="Arial" w:cs="Arial" w:eastAsia="Arial" w:hAnsi="Arial"/>
          <w:sz w:val="18"/>
          <w:szCs w:val="18"/>
          <w:color w:val="auto"/>
        </w:rPr>
        <w:t>The Company recorded rent expense of $1.1 million and $0.6 million for the nine months ended September 30, 2018 and September 30, 2017, respectively.</w:t>
      </w:r>
    </w:p>
    <w:p>
      <w:pPr>
        <w:spacing w:after="0" w:line="1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100"/>
          </w:cols>
          <w:pgMar w:left="240" w:top="460" w:right="5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September 30, 2018, the Company had the following contractual obligations related to its facility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gridSpan w:val="4"/>
          </w:tcPr>
          <w:p>
            <w:pPr>
              <w:ind w:left="4100"/>
              <w:spacing w:after="0"/>
              <w:rPr>
                <w:sz w:val="20"/>
                <w:szCs w:val="20"/>
                <w:color w:val="auto"/>
              </w:rPr>
            </w:pPr>
            <w:r>
              <w:rPr>
                <w:rFonts w:ascii="Arial" w:cs="Arial" w:eastAsia="Arial" w:hAnsi="Arial"/>
                <w:sz w:val="18"/>
                <w:szCs w:val="18"/>
                <w:b w:val="1"/>
                <w:bCs w:val="1"/>
                <w:color w:val="auto"/>
              </w:rPr>
              <w:t>Operating leases</w:t>
            </w: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jc w:val="right"/>
              <w:ind w:right="4012"/>
              <w:spacing w:after="0" w:line="196" w:lineRule="exact"/>
              <w:rPr>
                <w:sz w:val="20"/>
                <w:szCs w:val="20"/>
                <w:color w:val="auto"/>
              </w:rPr>
            </w:pPr>
            <w:r>
              <w:rPr>
                <w:rFonts w:ascii="Arial" w:cs="Arial" w:eastAsia="Arial" w:hAnsi="Arial"/>
                <w:sz w:val="18"/>
                <w:szCs w:val="18"/>
                <w:color w:val="auto"/>
                <w:w w:val="95"/>
              </w:rPr>
              <w:t>2018 (remainder)</w:t>
            </w:r>
          </w:p>
        </w:tc>
        <w:tc>
          <w:tcPr>
            <w:tcW w:w="4460" w:type="dxa"/>
            <w:vAlign w:val="bottom"/>
            <w:gridSpan w:val="2"/>
            <w:shd w:val="clear" w:color="auto" w:fill="CCEEFF"/>
          </w:tcPr>
          <w:p>
            <w:pPr>
              <w:ind w:left="41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402,691</w:t>
            </w:r>
          </w:p>
        </w:tc>
        <w:tc>
          <w:tcPr>
            <w:tcW w:w="60" w:type="dxa"/>
            <w:vAlign w:val="bottom"/>
            <w:shd w:val="clear" w:color="auto" w:fill="CCEEFF"/>
          </w:tcPr>
          <w:p>
            <w:pPr>
              <w:spacing w:after="0"/>
              <w:rPr>
                <w:sz w:val="17"/>
                <w:szCs w:val="17"/>
                <w:color w:val="auto"/>
              </w:rPr>
            </w:pPr>
          </w:p>
        </w:tc>
      </w:tr>
      <w:tr>
        <w:trPr>
          <w:trHeight w:val="203"/>
        </w:trPr>
        <w:tc>
          <w:tcPr>
            <w:tcW w:w="5460" w:type="dxa"/>
            <w:vAlign w:val="bottom"/>
            <w:gridSpan w:val="2"/>
          </w:tcPr>
          <w:p>
            <w:pPr>
              <w:jc w:val="right"/>
              <w:ind w:right="4972"/>
              <w:spacing w:after="0" w:line="202" w:lineRule="exact"/>
              <w:rPr>
                <w:sz w:val="20"/>
                <w:szCs w:val="20"/>
                <w:color w:val="auto"/>
              </w:rPr>
            </w:pPr>
            <w:r>
              <w:rPr>
                <w:rFonts w:ascii="Arial" w:cs="Arial" w:eastAsia="Arial" w:hAnsi="Arial"/>
                <w:sz w:val="18"/>
                <w:szCs w:val="18"/>
                <w:color w:val="auto"/>
                <w:w w:val="94"/>
              </w:rPr>
              <w:t>2019</w:t>
            </w:r>
          </w:p>
        </w:tc>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1,659,087</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jc w:val="right"/>
              <w:ind w:right="4972"/>
              <w:spacing w:after="0" w:line="202" w:lineRule="exact"/>
              <w:rPr>
                <w:sz w:val="20"/>
                <w:szCs w:val="20"/>
                <w:color w:val="auto"/>
              </w:rPr>
            </w:pPr>
            <w:r>
              <w:rPr>
                <w:rFonts w:ascii="Arial" w:cs="Arial" w:eastAsia="Arial" w:hAnsi="Arial"/>
                <w:sz w:val="18"/>
                <w:szCs w:val="18"/>
                <w:color w:val="auto"/>
                <w:w w:val="89"/>
              </w:rPr>
              <w:t>2020</w:t>
            </w:r>
          </w:p>
        </w:tc>
        <w:tc>
          <w:tcPr>
            <w:tcW w:w="4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1,700,565</w:t>
            </w:r>
          </w:p>
        </w:tc>
        <w:tc>
          <w:tcPr>
            <w:tcW w:w="60" w:type="dxa"/>
            <w:vAlign w:val="bottom"/>
            <w:shd w:val="clear" w:color="auto" w:fill="CCEEFF"/>
          </w:tcPr>
          <w:p>
            <w:pPr>
              <w:spacing w:after="0"/>
              <w:rPr>
                <w:sz w:val="17"/>
                <w:szCs w:val="17"/>
                <w:color w:val="auto"/>
              </w:rPr>
            </w:pPr>
          </w:p>
        </w:tc>
      </w:tr>
      <w:tr>
        <w:trPr>
          <w:trHeight w:val="203"/>
        </w:trPr>
        <w:tc>
          <w:tcPr>
            <w:tcW w:w="5460" w:type="dxa"/>
            <w:vAlign w:val="bottom"/>
            <w:gridSpan w:val="2"/>
          </w:tcPr>
          <w:p>
            <w:pPr>
              <w:jc w:val="right"/>
              <w:ind w:right="4972"/>
              <w:spacing w:after="0" w:line="202" w:lineRule="exact"/>
              <w:rPr>
                <w:sz w:val="20"/>
                <w:szCs w:val="20"/>
                <w:color w:val="auto"/>
              </w:rPr>
            </w:pPr>
            <w:r>
              <w:rPr>
                <w:rFonts w:ascii="Arial" w:cs="Arial" w:eastAsia="Arial" w:hAnsi="Arial"/>
                <w:sz w:val="18"/>
                <w:szCs w:val="18"/>
                <w:color w:val="auto"/>
                <w:w w:val="94"/>
              </w:rPr>
              <w:t>2021</w:t>
            </w:r>
          </w:p>
        </w:tc>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1,751,582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jc w:val="right"/>
              <w:ind w:right="4972"/>
              <w:spacing w:after="0" w:line="202" w:lineRule="exact"/>
              <w:rPr>
                <w:sz w:val="20"/>
                <w:szCs w:val="20"/>
                <w:color w:val="auto"/>
              </w:rPr>
            </w:pPr>
            <w:r>
              <w:rPr>
                <w:rFonts w:ascii="Arial" w:cs="Arial" w:eastAsia="Arial" w:hAnsi="Arial"/>
                <w:sz w:val="18"/>
                <w:szCs w:val="18"/>
                <w:color w:val="auto"/>
                <w:w w:val="89"/>
              </w:rPr>
              <w:t>2022</w:t>
            </w:r>
          </w:p>
        </w:tc>
        <w:tc>
          <w:tcPr>
            <w:tcW w:w="4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1,804,129</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302,155</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ind w:left="41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7,620,209</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lease obligations</w:t>
      </w:r>
    </w:p>
    <w:p>
      <w:pPr>
        <w:spacing w:after="0" w:line="124" w:lineRule="exact"/>
        <w:rPr>
          <w:sz w:val="20"/>
          <w:szCs w:val="20"/>
          <w:color w:val="auto"/>
        </w:rPr>
      </w:pPr>
    </w:p>
    <w:p>
      <w:pPr>
        <w:ind w:left="200" w:right="600"/>
        <w:spacing w:after="0" w:line="239" w:lineRule="auto"/>
        <w:rPr>
          <w:sz w:val="20"/>
          <w:szCs w:val="20"/>
          <w:color w:val="auto"/>
        </w:rPr>
      </w:pPr>
      <w:r>
        <w:rPr>
          <w:rFonts w:ascii="Arial" w:cs="Arial" w:eastAsia="Arial" w:hAnsi="Arial"/>
          <w:sz w:val="18"/>
          <w:szCs w:val="18"/>
          <w:color w:val="auto"/>
        </w:rPr>
        <w:t>The Company’s capital lease obligations amounted to $0.3 million and $0.4 million as of September 30, 2018 and December 30, 2017, respectively.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Licenses</w:t>
      </w:r>
    </w:p>
    <w:p>
      <w:pPr>
        <w:spacing w:after="0" w:line="124"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The Company has entered into certain license agreements. Pursuant to the terms of those agreements, the Company may be required to pay up to $2.0 million upon the achievement of various developments, regulatory and sales milestones. The payment of these amounts, however, is contingent upon the occurrence of various future events. Additionally, the Company has licensed technology from an academic institution for which it is required to pay annual license payments of $50,000 for as long as the patent is in effect. If any product related to the licenses technology from an academic institution are approved for sale, the Company may be required to pay a minimal royalty on future sales.</w:t>
      </w:r>
    </w:p>
    <w:p>
      <w:pPr>
        <w:spacing w:after="0" w:line="75"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Cystic Fibrosis Foundation antibiotic grant agreement contains provisions related to potential future amounts payable by the Company to the Cystic Fibrosis Foundation upon product approval and achievement of certain sales milestones. In addition, in the event of a change in control or licensing, sale, or other transfer of the technology, the Company shall pay the Cystic Fibrosis Foundation a payment equal to a percentage of the related transaction price, not to exceed $1.4 million, which amount shall be reduced by any payments previously made by the Company in connection with a product approval. In conjunction with the acquisition of the Company by Revolution in October 2018, $1.4 million became due. See Note 13 for more details.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10. Income taxes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U.S. tax reform</w:t>
      </w:r>
    </w:p>
    <w:p>
      <w:pPr>
        <w:spacing w:after="0" w:line="124" w:lineRule="exact"/>
        <w:rPr>
          <w:sz w:val="20"/>
          <w:szCs w:val="20"/>
          <w:color w:val="auto"/>
        </w:rPr>
      </w:pPr>
    </w:p>
    <w:p>
      <w:pPr>
        <w:ind w:left="200" w:right="120"/>
        <w:spacing w:after="0" w:line="270" w:lineRule="auto"/>
        <w:rPr>
          <w:sz w:val="20"/>
          <w:szCs w:val="20"/>
          <w:color w:val="auto"/>
        </w:rPr>
      </w:pPr>
      <w:r>
        <w:rPr>
          <w:rFonts w:ascii="Arial" w:cs="Arial" w:eastAsia="Arial" w:hAnsi="Arial"/>
          <w:sz w:val="16"/>
          <w:szCs w:val="16"/>
          <w:color w:val="auto"/>
        </w:rPr>
        <w:t>On December 22, 2017, the Tax Cuts and Jobs Act (the “TCJA”) was signed into United States law. The TCJA includes a number of changes to existing tax law, including, among other things, a permanent reduction in the federal corporate income tax rate from 34% to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The tax rate change resulted in (i) a reduction in the gross amount of the Company’s deferred tax assets recorded as of December 31, 2017, without an impact on the net amount of its deferred tax assets, which are recorded with a full valuation allowance, and (ii) no income tax expense or benefit being recognized as of the enactment date of the TCJA.</w:t>
      </w:r>
    </w:p>
    <w:p>
      <w:pPr>
        <w:spacing w:after="0" w:line="77"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In December 2017, the SEC staff issued Staff Accounting Bulletin No. 118, Income Tax Accounting Implications of the Tax Cuts and Jobs Act (“SAB 118”) which allows the Company to record provisional amounts during a</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240"/>
          </w:cols>
          <w:pgMar w:left="240" w:top="459" w:right="41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measurement period not to extend beyond one year of the enactment date. During the three and nine months ended September 30, 2018, the Company did not make any adjustments to the provisional amounts recorded as a result of the TCJA. The Company’s accounting for the elements of U.S. Tax Reform is complete.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During the nine months ended September 30, 2018 and 2017, the Company recorded no income tax benefits for the net operating losses incurred or for the research and development tax credits generated in each period due to its uncertainty of realizing a benefit from those items. The Company has provided a valuation allowance for the full amounts of its net deferred tax assets because, at September 30, 2018 and December 31, 2017, it was more likely than not that any future benefit from deductible temporary differences and net operating loss and tax credit carryforwards would not be realized.</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As of September 30, 2018 and December 31, 2017, the Company had not recorded any amounts for unrecognized tax benefits. The statute of limitations for assessment by the Internal Revenue Service (“IRS”) and state tax authorities is closed for tax years prior to December 31, 2014, although net operating loss and tax credit carryforwards that were generated prior to December 31, 2014 may still be adjusted upon examination by the IRS and state tax authorities if they either have been or will be used in a future period. There are currently no IRS or state tax audits in progress.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11. Related party transactions</w:t>
      </w:r>
    </w:p>
    <w:p>
      <w:pPr>
        <w:spacing w:after="0" w:line="134"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In conjunction with the issuance of Series A preferred stock and common stock and the conversion of the prior credit agreement into convertible notes payable (Note 5), the Company simultaneously entered into a research collaboration with Sanofi in 2016 in which it obtained an exclusive license focused on the development of drugs targeting important human oncogenes (Note 4). Under the terms of the Agreement, the Company would lead research collaboration for a period of five years, and Sanofi would potentially receive worldwide exclusive licenses to develop and commercialize the candidates discovered during the research term. The Company has total convertible notes payable from Sanofi of approximately $30 million and $34 million as of September 30, 2018 and December 31, 2017, respectively. (See Notes 5 and 13)</w:t>
      </w:r>
    </w:p>
    <w:p>
      <w:pPr>
        <w:spacing w:after="0" w:line="77"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The Company leases its facilities from an entity that participated in the Series A Unit financing in October 2012. Prior to and after the restructuring of the Company, the investor owned less than one percent of the Series A Preferred Units and Series A Preferred Stock of the Company, respectively. Payments made to the landlord totaled approximately $1.2 million and $1.1 million for the nine months ended September 30, 2018 and 2017, respectively.</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220"/>
          </w:cols>
          <w:pgMar w:left="240" w:top="459" w:right="4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 Stock-based compensation</w:t>
      </w:r>
    </w:p>
    <w:p>
      <w:pPr>
        <w:spacing w:after="0" w:line="13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The holders of participation units, the equity award previously given to employees (and to nonemployees on occasion) received an equivalent number of shares of restricted stock on the same vesting schedule. Restricted stock granted by the Company typically vest over four years and have a contractual life of ten years. The following table provides stock-based compensation by the financial statement line item in which it is reflected: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2"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-4445</wp:posOffset>
            </wp:positionV>
            <wp:extent cx="122618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3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55,382</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96,759</w:t>
            </w:r>
          </w:p>
        </w:tc>
        <w:tc>
          <w:tcPr>
            <w:tcW w:w="80" w:type="dxa"/>
            <w:vAlign w:val="bottom"/>
            <w:shd w:val="clear" w:color="auto" w:fill="CCEEFF"/>
          </w:tcPr>
          <w:p>
            <w:pPr>
              <w:spacing w:after="0"/>
              <w:rPr>
                <w:sz w:val="17"/>
                <w:szCs w:val="17"/>
                <w:color w:val="auto"/>
              </w:rPr>
            </w:pPr>
          </w:p>
        </w:tc>
      </w:tr>
      <w:tr>
        <w:trPr>
          <w:trHeight w:val="210"/>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3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306,902</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411,890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3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362,284</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508,649</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Company granted 310,000 and 577,500 shares of restricted stock to employees during the nine months ended September 30, 2018 and 2017, respectively. For all the grants during the nine months ended September 30, 2018 and 2017, the employees paid the Company the fair value of the restricted awards. As a result, the Company did not recognize any stock-based compensation for the restricted stock grants made during the nine months ended September 30, 2018 and 2017. However, the Company did recognize stock-based compensation related to grants of participation units prior to January 1, 2016.</w:t>
      </w:r>
    </w:p>
    <w:p>
      <w:pPr>
        <w:spacing w:after="0" w:line="103" w:lineRule="exact"/>
        <w:rPr>
          <w:sz w:val="20"/>
          <w:szCs w:val="20"/>
          <w:color w:val="auto"/>
        </w:rPr>
      </w:pPr>
    </w:p>
    <w:p>
      <w:pPr>
        <w:ind w:left="200" w:right="160"/>
        <w:spacing w:after="0" w:line="235" w:lineRule="auto"/>
        <w:rPr>
          <w:sz w:val="20"/>
          <w:szCs w:val="20"/>
          <w:color w:val="auto"/>
        </w:rPr>
      </w:pPr>
      <w:r>
        <w:rPr>
          <w:rFonts w:ascii="Arial" w:cs="Arial" w:eastAsia="Arial" w:hAnsi="Arial"/>
          <w:sz w:val="18"/>
          <w:szCs w:val="18"/>
          <w:color w:val="auto"/>
        </w:rPr>
        <w:t>The Company has utilized significant estimates and assumptions in determining the fair value of its common stock and common units. The Board of Directors determined the estimated fair value of the Company’s common stock based on a number of objective and subjective factors, including the lack of an active public market for the Company’s common and convertible preferred stock; the prices of shares of the Company’s convertible preferred stock that the Company had sold to outside investors in arm’s length transactions, and the rights, preferences, and privileges of that convertible preferred stock relative to the Company’s common stock; the Company’s results of operations and financial condition; the Company’s entry into collaboration agreements; the material risks related to the Company’s business; the Company’s business strategy; the market performance of publicly traded companies in the life sciences and biotechnology sectors; and the likelihood of achieving a liquidity event for the holders of the Company’s common stock, such as an initial public offering (IPO), given prevailing market conditions. Significant changes to the key assumptions used in the valuations could have resulted in different fair values of the Company’s common stock at each valuation date.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13. Subsequent events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has evaluated subsequent events through September 19, 2019, the date the financial statements were available to be issued.</w:t>
      </w:r>
    </w:p>
    <w:p>
      <w:pPr>
        <w:spacing w:after="0" w:line="127"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On October 3, 2018, the Company received $2 million in cash proceeds from an existing investor in exchange for a convertible promissory note purchase agreement with a maturity date of April 8, 2019 and an 8% annual interest rate.</w:t>
      </w:r>
    </w:p>
    <w:p>
      <w:pPr>
        <w:spacing w:after="0" w:line="101"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On October 17, 2018, the Company and Sanofi entered into a Note Conversion Agreement to convert the $30 million convertible notes payable to 18 million shares of Series A convertible preferred stock of the Company just before the sale pursuant to an Agreement and Plan of Merger with Revolution on October 24, 2018.</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240"/>
          </w:cols>
          <w:pgMar w:left="240" w:top="459" w:right="41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On October 24, 2018, the Company and Revolution closed the sale pursuant to an Agreement and Plan of Merger in which Revolution acquired all the Series A convertible preferred stock and the common stock of the Company in exchange for Revolution Series B preferred stock for total consideration valued $69.0 million, subject to adjustments and holdbacks for certain events.</w:t>
      </w:r>
    </w:p>
    <w:p>
      <w:pPr>
        <w:spacing w:after="0" w:line="100"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As a result of the merger agreement, the Cystic Fibrosis Foundation received approximately $1.4M of Revolution Series B preferred stock in accordance with the contractual terms of the Company’s grant agreement with the Cystic Fibrosis Foundation (See Note 9).</w:t>
      </w:r>
    </w:p>
    <w:p>
      <w:pPr>
        <w:spacing w:after="0" w:line="1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060"/>
          </w:cols>
          <w:pgMar w:left="240" w:top="459" w:right="59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i w:val="1"/>
          <w:iCs w:val="1"/>
          <w:color w:val="auto"/>
        </w:rPr>
        <w:t>14,000,000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1573530</wp:posOffset>
            </wp:positionV>
            <wp:extent cx="2032635" cy="44577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tabs>
          <w:tab w:leader="none" w:pos="2940" w:val="left"/>
          <w:tab w:leader="none" w:pos="5200" w:val="left"/>
          <w:tab w:leader="none" w:pos="8480" w:val="left"/>
        </w:tabs>
        <w:rPr>
          <w:sz w:val="20"/>
          <w:szCs w:val="20"/>
          <w:color w:val="auto"/>
        </w:rPr>
      </w:pP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Cowen</w:t>
      </w:r>
      <w:r>
        <w:rPr>
          <w:sz w:val="20"/>
          <w:szCs w:val="20"/>
          <w:color w:val="auto"/>
        </w:rPr>
        <w:tab/>
      </w:r>
      <w:r>
        <w:rPr>
          <w:rFonts w:ascii="Arial" w:cs="Arial" w:eastAsia="Arial" w:hAnsi="Arial"/>
          <w:sz w:val="24"/>
          <w:szCs w:val="24"/>
          <w:b w:val="1"/>
          <w:bCs w:val="1"/>
          <w:color w:val="auto"/>
        </w:rPr>
        <w:t>SVB Leerink</w:t>
      </w:r>
      <w:r>
        <w:rPr>
          <w:sz w:val="20"/>
          <w:szCs w:val="20"/>
          <w:color w:val="auto"/>
        </w:rPr>
        <w:tab/>
      </w:r>
      <w:r>
        <w:rPr>
          <w:rFonts w:ascii="Arial" w:cs="Arial" w:eastAsia="Arial" w:hAnsi="Arial"/>
          <w:sz w:val="24"/>
          <w:szCs w:val="24"/>
          <w:b w:val="1"/>
          <w:b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Prospectus dated February 12, 2020</w:t>
      </w:r>
    </w:p>
    <w:sectPr>
      <w:pgSz w:w="11900" w:h="16838" w:orient="portrait"/>
      <w:cols w:equalWidth="0" w:num="1">
        <w:col w:w="11220"/>
      </w:cols>
      <w:pgMar w:left="240" w:top="46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1)"/>
      <w:numFmt w:val="decimal"/>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1)"/>
      <w:numFmt w:val="decimal"/>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1)"/>
      <w:numFmt w:val="decimal"/>
      <w:start w:val="1"/>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1)"/>
      <w:numFmt w:val="decimal"/>
      <w:start w:val="1"/>
    </w:lvl>
  </w:abstractNum>
  <w:abstractNum w:abstractNumId="56">
    <w:nsid w:val="6A3DD3E8"/>
    <w:multiLevelType w:val="hybridMultilevel"/>
    <w:lvl w:ilvl="0">
      <w:lvlJc w:val="left"/>
      <w:lvlText w:val="(%1)"/>
      <w:numFmt w:val="decimal"/>
      <w:start w:val="1"/>
    </w:lvl>
  </w:abstractNum>
  <w:abstractNum w:abstractNumId="57">
    <w:nsid w:val="71C91298"/>
    <w:multiLevelType w:val="hybridMultilevel"/>
    <w:lvl w:ilvl="0">
      <w:lvlJc w:val="left"/>
      <w:lvlText w:val="(%1)"/>
      <w:numFmt w:val="decimal"/>
      <w:start w:val="2"/>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1)"/>
      <w:numFmt w:val="lowerLetter"/>
      <w:start w:val="1"/>
    </w:lvl>
  </w:abstractNum>
  <w:abstractNum w:abstractNumId="60">
    <w:nsid w:val="1FBFE8E0"/>
    <w:multiLevelType w:val="hybridMultilevel"/>
    <w:lvl w:ilvl="0">
      <w:lvlJc w:val="left"/>
      <w:lvlText w:val="(%1)"/>
      <w:numFmt w:val="lowerLetter"/>
      <w:start w:val="3"/>
    </w:lvl>
  </w:abstractNum>
  <w:abstractNum w:abstractNumId="61">
    <w:nsid w:val="5092CA79"/>
    <w:multiLevelType w:val="hybridMultilevel"/>
    <w:lvl w:ilvl="0">
      <w:lvlJc w:val="left"/>
      <w:lvlText w:val="(%1)"/>
      <w:numFmt w:val="lowerLetter"/>
      <w:start w:val="4"/>
    </w:lvl>
  </w:abstractNum>
  <w:abstractNum w:abstractNumId="62">
    <w:nsid w:val="1D545C4D"/>
    <w:multiLevelType w:val="hybridMultilevel"/>
    <w:lvl w:ilvl="0">
      <w:lvlJc w:val="left"/>
      <w:lvlText w:val="(%1)"/>
      <w:numFmt w:val="lowerLetter"/>
      <w:start w:val="6"/>
    </w:lvl>
  </w:abstractNum>
  <w:abstractNum w:abstractNumId="63">
    <w:nsid w:val="59ADEA3D"/>
    <w:multiLevelType w:val="hybridMultilevel"/>
    <w:lvl w:ilvl="0">
      <w:lvlJc w:val="left"/>
      <w:lvlText w:val="(%1)"/>
      <w:numFmt w:val="lowerLetter"/>
      <w:start w:val="8"/>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1)"/>
      <w:numFmt w:val="lowerRoman"/>
      <w:start w:val="1"/>
    </w:lvl>
  </w:abstractNum>
  <w:abstractNum w:abstractNumId="77">
    <w:nsid w:val="3C5991AA"/>
    <w:multiLevelType w:val="hybridMultilevel"/>
    <w:lvl w:ilvl="0">
      <w:lvlJc w:val="left"/>
      <w:lvlText w:val="•"/>
      <w:numFmt w:val="bullet"/>
      <w:start w:val="1"/>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
      <w:numFmt w:val="bullet"/>
      <w:start w:val="1"/>
    </w:lvl>
  </w:abstractNum>
  <w:abstractNum w:abstractNumId="80">
    <w:nsid w:val="39B7AAA2"/>
    <w:multiLevelType w:val="hybridMultilevel"/>
    <w:lvl w:ilvl="0">
      <w:lvlJc w:val="left"/>
      <w:lvlText w:val="*"/>
      <w:numFmt w:val="bullet"/>
      <w:start w:val="1"/>
    </w:lvl>
  </w:abstractNum>
  <w:abstractNum w:abstractNumId="81">
    <w:nsid w:val="2B0D8DBE"/>
    <w:multiLevelType w:val="hybridMultilevel"/>
    <w:lvl w:ilvl="0">
      <w:lvlJc w:val="left"/>
      <w:lvlText w:val="*"/>
      <w:numFmt w:val="bullet"/>
      <w:start w:val="1"/>
    </w:lvl>
  </w:abstractNum>
  <w:abstractNum w:abstractNumId="82">
    <w:nsid w:val="6C80EC70"/>
    <w:multiLevelType w:val="hybridMultilevel"/>
    <w:lvl w:ilvl="0">
      <w:lvlJc w:val="left"/>
      <w:lvlText w:val="*"/>
      <w:numFmt w:val="bullet"/>
      <w:start w:val="1"/>
    </w:lvl>
  </w:abstractNum>
  <w:abstractNum w:abstractNumId="83">
    <w:nsid w:val="379E21B5"/>
    <w:multiLevelType w:val="hybridMultilevel"/>
    <w:lvl w:ilvl="0">
      <w:lvlJc w:val="left"/>
      <w:lvlText w:val="#"/>
      <w:numFmt w:val="bullet"/>
      <w:start w:val="1"/>
    </w:lvl>
  </w:abstractNum>
  <w:abstractNum w:abstractNumId="84">
    <w:nsid w:val="69E373"/>
    <w:multiLevelType w:val="hybridMultilevel"/>
    <w:lvl w:ilvl="0">
      <w:lvlJc w:val="left"/>
      <w:lvlText w:val="*"/>
      <w:numFmt w:val="bullet"/>
      <w:start w:val="1"/>
    </w:lvl>
  </w:abstractNum>
  <w:abstractNum w:abstractNumId="85">
    <w:nsid w:val="2C27173B"/>
    <w:multiLevelType w:val="hybridMultilevel"/>
    <w:lvl w:ilvl="0">
      <w:lvlJc w:val="left"/>
      <w:lvlText w:val="*"/>
      <w:numFmt w:val="bullet"/>
      <w:start w:val="1"/>
    </w:lvl>
  </w:abstractNum>
  <w:abstractNum w:abstractNumId="86">
    <w:nsid w:val="4C9B0904"/>
    <w:multiLevelType w:val="hybridMultilevel"/>
    <w:lvl w:ilvl="0">
      <w:lvlJc w:val="left"/>
      <w:lvlText w:val="%1"/>
      <w:numFmt w:val="upperLetter"/>
      <w:start w:val="35"/>
    </w:lvl>
  </w:abstractNum>
  <w:abstractNum w:abstractNumId="87">
    <w:nsid w:val="6AA7B75C"/>
    <w:multiLevelType w:val="hybridMultilevel"/>
    <w:lvl w:ilvl="0">
      <w:lvlJc w:val="left"/>
      <w:lvlText w:val="%1)"/>
      <w:numFmt w:val="lowerLetter"/>
      <w:start w:val="2"/>
    </w:lvl>
  </w:abstractNum>
  <w:abstractNum w:abstractNumId="88">
    <w:nsid w:val="1DF029D3"/>
    <w:multiLevelType w:val="hybridMultilevel"/>
    <w:lvl w:ilvl="0">
      <w:lvlJc w:val="left"/>
      <w:lvlText w:val="•"/>
      <w:numFmt w:val="bullet"/>
      <w:start w:val="1"/>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
      <w:numFmt w:val="bullet"/>
      <w:start w:val="1"/>
    </w:lvl>
  </w:abstractNum>
  <w:abstractNum w:abstractNumId="91">
    <w:nsid w:val="3DB012B3"/>
    <w:multiLevelType w:val="hybridMultilevel"/>
    <w:lvl w:ilvl="0">
      <w:lvlJc w:val="left"/>
      <w:lvlText w:val="(%1)"/>
      <w:numFmt w:val="decimal"/>
      <w:start w:val="1"/>
    </w:lvl>
  </w:abstractNum>
  <w:abstractNum w:abstractNumId="92">
    <w:nsid w:val="2708C9AF"/>
    <w:multiLevelType w:val="hybridMultilevel"/>
    <w:lvl w:ilvl="0">
      <w:lvlJc w:val="left"/>
      <w:lvlText w:val="•"/>
      <w:numFmt w:val="bullet"/>
      <w:start w:val="1"/>
    </w:lvl>
  </w:abstractNum>
  <w:abstractNum w:abstractNumId="93">
    <w:nsid w:val="5B25ACE2"/>
    <w:multiLevelType w:val="hybridMultilevel"/>
    <w:lvl w:ilvl="0">
      <w:lvlJc w:val="left"/>
      <w:lvlText w:val="•"/>
      <w:numFmt w:val="bullet"/>
      <w:start w:val="1"/>
    </w:lvl>
  </w:abstractNum>
  <w:abstractNum w:abstractNumId="94">
    <w:nsid w:val="175DFCF0"/>
    <w:multiLevelType w:val="hybridMultilevel"/>
    <w:lvl w:ilvl="0">
      <w:lvlJc w:val="left"/>
      <w:lvlText w:val="•"/>
      <w:numFmt w:val="bullet"/>
      <w:start w:val="1"/>
    </w:lvl>
  </w:abstractNum>
  <w:abstractNum w:abstractNumId="95">
    <w:nsid w:val="4F97E3E4"/>
    <w:multiLevelType w:val="hybridMultilevel"/>
    <w:lvl w:ilvl="0">
      <w:lvlJc w:val="left"/>
      <w:lvlText w:val="•"/>
      <w:numFmt w:val="bullet"/>
      <w:start w:val="1"/>
    </w:lvl>
  </w:abstractNum>
  <w:abstractNum w:abstractNumId="96">
    <w:nsid w:val="53B0A9E"/>
    <w:multiLevelType w:val="hybridMultilevel"/>
    <w:lvl w:ilvl="0">
      <w:lvlJc w:val="left"/>
      <w:lvlText w:val="•"/>
      <w:numFmt w:val="bullet"/>
      <w:start w:val="1"/>
    </w:lvl>
  </w:abstractNum>
  <w:abstractNum w:abstractNumId="97">
    <w:nsid w:val="34FD6B4F"/>
    <w:multiLevelType w:val="hybridMultilevel"/>
    <w:lvl w:ilvl="0">
      <w:lvlJc w:val="left"/>
      <w:lvlText w:val="•"/>
      <w:numFmt w:val="bullet"/>
      <w:start w:val="1"/>
    </w:lvl>
  </w:abstractNum>
  <w:abstractNum w:abstractNumId="98">
    <w:nsid w:val="5915FF32"/>
    <w:multiLevelType w:val="hybridMultilevel"/>
    <w:lvl w:ilvl="0">
      <w:lvlJc w:val="left"/>
      <w:lvlText w:val="•"/>
      <w:numFmt w:val="bullet"/>
      <w:start w:val="1"/>
    </w:lvl>
  </w:abstractNum>
  <w:abstractNum w:abstractNumId="99">
    <w:nsid w:val="56438D15"/>
    <w:multiLevelType w:val="hybridMultilevel"/>
    <w:lvl w:ilvl="0">
      <w:lvlJc w:val="left"/>
      <w:lvlText w:val="(%1)"/>
      <w:numFmt w:val="decimal"/>
      <w:start w:val="1"/>
    </w:lvl>
  </w:abstractNum>
  <w:abstractNum w:abstractNumId="100">
    <w:nsid w:val="519E3149"/>
    <w:multiLevelType w:val="hybridMultilevel"/>
    <w:lvl w:ilvl="0">
      <w:lvlJc w:val="left"/>
      <w:lvlText w:val="(%1)"/>
      <w:numFmt w:val="decimal"/>
      <w:start w:val="1"/>
    </w:lvl>
  </w:abstractNum>
  <w:abstractNum w:abstractNumId="101">
    <w:nsid w:val="2C6E4AFD"/>
    <w:multiLevelType w:val="hybridMultilevel"/>
    <w:lvl w:ilvl="0">
      <w:lvlJc w:val="left"/>
      <w:lvlText w:val="(%1)"/>
      <w:numFmt w:val="lowerRoman"/>
      <w:start w:val="1"/>
    </w:lvl>
  </w:abstractNum>
  <w:abstractNum w:abstractNumId="102">
    <w:nsid w:val="17A1B582"/>
    <w:multiLevelType w:val="hybridMultilevel"/>
    <w:lvl w:ilvl="0">
      <w:lvlJc w:val="left"/>
      <w:lvlText w:val="(%1)"/>
      <w:numFmt w:val="upperLetter"/>
      <w:start w:val="2"/>
    </w:lvl>
  </w:abstractNum>
  <w:abstractNum w:abstractNumId="103">
    <w:nsid w:val="4DF72E4E"/>
    <w:multiLevelType w:val="hybridMultilevel"/>
    <w:lvl w:ilvl="0">
      <w:lvlJc w:val="left"/>
      <w:lvlText w:val="•"/>
      <w:numFmt w:val="bullet"/>
      <w:start w:val="1"/>
    </w:lvl>
  </w:abstractNum>
  <w:abstractNum w:abstractNumId="104">
    <w:nsid w:val="5046B5A9"/>
    <w:multiLevelType w:val="hybridMultilevel"/>
    <w:lvl w:ilvl="0">
      <w:lvlJc w:val="left"/>
      <w:lvlText w:val="•"/>
      <w:numFmt w:val="bullet"/>
      <w:start w:val="1"/>
    </w:lvl>
  </w:abstractNum>
  <w:abstractNum w:abstractNumId="105">
    <w:nsid w:val="5D888A08"/>
    <w:multiLevelType w:val="hybridMultilevel"/>
    <w:lvl w:ilvl="0">
      <w:lvlJc w:val="left"/>
      <w:lvlText w:val="•"/>
      <w:numFmt w:val="bullet"/>
      <w:start w:val="1"/>
    </w:lvl>
  </w:abstractNum>
  <w:abstractNum w:abstractNumId="106">
    <w:nsid w:val="2A082C70"/>
    <w:multiLevelType w:val="hybridMultilevel"/>
    <w:lvl w:ilvl="0">
      <w:lvlJc w:val="left"/>
      <w:lvlText w:val="•"/>
      <w:numFmt w:val="bullet"/>
      <w:start w:val="1"/>
    </w:lvl>
  </w:abstractNum>
  <w:abstractNum w:abstractNumId="107">
    <w:nsid w:val="5EC6AFD4"/>
    <w:multiLevelType w:val="hybridMultilevel"/>
    <w:lvl w:ilvl="0">
      <w:lvlJc w:val="left"/>
      <w:lvlText w:val="•"/>
      <w:numFmt w:val="bullet"/>
      <w:start w:val="1"/>
    </w:lvl>
  </w:abstractNum>
  <w:abstractNum w:abstractNumId="108">
    <w:nsid w:val="19E21BB2"/>
    <w:multiLevelType w:val="hybridMultilevel"/>
    <w:lvl w:ilvl="0">
      <w:lvlJc w:val="left"/>
      <w:lvlText w:val="•"/>
      <w:numFmt w:val="bullet"/>
      <w:start w:val="1"/>
    </w:lvl>
  </w:abstractNum>
  <w:abstractNum w:abstractNumId="109">
    <w:nsid w:val="75E0858A"/>
    <w:multiLevelType w:val="hybridMultilevel"/>
    <w:lvl w:ilvl="0">
      <w:lvlJc w:val="left"/>
      <w:lvlText w:val="(%1)"/>
      <w:numFmt w:val="decimal"/>
      <w:start w:val="1"/>
    </w:lvl>
  </w:abstractNum>
  <w:abstractNum w:abstractNumId="110">
    <w:nsid w:val="57A61A29"/>
    <w:multiLevelType w:val="hybridMultilevel"/>
    <w:lvl w:ilvl="0">
      <w:lvlJc w:val="left"/>
      <w:lvlText w:val="•"/>
      <w:numFmt w:val="bullet"/>
      <w:start w:val="1"/>
    </w:lvl>
  </w:abstractNum>
  <w:abstractNum w:abstractNumId="111">
    <w:nsid w:val="5399C654"/>
    <w:multiLevelType w:val="hybridMultilevel"/>
    <w:lvl w:ilvl="0">
      <w:lvlJc w:val="left"/>
      <w:lvlText w:val="•"/>
      <w:numFmt w:val="bullet"/>
      <w:start w:val="1"/>
    </w:lvl>
  </w:abstractNum>
  <w:abstractNum w:abstractNumId="112">
    <w:nsid w:val="20EE1348"/>
    <w:multiLevelType w:val="hybridMultilevel"/>
    <w:lvl w:ilvl="0">
      <w:lvlJc w:val="left"/>
      <w:lvlText w:val="(%1)"/>
      <w:numFmt w:val="decimal"/>
      <w:start w:val="1"/>
    </w:lvl>
  </w:abstractNum>
  <w:abstractNum w:abstractNumId="113">
    <w:nsid w:val="4427069A"/>
    <w:multiLevelType w:val="hybridMultilevel"/>
    <w:lvl w:ilvl="0">
      <w:lvlJc w:val="left"/>
      <w:lvlText w:val="(%1)"/>
      <w:numFmt w:val="decimal"/>
      <w:start w:val="1"/>
    </w:lvl>
  </w:abstractNum>
  <w:abstractNum w:abstractNumId="114">
    <w:nsid w:val="B37E80A"/>
    <w:multiLevelType w:val="hybridMultilevel"/>
    <w:lvl w:ilvl="0">
      <w:lvlJc w:val="left"/>
      <w:lvlText w:val="(%1)"/>
      <w:numFmt w:val="decimal"/>
      <w:start w:val="1"/>
    </w:lvl>
  </w:abstractNum>
  <w:abstractNum w:abstractNumId="115">
    <w:nsid w:val="2157F6BC"/>
    <w:multiLevelType w:val="hybridMultilevel"/>
    <w:lvl w:ilvl="0">
      <w:lvlJc w:val="left"/>
      <w:lvlText w:val="(%1)"/>
      <w:numFmt w:val="decimal"/>
      <w:start w:val="5"/>
    </w:lvl>
  </w:abstractNum>
  <w:abstractNum w:abstractNumId="116">
    <w:nsid w:val="704E1DD5"/>
    <w:multiLevelType w:val="hybridMultilevel"/>
    <w:lvl w:ilvl="0">
      <w:lvlJc w:val="left"/>
      <w:lvlText w:val="•"/>
      <w:numFmt w:val="bullet"/>
      <w:start w:val="1"/>
    </w:lvl>
  </w:abstractNum>
  <w:abstractNum w:abstractNumId="117">
    <w:nsid w:val="57D2F10E"/>
    <w:multiLevelType w:val="hybridMultilevel"/>
    <w:lvl w:ilvl="0">
      <w:lvlJc w:val="left"/>
      <w:lvlText w:val="*"/>
      <w:numFmt w:val="bullet"/>
      <w:start w:val="1"/>
    </w:lvl>
  </w:abstractNum>
  <w:abstractNum w:abstractNumId="118">
    <w:nsid w:val="BFFAE18"/>
    <w:multiLevelType w:val="hybridMultilevel"/>
    <w:lvl w:ilvl="0">
      <w:lvlJc w:val="left"/>
      <w:lvlText w:val="(%1)"/>
      <w:numFmt w:val="decimal"/>
      <w:start w:val="1"/>
    </w:lvl>
  </w:abstractNum>
  <w:abstractNum w:abstractNumId="119">
    <w:nsid w:val="E3E47A8"/>
    <w:multiLevelType w:val="hybridMultilevel"/>
    <w:lvl w:ilvl="0">
      <w:lvlJc w:val="left"/>
      <w:lvlText w:val="(%1)"/>
      <w:numFmt w:val="decimal"/>
      <w:start w:val="3"/>
    </w:lvl>
    <w:lvl w:ilvl="1">
      <w:lvlJc w:val="left"/>
      <w:lvlText w:val="(%2)"/>
      <w:numFmt w:val="lowerRoman"/>
      <w:start w:val="3"/>
    </w:lvl>
  </w:abstractNum>
  <w:abstractNum w:abstractNumId="120">
    <w:nsid w:val="2E48F044"/>
    <w:multiLevelType w:val="hybridMultilevel"/>
    <w:lvl w:ilvl="0">
      <w:lvlJc w:val="left"/>
      <w:lvlText w:val="•"/>
      <w:numFmt w:val="bullet"/>
      <w:start w:val="1"/>
    </w:lvl>
  </w:abstractNum>
  <w:abstractNum w:abstractNumId="121">
    <w:nsid w:val="49D0FEAC"/>
    <w:multiLevelType w:val="hybridMultilevel"/>
    <w:lvl w:ilvl="0">
      <w:lvlJc w:val="left"/>
      <w:lvlText w:val="(%1)"/>
      <w:numFmt w:val="lowerRoman"/>
      <w:start w:val="3"/>
    </w:lvl>
  </w:abstractNum>
  <w:abstractNum w:abstractNumId="122">
    <w:nsid w:val="4BEE5A5B"/>
    <w:multiLevelType w:val="hybridMultilevel"/>
    <w:lvl w:ilvl="0">
      <w:lvlJc w:val="left"/>
      <w:lvlText w:val="%1."/>
      <w:numFmt w:val="decimal"/>
      <w:start w:val="144"/>
    </w:lvl>
  </w:abstractNum>
  <w:abstractNum w:abstractNumId="123">
    <w:nsid w:val="5551B9F3"/>
    <w:multiLevelType w:val="hybridMultilevel"/>
    <w:lvl w:ilvl="0">
      <w:lvlJc w:val="left"/>
      <w:lvlText w:val="%1."/>
      <w:numFmt w:val="decimal"/>
      <w:start w:val="144"/>
    </w:lvl>
  </w:abstractNum>
  <w:abstractNum w:abstractNumId="124">
    <w:nsid w:val="24F6AB8E"/>
    <w:multiLevelType w:val="hybridMultilevel"/>
    <w:lvl w:ilvl="0">
      <w:lvlJc w:val="left"/>
      <w:lvlText w:val="•"/>
      <w:numFmt w:val="bullet"/>
      <w:start w:val="1"/>
    </w:lvl>
  </w:abstractNum>
  <w:abstractNum w:abstractNumId="125">
    <w:nsid w:val="634C574C"/>
    <w:multiLevelType w:val="hybridMultilevel"/>
    <w:lvl w:ilvl="0">
      <w:lvlJc w:val="left"/>
      <w:lvlText w:val="•"/>
      <w:numFmt w:val="bullet"/>
      <w:start w:val="1"/>
    </w:lvl>
  </w:abstractNum>
  <w:abstractNum w:abstractNumId="126">
    <w:nsid w:val="24E99DD7"/>
    <w:multiLevelType w:val="hybridMultilevel"/>
    <w:lvl w:ilvl="0">
      <w:lvlJc w:val="left"/>
      <w:lvlText w:val="•"/>
      <w:numFmt w:val="bullet"/>
      <w:start w:val="1"/>
    </w:lvl>
  </w:abstractNum>
  <w:abstractNum w:abstractNumId="127">
    <w:nsid w:val="2A31B62D"/>
    <w:multiLevelType w:val="hybridMultilevel"/>
    <w:lvl w:ilvl="0">
      <w:lvlJc w:val="left"/>
      <w:lvlText w:val="•"/>
      <w:numFmt w:val="bullet"/>
      <w:start w:val="1"/>
    </w:lvl>
  </w:abstractNum>
  <w:abstractNum w:abstractNumId="128">
    <w:nsid w:val="1849C29B"/>
    <w:multiLevelType w:val="hybridMultilevel"/>
    <w:lvl w:ilvl="0">
      <w:lvlJc w:val="left"/>
      <w:lvlText w:val="•"/>
      <w:numFmt w:val="bullet"/>
      <w:start w:val="1"/>
    </w:lvl>
  </w:abstractNum>
  <w:abstractNum w:abstractNumId="129">
    <w:nsid w:val="7DFF9D09"/>
    <w:multiLevelType w:val="hybridMultilevel"/>
    <w:lvl w:ilvl="0">
      <w:lvlJc w:val="left"/>
      <w:lvlText w:val="•"/>
      <w:numFmt w:val="bullet"/>
      <w:start w:val="1"/>
    </w:lvl>
  </w:abstractNum>
  <w:abstractNum w:abstractNumId="130">
    <w:nsid w:val="754342"/>
    <w:multiLevelType w:val="hybridMultilevel"/>
    <w:lvl w:ilvl="0">
      <w:lvlJc w:val="left"/>
      <w:lvlText w:val="%1."/>
      <w:numFmt w:val="lowerRoman"/>
      <w:start w:val="1"/>
    </w:lvl>
  </w:abstractNum>
  <w:abstractNum w:abstractNumId="131">
    <w:nsid w:val="69E7F3E5"/>
    <w:multiLevelType w:val="hybridMultilevel"/>
    <w:lvl w:ilvl="0">
      <w:lvlJc w:val="left"/>
      <w:lvlText w:val="•"/>
      <w:numFmt w:val="bullet"/>
      <w:start w:val="1"/>
    </w:lvl>
  </w:abstractNum>
  <w:abstractNum w:abstractNumId="132">
    <w:nsid w:val="2A6DE806"/>
    <w:multiLevelType w:val="hybridMultilevel"/>
    <w:lvl w:ilvl="0">
      <w:lvlJc w:val="left"/>
      <w:lvlText w:val="(%1)"/>
      <w:numFmt w:val="lowerLetter"/>
      <w:start w:val="1"/>
    </w:lvl>
  </w:abstractNum>
  <w:abstractNum w:abstractNumId="133">
    <w:nsid w:val="1816F8C4"/>
    <w:multiLevelType w:val="hybridMultilevel"/>
    <w:lvl w:ilvl="0">
      <w:lvlJc w:val="left"/>
      <w:lvlText w:val="(%1)"/>
      <w:numFmt w:val="lowerLetter"/>
      <w:start w:val="1"/>
    </w:lvl>
  </w:abstractNum>
  <w:abstractNum w:abstractNumId="134">
    <w:nsid w:val="37DF2233"/>
    <w:multiLevelType w:val="hybridMultilevel"/>
    <w:lvl w:ilvl="0">
      <w:lvlJc w:val="left"/>
      <w:lvlText w:val="(%1)"/>
      <w:numFmt w:val="lowerRoman"/>
      <w:start w:val="1"/>
    </w:lvl>
  </w:abstractNum>
  <w:abstractNum w:abstractNumId="135">
    <w:nsid w:val="7AB49DAF"/>
    <w:multiLevelType w:val="hybridMultilevel"/>
    <w:lvl w:ilvl="0">
      <w:lvlJc w:val="left"/>
      <w:lvlText w:val="(%1)"/>
      <w:numFmt w:val="lowerRoman"/>
      <w:start w:val="1"/>
    </w:lvl>
  </w:abstractNum>
  <w:abstractNum w:abstractNumId="136">
    <w:nsid w:val="759F82CD"/>
    <w:multiLevelType w:val="hybridMultilevel"/>
    <w:lvl w:ilvl="0">
      <w:lvlJc w:val="left"/>
      <w:lvlText w:val="(%1)"/>
      <w:numFmt w:val="lowerRoman"/>
      <w:start w:val="2"/>
    </w:lvl>
  </w:abstractNum>
  <w:abstractNum w:abstractNumId="137">
    <w:nsid w:val="61E74EA3"/>
    <w:multiLevelType w:val="hybridMultilevel"/>
    <w:lvl w:ilvl="0">
      <w:lvlJc w:val="left"/>
      <w:lvlText w:val="(%1)"/>
      <w:numFmt w:val="decimal"/>
      <w:start w:val="1"/>
    </w:lvl>
  </w:abstractNum>
  <w:abstractNum w:abstractNumId="138">
    <w:nsid w:val="597B4D84"/>
    <w:multiLevelType w:val="hybridMultilevel"/>
    <w:lvl w:ilvl="0">
      <w:lvlJc w:val="left"/>
      <w:lvlText w:val="(%1)"/>
      <w:numFmt w:val="decimal"/>
      <w:start w:val="1"/>
    </w:lvl>
  </w:abstractNum>
  <w:abstractNum w:abstractNumId="139">
    <w:nsid w:val="F819E7F"/>
    <w:multiLevelType w:val="hybridMultilevel"/>
    <w:lvl w:ilvl="0">
      <w:lvlJc w:val="left"/>
      <w:lvlText w:val="(%1)"/>
      <w:numFmt w:val="lowerRoman"/>
      <w:start w:val="3"/>
    </w:lvl>
  </w:abstractNum>
  <w:abstractNum w:abstractNumId="140">
    <w:nsid w:val="57C7D42D"/>
    <w:multiLevelType w:val="hybridMultilevel"/>
    <w:lvl w:ilvl="0">
      <w:lvlJc w:val="left"/>
      <w:lvlText w:val="(%1)"/>
      <w:numFmt w:val="lowerRoman"/>
      <w:start w:val="6"/>
    </w:lvl>
  </w:abstractNum>
  <w:abstractNum w:abstractNumId="141">
    <w:nsid w:val="312167AD"/>
    <w:multiLevelType w:val="hybridMultilevel"/>
    <w:lvl w:ilvl="0">
      <w:lvlJc w:val="left"/>
      <w:lvlText w:val="(%1)"/>
      <w:numFmt w:val="lowerRoman"/>
      <w:start w:val="2"/>
    </w:lvl>
  </w:abstractNum>
  <w:abstractNum w:abstractNumId="142">
    <w:nsid w:val="631B64D4"/>
    <w:multiLevelType w:val="hybridMultilevel"/>
    <w:lvl w:ilvl="0">
      <w:lvlJc w:val="left"/>
      <w:lvlText w:val="(%1)"/>
      <w:numFmt w:val="decimal"/>
      <w:start w:val="1"/>
    </w:lvl>
  </w:abstractNum>
  <w:abstractNum w:abstractNumId="143">
    <w:nsid w:val="78B5E776"/>
    <w:multiLevelType w:val="hybridMultilevel"/>
    <w:lvl w:ilvl="0">
      <w:lvlJc w:val="left"/>
      <w:lvlText w:val="\emdash "/>
      <w:numFmt w:val="bullet"/>
      <w:start w:val="1"/>
    </w:lvl>
  </w:abstractNum>
  <w:abstractNum w:abstractNumId="144">
    <w:nsid w:val="75486E47"/>
    <w:multiLevelType w:val="hybridMultilevel"/>
    <w:lvl w:ilvl="0">
      <w:lvlJc w:val="left"/>
      <w:lvlText w:val="\emdash "/>
      <w:numFmt w:val="bullet"/>
      <w:start w:val="1"/>
    </w:lvl>
  </w:abstractNum>
  <w:abstractNum w:abstractNumId="145">
    <w:nsid w:val="6E534CDE"/>
    <w:multiLevelType w:val="hybridMultilevel"/>
    <w:lvl w:ilvl="0">
      <w:lvlJc w:val="left"/>
      <w:lvlText w:val="•"/>
      <w:numFmt w:val="bullet"/>
      <w:start w:val="1"/>
    </w:lvl>
  </w:abstractNum>
  <w:abstractNum w:abstractNumId="146">
    <w:nsid w:val="1A0DDE32"/>
    <w:multiLevelType w:val="hybridMultilevel"/>
    <w:lvl w:ilvl="0">
      <w:lvlJc w:val="left"/>
      <w:lvlText w:val="•"/>
      <w:numFmt w:val="bullet"/>
      <w:start w:val="1"/>
    </w:lvl>
  </w:abstractNum>
  <w:abstractNum w:abstractNumId="147">
    <w:nsid w:val="65968C1C"/>
    <w:multiLevelType w:val="hybridMultilevel"/>
    <w:lvl w:ilvl="0">
      <w:lvlJc w:val="left"/>
      <w:lvlText w:val="•"/>
      <w:numFmt w:val="bullet"/>
      <w:start w:val="1"/>
    </w:lvl>
  </w:abstractNum>
  <w:abstractNum w:abstractNumId="148">
    <w:nsid w:val="46263DEC"/>
    <w:multiLevelType w:val="hybridMultilevel"/>
    <w:lvl w:ilvl="0">
      <w:lvlJc w:val="left"/>
      <w:lvlText w:val="•"/>
      <w:numFmt w:val="bullet"/>
      <w:start w:val="1"/>
    </w:lvl>
  </w:abstractNum>
  <w:abstractNum w:abstractNumId="149">
    <w:nsid w:val="260D8C4A"/>
    <w:multiLevelType w:val="hybridMultilevel"/>
    <w:lvl w:ilvl="0">
      <w:lvlJc w:val="left"/>
      <w:lvlText w:val="(%1)"/>
      <w:numFmt w:val="lowerRoman"/>
      <w:start w:val="2"/>
    </w:lvl>
  </w:abstractNum>
  <w:abstractNum w:abstractNumId="150">
    <w:nsid w:val="73D4D3C4"/>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2020-02-13T16:24:13Z</dcterms:created>
  <dcterms:modified xsi:type="dcterms:W3CDTF">2020-02-13T16:24:13Z</dcterms:modified>
</cp:coreProperties>
</file>