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534035</wp:posOffset>
            </wp:positionH>
            <wp:positionV relativeFrom="page">
              <wp:posOffset>157480</wp:posOffset>
            </wp:positionV>
            <wp:extent cx="68065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page">
              <wp:posOffset>534035</wp:posOffset>
            </wp:positionH>
            <wp:positionV relativeFrom="page">
              <wp:posOffset>174625</wp:posOffset>
            </wp:positionV>
            <wp:extent cx="68065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06565"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47625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75565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920" w:right="1980" w:hanging="3899"/>
        <w:spacing w:after="0" w:line="289" w:lineRule="auto"/>
        <w:tabs>
          <w:tab w:leader="none" w:pos="475"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 For the fiscal year ended December 31, 2022</w:t>
      </w:r>
    </w:p>
    <w:p>
      <w:pPr>
        <w:spacing w:after="0" w:line="1" w:lineRule="exact"/>
        <w:rPr>
          <w:rFonts w:ascii="MS PGothic" w:cs="MS PGothic" w:eastAsia="MS PGothic" w:hAnsi="MS PGothic"/>
          <w:sz w:val="18"/>
          <w:szCs w:val="18"/>
          <w:color w:val="auto"/>
          <w:highlight w:val="black"/>
        </w:rPr>
      </w:pPr>
    </w:p>
    <w:p>
      <w:pPr>
        <w:ind w:left="5460"/>
        <w:spacing w:after="0"/>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OR</w:t>
      </w:r>
    </w:p>
    <w:p>
      <w:pPr>
        <w:spacing w:after="0" w:line="6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 FOR THE</w:t>
      </w:r>
    </w:p>
    <w:p>
      <w:pPr>
        <w:spacing w:after="0" w:line="41" w:lineRule="exact"/>
        <w:rPr>
          <w:sz w:val="24"/>
          <w:szCs w:val="24"/>
          <w:color w:val="auto"/>
        </w:rPr>
      </w:pPr>
    </w:p>
    <w:p>
      <w:pPr>
        <w:ind w:left="480"/>
        <w:spacing w:after="0"/>
        <w:tabs>
          <w:tab w:leader="none" w:pos="3920" w:val="left"/>
        </w:tabs>
        <w:rPr>
          <w:sz w:val="20"/>
          <w:szCs w:val="20"/>
          <w:color w:val="auto"/>
        </w:rPr>
      </w:pPr>
      <w:r>
        <w:rPr>
          <w:rFonts w:ascii="Arial" w:cs="Arial" w:eastAsia="Arial" w:hAnsi="Arial"/>
          <w:sz w:val="18"/>
          <w:szCs w:val="18"/>
          <w:b w:val="1"/>
          <w:bCs w:val="1"/>
          <w:color w:val="auto"/>
        </w:rPr>
        <w:t>TRANSITION PERIOD FROM</w:t>
      </w:r>
      <w:r>
        <w:rPr>
          <w:sz w:val="20"/>
          <w:szCs w:val="20"/>
          <w:color w:val="auto"/>
        </w:rPr>
        <w:tab/>
      </w:r>
      <w:r>
        <w:rPr>
          <w:rFonts w:ascii="Arial" w:cs="Arial" w:eastAsia="Arial" w:hAnsi="Arial"/>
          <w:sz w:val="18"/>
          <w:szCs w:val="18"/>
          <w:b w:val="1"/>
          <w:bCs w:val="1"/>
          <w:color w:val="auto"/>
        </w:rPr>
        <w:t>TO</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001-39219</w:t>
      </w:r>
    </w:p>
    <w:p>
      <w:pPr>
        <w:spacing w:after="0" w:line="11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Revolution Medicines,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-287020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p>
      <w:pPr>
        <w:spacing w:after="0" w:line="178"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Delaware</w:t>
      </w:r>
    </w:p>
    <w:p>
      <w:pPr>
        <w:spacing w:after="0" w:line="36" w:lineRule="exact"/>
        <w:rPr>
          <w:sz w:val="24"/>
          <w:szCs w:val="24"/>
          <w:color w:val="auto"/>
        </w:rPr>
      </w:pPr>
    </w:p>
    <w:p>
      <w:pPr>
        <w:ind w:left="1980"/>
        <w:spacing w:after="0"/>
        <w:rPr>
          <w:sz w:val="20"/>
          <w:szCs w:val="20"/>
          <w:color w:val="auto"/>
        </w:rPr>
      </w:pPr>
      <w:r>
        <w:rPr>
          <w:rFonts w:ascii="Arial" w:cs="Arial" w:eastAsia="Arial" w:hAnsi="Arial"/>
          <w:sz w:val="10"/>
          <w:szCs w:val="10"/>
          <w:b w:val="1"/>
          <w:bCs w:val="1"/>
          <w:color w:val="auto"/>
        </w:rPr>
        <w:t>(State or other jurisdiction of</w:t>
      </w:r>
    </w:p>
    <w:p>
      <w:pPr>
        <w:spacing w:after="0" w:line="34" w:lineRule="exact"/>
        <w:rPr>
          <w:sz w:val="24"/>
          <w:szCs w:val="24"/>
          <w:color w:val="auto"/>
        </w:rPr>
      </w:pPr>
    </w:p>
    <w:p>
      <w:pPr>
        <w:ind w:left="1960"/>
        <w:spacing w:after="0"/>
        <w:rPr>
          <w:sz w:val="20"/>
          <w:szCs w:val="20"/>
          <w:color w:val="auto"/>
        </w:rPr>
      </w:pPr>
      <w:r>
        <w:rPr>
          <w:rFonts w:ascii="Arial" w:cs="Arial" w:eastAsia="Arial" w:hAnsi="Arial"/>
          <w:sz w:val="10"/>
          <w:szCs w:val="10"/>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ind w:left="60"/>
        <w:spacing w:after="0"/>
        <w:rPr>
          <w:sz w:val="20"/>
          <w:szCs w:val="20"/>
          <w:color w:val="auto"/>
        </w:rPr>
      </w:pPr>
      <w:r>
        <w:rPr>
          <w:rFonts w:ascii="Arial" w:cs="Arial" w:eastAsia="Arial" w:hAnsi="Arial"/>
          <w:sz w:val="17"/>
          <w:szCs w:val="17"/>
          <w:b w:val="1"/>
          <w:bCs w:val="1"/>
          <w:color w:val="auto"/>
        </w:rPr>
        <w:t>47-2029180</w:t>
      </w:r>
    </w:p>
    <w:p>
      <w:pPr>
        <w:spacing w:after="0" w:line="61"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b w:val="1"/>
          <w:bCs w:val="1"/>
          <w:color w:val="auto"/>
        </w:rPr>
        <w:t>Identification No.)</w:t>
      </w:r>
    </w:p>
    <w:p>
      <w:pPr>
        <w:spacing w:after="0" w:line="35" w:lineRule="exact"/>
        <w:rPr>
          <w:sz w:val="24"/>
          <w:szCs w:val="24"/>
          <w:color w:val="auto"/>
        </w:rPr>
      </w:pPr>
    </w:p>
    <w:p>
      <w:pPr>
        <w:sectPr>
          <w:pgSz w:w="11900" w:h="16838" w:orient="portrait"/>
          <w:cols w:equalWidth="0" w:num="2">
            <w:col w:w="7260" w:space="720"/>
            <w:col w:w="3260"/>
          </w:cols>
          <w:pgMar w:left="320" w:top="310" w:right="339" w:bottom="1440" w:gutter="0" w:footer="0" w:header="0"/>
          <w:type w:val="continuous"/>
        </w:sectPr>
      </w:pPr>
    </w:p>
    <w:p>
      <w:pPr>
        <w:ind w:left="2060"/>
        <w:spacing w:after="0"/>
        <w:rPr>
          <w:sz w:val="20"/>
          <w:szCs w:val="20"/>
          <w:color w:val="auto"/>
        </w:rPr>
      </w:pPr>
      <w:r>
        <w:rPr>
          <w:rFonts w:ascii="Arial" w:cs="Arial" w:eastAsia="Arial" w:hAnsi="Arial"/>
          <w:sz w:val="18"/>
          <w:szCs w:val="18"/>
          <w:b w:val="1"/>
          <w:bCs w:val="1"/>
          <w:color w:val="auto"/>
        </w:rPr>
        <w:t>700 Saginaw Drive</w:t>
      </w:r>
    </w:p>
    <w:p>
      <w:pPr>
        <w:spacing w:after="0" w:line="25" w:lineRule="exact"/>
        <w:rPr>
          <w:sz w:val="24"/>
          <w:szCs w:val="24"/>
          <w:color w:val="auto"/>
        </w:rPr>
      </w:pPr>
    </w:p>
    <w:p>
      <w:pPr>
        <w:ind w:left="2040"/>
        <w:spacing w:after="0"/>
        <w:tabs>
          <w:tab w:leader="none" w:pos="8240" w:val="left"/>
        </w:tabs>
        <w:rPr>
          <w:sz w:val="20"/>
          <w:szCs w:val="20"/>
          <w:color w:val="auto"/>
        </w:rPr>
      </w:pPr>
      <w:r>
        <w:rPr>
          <w:rFonts w:ascii="Arial" w:cs="Arial" w:eastAsia="Arial" w:hAnsi="Arial"/>
          <w:sz w:val="18"/>
          <w:szCs w:val="18"/>
          <w:b w:val="1"/>
          <w:bCs w:val="1"/>
          <w:color w:val="auto"/>
        </w:rPr>
        <w:t>Redwood City, CA</w:t>
      </w:r>
      <w:r>
        <w:rPr>
          <w:sz w:val="20"/>
          <w:szCs w:val="20"/>
          <w:color w:val="auto"/>
        </w:rPr>
        <w:tab/>
      </w:r>
      <w:r>
        <w:rPr>
          <w:rFonts w:ascii="Arial" w:cs="Arial" w:eastAsia="Arial" w:hAnsi="Arial"/>
          <w:sz w:val="15"/>
          <w:szCs w:val="15"/>
          <w:b w:val="1"/>
          <w:bCs w:val="1"/>
          <w:color w:val="auto"/>
        </w:rPr>
        <w:t>94063</w:t>
      </w:r>
    </w:p>
    <w:p>
      <w:pPr>
        <w:spacing w:after="0" w:line="18" w:lineRule="exact"/>
        <w:rPr>
          <w:sz w:val="24"/>
          <w:szCs w:val="24"/>
          <w:color w:val="auto"/>
        </w:rPr>
      </w:pPr>
    </w:p>
    <w:p>
      <w:pPr>
        <w:ind w:left="1740"/>
        <w:spacing w:after="0"/>
        <w:tabs>
          <w:tab w:leader="none" w:pos="8160" w:val="left"/>
        </w:tabs>
        <w:rPr>
          <w:sz w:val="20"/>
          <w:szCs w:val="20"/>
          <w:color w:val="auto"/>
        </w:rPr>
      </w:pPr>
      <w:r>
        <w:rPr>
          <w:rFonts w:ascii="Arial" w:cs="Arial" w:eastAsia="Arial" w:hAnsi="Arial"/>
          <w:sz w:val="13"/>
          <w:szCs w:val="13"/>
          <w:b w:val="1"/>
          <w:bCs w:val="1"/>
          <w:color w:val="auto"/>
        </w:rPr>
        <w:t>(Address of principal executive offices)</w:t>
      </w:r>
      <w:r>
        <w:rPr>
          <w:sz w:val="20"/>
          <w:szCs w:val="20"/>
          <w:color w:val="auto"/>
        </w:rPr>
        <w:tab/>
      </w:r>
      <w:r>
        <w:rPr>
          <w:rFonts w:ascii="Arial" w:cs="Arial" w:eastAsia="Arial" w:hAnsi="Arial"/>
          <w:sz w:val="12"/>
          <w:szCs w:val="12"/>
          <w:b w:val="1"/>
          <w:bCs w:val="1"/>
          <w:color w:val="auto"/>
        </w:rPr>
        <w:t>(Zip Code)</w:t>
      </w:r>
    </w:p>
    <w:p>
      <w:pPr>
        <w:spacing w:after="0" w:line="39" w:lineRule="exact"/>
        <w:rPr>
          <w:sz w:val="24"/>
          <w:szCs w:val="24"/>
          <w:color w:val="auto"/>
        </w:rPr>
      </w:pPr>
    </w:p>
    <w:p>
      <w:pPr>
        <w:ind w:left="3040"/>
        <w:spacing w:after="0"/>
        <w:rPr>
          <w:sz w:val="20"/>
          <w:szCs w:val="20"/>
          <w:color w:val="auto"/>
        </w:rPr>
      </w:pPr>
      <w:r>
        <w:rPr>
          <w:rFonts w:ascii="Arial" w:cs="Arial" w:eastAsia="Arial" w:hAnsi="Arial"/>
          <w:sz w:val="18"/>
          <w:szCs w:val="18"/>
          <w:b w:val="1"/>
          <w:bCs w:val="1"/>
          <w:color w:val="auto"/>
        </w:rPr>
        <w:t>Registrant’s telephone number, including area code: (650) 481-6801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spacing w:after="0"/>
        <w:rPr>
          <w:sz w:val="20"/>
          <w:szCs w:val="20"/>
          <w:color w:val="auto"/>
        </w:rPr>
      </w:pPr>
      <w:r>
        <w:rPr>
          <w:rFonts w:ascii="Arial" w:cs="Arial" w:eastAsia="Arial" w:hAnsi="Arial"/>
          <w:sz w:val="15"/>
          <w:szCs w:val="15"/>
          <w:color w:val="auto"/>
        </w:rPr>
        <w:t>Securities registered pursuant to Section 12(b) of the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20" w:type="dxa"/>
            <w:vAlign w:val="bottom"/>
          </w:tcPr>
          <w:p>
            <w:pPr>
              <w:spacing w:after="0"/>
              <w:rPr>
                <w:sz w:val="14"/>
                <w:szCs w:val="14"/>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120" w:type="dxa"/>
            <w:vAlign w:val="bottom"/>
          </w:tcPr>
          <w:p>
            <w:pPr>
              <w:spacing w:after="0"/>
              <w:rPr>
                <w:sz w:val="14"/>
                <w:szCs w:val="14"/>
                <w:color w:val="auto"/>
              </w:rPr>
            </w:pPr>
          </w:p>
        </w:tc>
        <w:tc>
          <w:tcPr>
            <w:tcW w:w="42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85"/>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120" w:type="dxa"/>
            <w:vAlign w:val="bottom"/>
          </w:tcPr>
          <w:p>
            <w:pPr>
              <w:spacing w:after="0"/>
              <w:rPr>
                <w:sz w:val="16"/>
                <w:szCs w:val="16"/>
                <w:color w:val="auto"/>
              </w:rPr>
            </w:pPr>
          </w:p>
        </w:tc>
        <w:tc>
          <w:tcPr>
            <w:tcW w:w="4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400" w:type="dxa"/>
            <w:vAlign w:val="bottom"/>
          </w:tcPr>
          <w:p>
            <w:pPr>
              <w:jc w:val="center"/>
              <w:spacing w:after="0" w:line="156" w:lineRule="exact"/>
              <w:rPr>
                <w:sz w:val="20"/>
                <w:szCs w:val="20"/>
                <w:color w:val="auto"/>
              </w:rPr>
            </w:pPr>
            <w:r>
              <w:rPr>
                <w:rFonts w:ascii="Arial" w:cs="Arial" w:eastAsia="Arial" w:hAnsi="Arial"/>
                <w:sz w:val="15"/>
                <w:szCs w:val="15"/>
                <w:color w:val="auto"/>
                <w:w w:val="91"/>
              </w:rPr>
              <w:t>Common Stock $0.0001 Par Value per Share</w:t>
            </w:r>
          </w:p>
        </w:tc>
        <w:tc>
          <w:tcPr>
            <w:tcW w:w="1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60" w:type="dxa"/>
            <w:vAlign w:val="bottom"/>
          </w:tcPr>
          <w:p>
            <w:pPr>
              <w:jc w:val="center"/>
              <w:spacing w:after="0" w:line="156" w:lineRule="exact"/>
              <w:rPr>
                <w:sz w:val="20"/>
                <w:szCs w:val="20"/>
                <w:color w:val="auto"/>
              </w:rPr>
            </w:pPr>
            <w:r>
              <w:rPr>
                <w:rFonts w:ascii="Arial" w:cs="Arial" w:eastAsia="Arial" w:hAnsi="Arial"/>
                <w:sz w:val="15"/>
                <w:szCs w:val="15"/>
                <w:color w:val="auto"/>
                <w:w w:val="94"/>
              </w:rPr>
              <w:t>The Nasdaq Stock Market LLC</w:t>
            </w:r>
          </w:p>
        </w:tc>
        <w:tc>
          <w:tcPr>
            <w:tcW w:w="0" w:type="dxa"/>
            <w:vAlign w:val="bottom"/>
          </w:tcPr>
          <w:p>
            <w:pPr>
              <w:spacing w:after="0"/>
              <w:rPr>
                <w:sz w:val="1"/>
                <w:szCs w:val="1"/>
                <w:color w:val="auto"/>
              </w:rPr>
            </w:pPr>
          </w:p>
        </w:tc>
      </w:tr>
      <w:tr>
        <w:trPr>
          <w:trHeight w:val="194"/>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tcPr>
          <w:p>
            <w:pPr>
              <w:jc w:val="center"/>
              <w:spacing w:after="0"/>
              <w:rPr>
                <w:sz w:val="20"/>
                <w:szCs w:val="20"/>
                <w:color w:val="auto"/>
              </w:rPr>
            </w:pPr>
            <w:r>
              <w:rPr>
                <w:rFonts w:ascii="Arial" w:cs="Arial" w:eastAsia="Arial" w:hAnsi="Arial"/>
                <w:sz w:val="15"/>
                <w:szCs w:val="15"/>
                <w:color w:val="auto"/>
              </w:rPr>
              <w:t>RVMD</w:t>
            </w:r>
          </w:p>
        </w:tc>
        <w:tc>
          <w:tcPr>
            <w:tcW w:w="120" w:type="dxa"/>
            <w:vAlign w:val="bottom"/>
          </w:tcPr>
          <w:p>
            <w:pPr>
              <w:spacing w:after="0"/>
              <w:rPr>
                <w:sz w:val="16"/>
                <w:szCs w:val="16"/>
                <w:color w:val="auto"/>
              </w:rPr>
            </w:pPr>
          </w:p>
        </w:tc>
        <w:tc>
          <w:tcPr>
            <w:tcW w:w="4260" w:type="dxa"/>
            <w:vAlign w:val="bottom"/>
          </w:tcPr>
          <w:p>
            <w:pPr>
              <w:jc w:val="center"/>
              <w:spacing w:after="0"/>
              <w:rPr>
                <w:sz w:val="20"/>
                <w:szCs w:val="20"/>
                <w:color w:val="auto"/>
              </w:rPr>
            </w:pPr>
            <w:r>
              <w:rPr>
                <w:rFonts w:ascii="Arial" w:cs="Arial" w:eastAsia="Arial" w:hAnsi="Arial"/>
                <w:sz w:val="15"/>
                <w:szCs w:val="15"/>
                <w:color w:val="auto"/>
                <w:w w:val="92"/>
              </w:rPr>
              <w:t>(Nasdaq Global Select Market)</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5"/>
                <w:szCs w:val="15"/>
                <w:color w:val="auto"/>
              </w:rPr>
              <w:t>Securities registered pursuant to Section 12(g) of the Act: None</w:t>
            </w: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right="3160"/>
        <w:spacing w:after="0" w:line="224"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Indicate by check mark if the Registrant is not required to file reports pursuant to Section 13 or 15(d) of the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No </w:t>
      </w:r>
      <w:r>
        <w:rPr>
          <w:rFonts w:ascii="Arial Unicode MS" w:cs="Arial Unicode MS" w:eastAsia="Arial Unicode MS" w:hAnsi="Arial Unicode MS"/>
          <w:sz w:val="14"/>
          <w:szCs w:val="14"/>
          <w:color w:val="auto"/>
        </w:rPr>
        <w:t>☒</w:t>
      </w:r>
    </w:p>
    <w:p>
      <w:pPr>
        <w:spacing w:after="0" w:line="1" w:lineRule="exact"/>
        <w:rPr>
          <w:sz w:val="24"/>
          <w:szCs w:val="24"/>
          <w:color w:val="auto"/>
        </w:rPr>
      </w:pPr>
    </w:p>
    <w:p>
      <w:pPr>
        <w:ind w:right="340"/>
        <w:spacing w:after="0" w:line="189"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6" w:lineRule="exact"/>
        <w:rPr>
          <w:sz w:val="24"/>
          <w:szCs w:val="24"/>
          <w:color w:val="auto"/>
        </w:rPr>
      </w:pPr>
    </w:p>
    <w:p>
      <w:pPr>
        <w:ind w:right="140"/>
        <w:spacing w:after="0" w:line="19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 </w:t>
      </w:r>
      <w:r>
        <w:rPr>
          <w:rFonts w:ascii="Arial Unicode MS" w:cs="Arial Unicode MS" w:eastAsia="Arial Unicode MS" w:hAnsi="Arial Unicode MS"/>
          <w:sz w:val="15"/>
          <w:szCs w:val="15"/>
          <w:color w:val="auto"/>
        </w:rPr>
        <w:t>☐</w:t>
      </w:r>
    </w:p>
    <w:p>
      <w:pPr>
        <w:spacing w:after="0" w:line="7" w:lineRule="exact"/>
        <w:rPr>
          <w:sz w:val="24"/>
          <w:szCs w:val="24"/>
          <w:color w:val="auto"/>
        </w:rPr>
      </w:pPr>
    </w:p>
    <w:p>
      <w:pPr>
        <w:ind w:right="40"/>
        <w:spacing w:after="0" w:line="26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0"/>
        </w:trPr>
        <w:tc>
          <w:tcPr>
            <w:tcW w:w="18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720" w:type="dxa"/>
            <w:vAlign w:val="bottom"/>
          </w:tcPr>
          <w:p>
            <w:pPr>
              <w:ind w:left="46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5140" w:type="dxa"/>
            <w:vAlign w:val="bottom"/>
          </w:tcPr>
          <w:p>
            <w:pPr>
              <w:ind w:left="3100"/>
              <w:spacing w:after="0"/>
              <w:rPr>
                <w:sz w:val="20"/>
                <w:szCs w:val="20"/>
                <w:color w:val="auto"/>
              </w:rPr>
            </w:pPr>
            <w:r>
              <w:rPr>
                <w:rFonts w:ascii="Arial" w:cs="Arial" w:eastAsia="Arial" w:hAnsi="Arial"/>
                <w:sz w:val="15"/>
                <w:szCs w:val="15"/>
                <w:color w:val="auto"/>
              </w:rPr>
              <w:t>Accelerated filer</w:t>
            </w:r>
          </w:p>
        </w:tc>
        <w:tc>
          <w:tcPr>
            <w:tcW w:w="480" w:type="dxa"/>
            <w:vAlign w:val="bottom"/>
          </w:tcPr>
          <w:p>
            <w:pPr>
              <w:ind w:left="360"/>
              <w:spacing w:after="0" w:line="201" w:lineRule="exact"/>
              <w:rPr>
                <w:sz w:val="20"/>
                <w:szCs w:val="20"/>
                <w:color w:val="auto"/>
              </w:rPr>
            </w:pPr>
            <w:r>
              <w:rPr>
                <w:rFonts w:ascii="Arial Unicode MS" w:cs="Arial Unicode MS" w:eastAsia="Arial Unicode MS" w:hAnsi="Arial Unicode MS"/>
                <w:sz w:val="15"/>
                <w:szCs w:val="15"/>
                <w:color w:val="auto"/>
                <w:w w:val="90"/>
              </w:rPr>
              <w:t>☐</w:t>
            </w:r>
          </w:p>
        </w:tc>
      </w:tr>
      <w:tr>
        <w:trPr>
          <w:trHeight w:val="418"/>
        </w:trPr>
        <w:tc>
          <w:tcPr>
            <w:tcW w:w="1820" w:type="dxa"/>
            <w:vAlign w:val="bottom"/>
          </w:tcPr>
          <w:p>
            <w:pPr>
              <w:spacing w:after="0"/>
              <w:rPr>
                <w:sz w:val="20"/>
                <w:szCs w:val="20"/>
                <w:color w:val="auto"/>
              </w:rPr>
            </w:pPr>
            <w:r>
              <w:rPr>
                <w:rFonts w:ascii="Arial" w:cs="Arial" w:eastAsia="Arial" w:hAnsi="Arial"/>
                <w:sz w:val="15"/>
                <w:szCs w:val="15"/>
                <w:color w:val="auto"/>
              </w:rPr>
              <w:t>Non-accelerated filer</w:t>
            </w:r>
          </w:p>
        </w:tc>
        <w:tc>
          <w:tcPr>
            <w:tcW w:w="3720" w:type="dxa"/>
            <w:vAlign w:val="bottom"/>
          </w:tcPr>
          <w:p>
            <w:pPr>
              <w:ind w:left="46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5140" w:type="dxa"/>
            <w:vAlign w:val="bottom"/>
          </w:tcPr>
          <w:p>
            <w:pPr>
              <w:ind w:left="3100"/>
              <w:spacing w:after="0"/>
              <w:rPr>
                <w:sz w:val="20"/>
                <w:szCs w:val="20"/>
                <w:color w:val="auto"/>
              </w:rPr>
            </w:pPr>
            <w:r>
              <w:rPr>
                <w:rFonts w:ascii="Arial" w:cs="Arial" w:eastAsia="Arial" w:hAnsi="Arial"/>
                <w:sz w:val="15"/>
                <w:szCs w:val="15"/>
                <w:color w:val="auto"/>
              </w:rPr>
              <w:t>Smaller reporting company</w:t>
            </w:r>
          </w:p>
        </w:tc>
        <w:tc>
          <w:tcPr>
            <w:tcW w:w="480" w:type="dxa"/>
            <w:vAlign w:val="bottom"/>
          </w:tcPr>
          <w:p>
            <w:pPr>
              <w:ind w:left="360"/>
              <w:spacing w:after="0" w:line="201" w:lineRule="exact"/>
              <w:rPr>
                <w:sz w:val="20"/>
                <w:szCs w:val="20"/>
                <w:color w:val="auto"/>
              </w:rPr>
            </w:pPr>
            <w:r>
              <w:rPr>
                <w:rFonts w:ascii="Arial Unicode MS" w:cs="Arial Unicode MS" w:eastAsia="Arial Unicode MS" w:hAnsi="Arial Unicode MS"/>
                <w:sz w:val="15"/>
                <w:szCs w:val="15"/>
                <w:color w:val="auto"/>
                <w:w w:val="90"/>
              </w:rPr>
              <w:t>☐</w:t>
            </w:r>
          </w:p>
        </w:tc>
      </w:tr>
      <w:tr>
        <w:trPr>
          <w:trHeight w:val="418"/>
        </w:trPr>
        <w:tc>
          <w:tcPr>
            <w:tcW w:w="18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140" w:type="dxa"/>
            <w:vAlign w:val="bottom"/>
          </w:tcPr>
          <w:p>
            <w:pPr>
              <w:ind w:left="3100"/>
              <w:spacing w:after="0"/>
              <w:rPr>
                <w:sz w:val="20"/>
                <w:szCs w:val="20"/>
                <w:color w:val="auto"/>
              </w:rPr>
            </w:pPr>
            <w:r>
              <w:rPr>
                <w:rFonts w:ascii="Arial" w:cs="Arial" w:eastAsia="Arial" w:hAnsi="Arial"/>
                <w:sz w:val="15"/>
                <w:szCs w:val="15"/>
                <w:color w:val="auto"/>
              </w:rPr>
              <w:t>Emerging growth company</w:t>
            </w:r>
          </w:p>
        </w:tc>
        <w:tc>
          <w:tcPr>
            <w:tcW w:w="480" w:type="dxa"/>
            <w:vAlign w:val="bottom"/>
          </w:tcPr>
          <w:p>
            <w:pPr>
              <w:ind w:left="360"/>
              <w:spacing w:after="0" w:line="201" w:lineRule="exact"/>
              <w:rPr>
                <w:sz w:val="20"/>
                <w:szCs w:val="20"/>
                <w:color w:val="auto"/>
              </w:rPr>
            </w:pPr>
            <w:r>
              <w:rPr>
                <w:rFonts w:ascii="Arial Unicode MS" w:cs="Arial Unicode MS" w:eastAsia="Arial Unicode MS" w:hAnsi="Arial Unicode MS"/>
                <w:sz w:val="15"/>
                <w:szCs w:val="15"/>
                <w:color w:val="auto"/>
                <w:w w:val="90"/>
              </w:rPr>
              <w:t>☐</w:t>
            </w:r>
          </w:p>
        </w:tc>
      </w:tr>
    </w:tbl>
    <w:p>
      <w:pPr>
        <w:spacing w:after="0" w:line="19" w:lineRule="exact"/>
        <w:rPr>
          <w:sz w:val="24"/>
          <w:szCs w:val="24"/>
          <w:color w:val="auto"/>
        </w:rPr>
      </w:pPr>
    </w:p>
    <w:p>
      <w:pPr>
        <w:ind w:right="560"/>
        <w:spacing w:after="0" w:line="193"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5"/>
          <w:szCs w:val="15"/>
          <w:color w:val="auto"/>
        </w:rPr>
        <w:t>☐</w:t>
      </w:r>
    </w:p>
    <w:p>
      <w:pPr>
        <w:spacing w:after="0" w:line="1" w:lineRule="exact"/>
        <w:rPr>
          <w:sz w:val="24"/>
          <w:szCs w:val="24"/>
          <w:color w:val="auto"/>
        </w:rPr>
      </w:pPr>
    </w:p>
    <w:p>
      <w:pPr>
        <w:ind w:right="180"/>
        <w:spacing w:after="0" w:line="189"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4"/>
          <w:szCs w:val="14"/>
          <w:color w:val="auto"/>
        </w:rPr>
        <w:t>☒</w:t>
      </w:r>
    </w:p>
    <w:p>
      <w:pPr>
        <w:spacing w:after="0" w:line="6" w:lineRule="exact"/>
        <w:rPr>
          <w:sz w:val="24"/>
          <w:szCs w:val="24"/>
          <w:color w:val="auto"/>
        </w:rPr>
      </w:pPr>
    </w:p>
    <w:p>
      <w:pPr>
        <w:ind w:right="40"/>
        <w:spacing w:after="0" w:line="193"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5"/>
          <w:szCs w:val="15"/>
          <w:color w:val="auto"/>
        </w:rPr>
        <w:t>☐</w:t>
      </w:r>
    </w:p>
    <w:p>
      <w:pPr>
        <w:spacing w:after="0" w:line="7" w:lineRule="exact"/>
        <w:rPr>
          <w:sz w:val="24"/>
          <w:szCs w:val="24"/>
          <w:color w:val="auto"/>
        </w:rPr>
      </w:pPr>
    </w:p>
    <w:p>
      <w:pPr>
        <w:ind w:right="160"/>
        <w:spacing w:after="0" w:line="193" w:lineRule="exact"/>
        <w:rPr>
          <w:sz w:val="20"/>
          <w:szCs w:val="20"/>
          <w:color w:val="auto"/>
        </w:rPr>
      </w:pPr>
      <w:r>
        <w:rPr>
          <w:rFonts w:ascii="Arial" w:cs="Arial" w:eastAsia="Arial" w:hAnsi="Arial"/>
          <w:sz w:val="15"/>
          <w:szCs w:val="15"/>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5"/>
          <w:szCs w:val="15"/>
          <w:color w:val="auto"/>
        </w:rPr>
        <w:t>ﬃ</w:t>
      </w:r>
      <w:r>
        <w:rPr>
          <w:rFonts w:ascii="Arial" w:cs="Arial" w:eastAsia="Arial" w:hAnsi="Arial"/>
          <w:sz w:val="15"/>
          <w:szCs w:val="15"/>
          <w:color w:val="auto"/>
        </w:rPr>
        <w:t xml:space="preserve">cers during the relevant recovery period pursuant to §240.10D-1(b). </w:t>
      </w:r>
      <w:r>
        <w:rPr>
          <w:rFonts w:ascii="Arial Unicode MS" w:cs="Arial Unicode MS" w:eastAsia="Arial Unicode MS" w:hAnsi="Arial Unicode MS"/>
          <w:sz w:val="15"/>
          <w:szCs w:val="15"/>
          <w:color w:val="auto"/>
        </w:rPr>
        <w:t>☐</w:t>
      </w:r>
    </w:p>
    <w:p>
      <w:pPr>
        <w:spacing w:after="0" w:line="1"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No </w:t>
      </w:r>
      <w:r>
        <w:rPr>
          <w:rFonts w:ascii="Arial Unicode MS" w:cs="Arial Unicode MS" w:eastAsia="Arial Unicode MS" w:hAnsi="Arial Unicode MS"/>
          <w:sz w:val="15"/>
          <w:szCs w:val="15"/>
          <w:color w:val="auto"/>
        </w:rPr>
        <w:t>☒</w:t>
      </w:r>
    </w:p>
    <w:p>
      <w:pPr>
        <w:spacing w:after="0" w:line="21" w:lineRule="exact"/>
        <w:rPr>
          <w:sz w:val="24"/>
          <w:szCs w:val="24"/>
          <w:color w:val="auto"/>
        </w:rPr>
      </w:pPr>
    </w:p>
    <w:p>
      <w:pPr>
        <w:ind w:right="80"/>
        <w:spacing w:after="0"/>
        <w:rPr>
          <w:sz w:val="20"/>
          <w:szCs w:val="20"/>
          <w:color w:val="auto"/>
        </w:rPr>
      </w:pPr>
      <w:r>
        <w:rPr>
          <w:rFonts w:ascii="Arial" w:cs="Arial" w:eastAsia="Arial" w:hAnsi="Arial"/>
          <w:sz w:val="15"/>
          <w:szCs w:val="15"/>
          <w:color w:val="auto"/>
        </w:rPr>
        <w:t>The aggregate market value of the common stock held by non-affiliates of the Registrant as of June 30, 2022 (the last business day of the Registrant’s most recently completed second fiscal quarter) was approximately $1,231 million, based on the closing price of the Registrant’s common stock, as reported by the Nasdaq Global Select Market on June 30, 2022 of $19.49 per share.</w:t>
      </w:r>
    </w:p>
    <w:p>
      <w:pPr>
        <w:spacing w:after="0" w:line="9"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of the Registrant’s Common Stock outstanding on the Nasdaq Global Select Market as of February 23, 2023 was 90,491,696.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type w:val="continuous"/>
        </w:sectPr>
      </w:pPr>
    </w:p>
    <w:bookmarkStart w:id="1" w:name="page2"/>
    <w:bookmarkEnd w:id="1"/>
    <w:p>
      <w:pPr>
        <w:jc w:val="center"/>
        <w:ind w:right="-59"/>
        <w:spacing w:after="0"/>
        <w:rPr>
          <w:sz w:val="20"/>
          <w:szCs w:val="20"/>
          <w:color w:val="auto"/>
        </w:rPr>
      </w:pPr>
      <w:r>
        <w:rPr>
          <w:rFonts w:ascii="Arial" w:cs="Arial" w:eastAsia="Arial" w:hAnsi="Arial"/>
          <w:sz w:val="15"/>
          <w:szCs w:val="15"/>
          <w:color w:val="auto"/>
        </w:rPr>
        <w:t>DOCUMENTS INCORPORATED BY REFERENCE</w:t>
      </w:r>
    </w:p>
    <w:p>
      <w:pPr>
        <w:spacing w:after="0" w:line="31" w:lineRule="exact"/>
        <w:rPr>
          <w:sz w:val="20"/>
          <w:szCs w:val="20"/>
          <w:color w:val="auto"/>
        </w:rPr>
      </w:pPr>
    </w:p>
    <w:p>
      <w:pPr>
        <w:jc w:val="both"/>
        <w:spacing w:after="0"/>
        <w:rPr>
          <w:sz w:val="20"/>
          <w:szCs w:val="20"/>
          <w:color w:val="auto"/>
        </w:rPr>
      </w:pPr>
      <w:r>
        <w:rPr>
          <w:rFonts w:ascii="Arial" w:cs="Arial" w:eastAsia="Arial" w:hAnsi="Arial"/>
          <w:sz w:val="15"/>
          <w:szCs w:val="15"/>
          <w:color w:val="auto"/>
        </w:rPr>
        <w:t>Portions of the Registrant’s definitive Proxy Statement relating to the Registrant’s 2023 Annual Meeting of Stockholders are incorporated herein by reference in Part III of this Annual Report on Form 10-K to the extent stated herein. The proxy statement will be filed with the Securities and Exchange Commission within 120 days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490220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80" w:type="dxa"/>
            <w:vAlign w:val="bottom"/>
            <w:gridSpan w:val="9"/>
          </w:tcPr>
          <w:p>
            <w:pPr>
              <w:ind w:left="420"/>
              <w:spacing w:after="0"/>
              <w:rPr>
                <w:sz w:val="20"/>
                <w:szCs w:val="20"/>
                <w:color w:val="auto"/>
              </w:rPr>
            </w:pPr>
            <w:r>
              <w:rPr>
                <w:rFonts w:ascii="Arial" w:cs="Arial" w:eastAsia="Arial" w:hAnsi="Arial"/>
                <w:sz w:val="18"/>
                <w:szCs w:val="18"/>
                <w:b w:val="1"/>
                <w:bCs w:val="1"/>
                <w:color w:val="auto"/>
              </w:rPr>
              <w:t>Table of Contents</w:t>
            </w:r>
          </w:p>
        </w:tc>
        <w:tc>
          <w:tcPr>
            <w:tcW w:w="540" w:type="dxa"/>
            <w:vAlign w:val="bottom"/>
          </w:tcPr>
          <w:p>
            <w:pPr>
              <w:spacing w:after="0"/>
              <w:rPr>
                <w:sz w:val="20"/>
                <w:szCs w:val="20"/>
                <w:color w:val="auto"/>
              </w:rPr>
            </w:pPr>
          </w:p>
        </w:tc>
      </w:tr>
      <w:tr>
        <w:trPr>
          <w:trHeight w:val="391"/>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Page</w:t>
            </w:r>
          </w:p>
        </w:tc>
      </w:tr>
      <w:tr>
        <w:trPr>
          <w:trHeight w:val="183"/>
        </w:trPr>
        <w:tc>
          <w:tcPr>
            <w:tcW w:w="1140" w:type="dxa"/>
            <w:vAlign w:val="bottom"/>
            <w:gridSpan w:val="6"/>
          </w:tcPr>
          <w:p>
            <w:pPr>
              <w:spacing w:after="0" w:line="182" w:lineRule="exact"/>
              <w:rPr>
                <w:sz w:val="20"/>
                <w:szCs w:val="20"/>
                <w:color w:val="auto"/>
              </w:rPr>
            </w:pPr>
            <w:r>
              <w:rPr>
                <w:rFonts w:ascii="Arial" w:cs="Arial" w:eastAsia="Arial" w:hAnsi="Arial"/>
                <w:sz w:val="18"/>
                <w:szCs w:val="18"/>
                <w:b w:val="1"/>
                <w:bCs w:val="1"/>
                <w:color w:val="0000FF"/>
              </w:rPr>
              <w:t>PART I</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540" w:type="dxa"/>
            <w:vAlign w:val="bottom"/>
          </w:tcPr>
          <w:p>
            <w:pPr>
              <w:jc w:val="right"/>
              <w:spacing w:after="0" w:line="182" w:lineRule="exact"/>
              <w:rPr>
                <w:sz w:val="20"/>
                <w:szCs w:val="20"/>
                <w:color w:val="auto"/>
              </w:rPr>
            </w:pPr>
            <w:r>
              <w:rPr>
                <w:rFonts w:ascii="Arial" w:cs="Arial" w:eastAsia="Arial" w:hAnsi="Arial"/>
                <w:sz w:val="18"/>
                <w:szCs w:val="18"/>
                <w:i w:val="1"/>
                <w:iCs w:val="1"/>
                <w:color w:val="auto"/>
              </w:rPr>
              <w:t>4</w:t>
            </w:r>
          </w:p>
        </w:tc>
      </w:tr>
      <w:tr>
        <w:trPr>
          <w:trHeight w:val="20"/>
        </w:trPr>
        <w:tc>
          <w:tcPr>
            <w:tcW w:w="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140" w:type="dxa"/>
            <w:vAlign w:val="bottom"/>
            <w:gridSpan w:val="6"/>
          </w:tcPr>
          <w:p>
            <w:pPr>
              <w:ind w:left="120"/>
              <w:spacing w:after="0"/>
              <w:rPr>
                <w:sz w:val="20"/>
                <w:szCs w:val="20"/>
                <w:color w:val="auto"/>
              </w:rPr>
            </w:pPr>
            <w:r>
              <w:rPr>
                <w:rFonts w:ascii="Arial" w:cs="Arial" w:eastAsia="Arial" w:hAnsi="Arial"/>
                <w:sz w:val="18"/>
                <w:szCs w:val="18"/>
                <w:color w:val="auto"/>
              </w:rPr>
              <w:t>Item 1.</w:t>
            </w:r>
          </w:p>
        </w:tc>
        <w:tc>
          <w:tcPr>
            <w:tcW w:w="9540" w:type="dxa"/>
            <w:vAlign w:val="bottom"/>
            <w:gridSpan w:val="24"/>
          </w:tcPr>
          <w:p>
            <w:pPr>
              <w:spacing w:after="0"/>
              <w:rPr>
                <w:sz w:val="20"/>
                <w:szCs w:val="20"/>
                <w:color w:val="auto"/>
              </w:rPr>
            </w:pPr>
            <w:r>
              <w:rPr>
                <w:rFonts w:ascii="Arial" w:cs="Arial" w:eastAsia="Arial" w:hAnsi="Arial"/>
                <w:sz w:val="18"/>
                <w:szCs w:val="18"/>
                <w:color w:val="0000FF"/>
              </w:rPr>
              <w:t>Business</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140" w:type="dxa"/>
            <w:vAlign w:val="bottom"/>
            <w:gridSpan w:val="6"/>
          </w:tcPr>
          <w:p>
            <w:pPr>
              <w:ind w:left="120"/>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9"/>
              </w:rPr>
              <w:t>Risk Factors</w:t>
            </w:r>
          </w:p>
        </w:tc>
        <w:tc>
          <w:tcPr>
            <w:tcW w:w="20" w:type="dxa"/>
            <w:vAlign w:val="bottom"/>
            <w:tcBorders>
              <w:bottom w:val="single" w:sz="8" w:color="0000EE"/>
            </w:tcBorders>
          </w:tcPr>
          <w:p>
            <w:pPr>
              <w:spacing w:after="0"/>
              <w:rPr>
                <w:sz w:val="19"/>
                <w:szCs w:val="19"/>
                <w:color w:val="auto"/>
              </w:rPr>
            </w:pPr>
          </w:p>
        </w:tc>
        <w:tc>
          <w:tcPr>
            <w:tcW w:w="8600" w:type="dxa"/>
            <w:vAlign w:val="bottom"/>
            <w:gridSpan w:val="19"/>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1140" w:type="dxa"/>
            <w:vAlign w:val="bottom"/>
            <w:gridSpan w:val="6"/>
          </w:tcPr>
          <w:p>
            <w:pPr>
              <w:ind w:left="120"/>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0"/>
              </w:rPr>
              <w:t>Unresolved Staff Comments</w:t>
            </w:r>
          </w:p>
        </w:tc>
        <w:tc>
          <w:tcPr>
            <w:tcW w:w="7480" w:type="dxa"/>
            <w:vAlign w:val="bottom"/>
            <w:gridSpan w:val="13"/>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1140" w:type="dxa"/>
            <w:vAlign w:val="bottom"/>
            <w:gridSpan w:val="6"/>
          </w:tcPr>
          <w:p>
            <w:pPr>
              <w:ind w:left="120"/>
              <w:spacing w:after="0"/>
              <w:rPr>
                <w:sz w:val="20"/>
                <w:szCs w:val="20"/>
                <w:color w:val="auto"/>
              </w:rPr>
            </w:pPr>
            <w:r>
              <w:rPr>
                <w:rFonts w:ascii="Arial" w:cs="Arial" w:eastAsia="Arial" w:hAnsi="Arial"/>
                <w:sz w:val="18"/>
                <w:szCs w:val="18"/>
                <w:color w:val="auto"/>
              </w:rPr>
              <w:t>Item 2.</w:t>
            </w:r>
          </w:p>
        </w:tc>
        <w:tc>
          <w:tcPr>
            <w:tcW w:w="7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87"/>
              </w:rPr>
              <w:t>Properties</w:t>
            </w:r>
          </w:p>
        </w:tc>
        <w:tc>
          <w:tcPr>
            <w:tcW w:w="8780" w:type="dxa"/>
            <w:vAlign w:val="bottom"/>
            <w:gridSpan w:val="22"/>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1140" w:type="dxa"/>
            <w:vAlign w:val="bottom"/>
            <w:gridSpan w:val="6"/>
          </w:tcPr>
          <w:p>
            <w:pPr>
              <w:ind w:left="120"/>
              <w:spacing w:after="0"/>
              <w:rPr>
                <w:sz w:val="20"/>
                <w:szCs w:val="20"/>
                <w:color w:val="auto"/>
              </w:rPr>
            </w:pPr>
            <w:r>
              <w:rPr>
                <w:rFonts w:ascii="Arial" w:cs="Arial" w:eastAsia="Arial" w:hAnsi="Arial"/>
                <w:sz w:val="18"/>
                <w:szCs w:val="18"/>
                <w:color w:val="auto"/>
              </w:rPr>
              <w:t>Item 3.</w:t>
            </w:r>
          </w:p>
        </w:tc>
        <w:tc>
          <w:tcPr>
            <w:tcW w:w="9540" w:type="dxa"/>
            <w:vAlign w:val="bottom"/>
            <w:gridSpan w:val="24"/>
          </w:tcPr>
          <w:p>
            <w:pPr>
              <w:spacing w:after="0"/>
              <w:rPr>
                <w:sz w:val="20"/>
                <w:szCs w:val="20"/>
                <w:color w:val="auto"/>
              </w:rPr>
            </w:pPr>
            <w:r>
              <w:rPr>
                <w:rFonts w:ascii="Arial" w:cs="Arial" w:eastAsia="Arial" w:hAnsi="Arial"/>
                <w:sz w:val="18"/>
                <w:szCs w:val="18"/>
                <w:color w:val="0000FF"/>
              </w:rPr>
              <w:t>Legal Proceedings</w:t>
            </w:r>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140" w:type="dxa"/>
            <w:vAlign w:val="bottom"/>
            <w:gridSpan w:val="6"/>
          </w:tcPr>
          <w:p>
            <w:pPr>
              <w:ind w:left="120"/>
              <w:spacing w:after="0"/>
              <w:rPr>
                <w:sz w:val="20"/>
                <w:szCs w:val="20"/>
                <w:color w:val="auto"/>
              </w:rPr>
            </w:pPr>
            <w:r>
              <w:rPr>
                <w:rFonts w:ascii="Arial" w:cs="Arial" w:eastAsia="Arial" w:hAnsi="Arial"/>
                <w:sz w:val="18"/>
                <w:szCs w:val="18"/>
                <w:color w:val="auto"/>
              </w:rPr>
              <w:t>Item 4.</w:t>
            </w:r>
          </w:p>
        </w:tc>
        <w:tc>
          <w:tcPr>
            <w:tcW w:w="9540" w:type="dxa"/>
            <w:vAlign w:val="bottom"/>
            <w:gridSpan w:val="24"/>
          </w:tcPr>
          <w:p>
            <w:pPr>
              <w:spacing w:after="0"/>
              <w:rPr>
                <w:sz w:val="20"/>
                <w:szCs w:val="20"/>
                <w:color w:val="auto"/>
              </w:rPr>
            </w:pPr>
            <w:r>
              <w:rPr>
                <w:rFonts w:ascii="Arial" w:cs="Arial" w:eastAsia="Arial" w:hAnsi="Arial"/>
                <w:sz w:val="18"/>
                <w:szCs w:val="18"/>
                <w:color w:val="0000FF"/>
              </w:rPr>
              <w:t>Mine Safety Disclosures</w:t>
            </w:r>
          </w:p>
        </w:tc>
        <w:tc>
          <w:tcPr>
            <w:tcW w:w="5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466"/>
        </w:trPr>
        <w:tc>
          <w:tcPr>
            <w:tcW w:w="66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b w:val="1"/>
                <w:bCs w:val="1"/>
                <w:color w:val="0000FF"/>
                <w:w w:val="99"/>
              </w:rPr>
              <w:t>PART II</w:t>
            </w:r>
          </w:p>
        </w:tc>
        <w:tc>
          <w:tcPr>
            <w:tcW w:w="480" w:type="dxa"/>
            <w:vAlign w:val="bottom"/>
            <w:gridSpan w:val="4"/>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1140" w:type="dxa"/>
            <w:vAlign w:val="bottom"/>
            <w:gridSpan w:val="6"/>
          </w:tcPr>
          <w:p>
            <w:pPr>
              <w:ind w:left="120"/>
              <w:spacing w:after="0"/>
              <w:rPr>
                <w:sz w:val="20"/>
                <w:szCs w:val="20"/>
                <w:color w:val="auto"/>
              </w:rPr>
            </w:pPr>
            <w:r>
              <w:rPr>
                <w:rFonts w:ascii="Arial" w:cs="Arial" w:eastAsia="Arial" w:hAnsi="Arial"/>
                <w:sz w:val="18"/>
                <w:szCs w:val="18"/>
                <w:color w:val="auto"/>
              </w:rPr>
              <w:t>Item 5.</w:t>
            </w:r>
          </w:p>
        </w:tc>
        <w:tc>
          <w:tcPr>
            <w:tcW w:w="9540" w:type="dxa"/>
            <w:vAlign w:val="bottom"/>
            <w:gridSpan w:val="24"/>
          </w:tcPr>
          <w:p>
            <w:pPr>
              <w:spacing w:after="0"/>
              <w:rPr>
                <w:sz w:val="20"/>
                <w:szCs w:val="20"/>
                <w:color w:val="auto"/>
              </w:rPr>
            </w:pPr>
            <w:r>
              <w:rPr>
                <w:rFonts w:ascii="Arial" w:cs="Arial" w:eastAsia="Arial" w:hAnsi="Arial"/>
                <w:sz w:val="18"/>
                <w:szCs w:val="18"/>
                <w:color w:val="0000FF"/>
              </w:rPr>
              <w:t>Market for Registrant’s Common Equity, Related Stockholder Matters and Issuer Purchases of Equity Securities</w:t>
            </w:r>
          </w:p>
        </w:tc>
        <w:tc>
          <w:tcPr>
            <w:tcW w:w="54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1140" w:type="dxa"/>
            <w:vAlign w:val="bottom"/>
            <w:gridSpan w:val="6"/>
          </w:tcPr>
          <w:p>
            <w:pPr>
              <w:ind w:left="120"/>
              <w:spacing w:after="0"/>
              <w:rPr>
                <w:sz w:val="20"/>
                <w:szCs w:val="20"/>
                <w:color w:val="auto"/>
              </w:rPr>
            </w:pPr>
            <w:r>
              <w:rPr>
                <w:rFonts w:ascii="Arial" w:cs="Arial" w:eastAsia="Arial" w:hAnsi="Arial"/>
                <w:sz w:val="18"/>
                <w:szCs w:val="18"/>
                <w:color w:val="auto"/>
              </w:rPr>
              <w:t>Item 6.</w:t>
            </w:r>
          </w:p>
        </w:tc>
        <w:tc>
          <w:tcPr>
            <w:tcW w:w="8080" w:type="dxa"/>
            <w:vAlign w:val="bottom"/>
            <w:tcBorders>
              <w:top w:val="single" w:sz="8" w:color="0000FF"/>
            </w:tcBorders>
            <w:gridSpan w:val="23"/>
          </w:tcPr>
          <w:p>
            <w:pPr>
              <w:spacing w:after="0"/>
              <w:rPr>
                <w:sz w:val="20"/>
                <w:szCs w:val="20"/>
                <w:color w:val="auto"/>
              </w:rPr>
            </w:pPr>
            <w:r>
              <w:rPr>
                <w:rFonts w:ascii="Arial" w:cs="Arial" w:eastAsia="Arial" w:hAnsi="Arial"/>
                <w:sz w:val="18"/>
                <w:szCs w:val="18"/>
                <w:color w:val="0000FF"/>
              </w:rPr>
              <w:t>[Reserved.]</w:t>
            </w:r>
          </w:p>
        </w:tc>
        <w:tc>
          <w:tcPr>
            <w:tcW w:w="14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140" w:type="dxa"/>
            <w:vAlign w:val="bottom"/>
            <w:gridSpan w:val="6"/>
          </w:tcPr>
          <w:p>
            <w:pPr>
              <w:ind w:left="120"/>
              <w:spacing w:after="0"/>
              <w:rPr>
                <w:sz w:val="20"/>
                <w:szCs w:val="20"/>
                <w:color w:val="auto"/>
              </w:rPr>
            </w:pPr>
            <w:r>
              <w:rPr>
                <w:rFonts w:ascii="Arial" w:cs="Arial" w:eastAsia="Arial" w:hAnsi="Arial"/>
                <w:sz w:val="18"/>
                <w:szCs w:val="18"/>
                <w:color w:val="auto"/>
              </w:rPr>
              <w:t>Item 7.</w:t>
            </w:r>
          </w:p>
        </w:tc>
        <w:tc>
          <w:tcPr>
            <w:tcW w:w="9540" w:type="dxa"/>
            <w:vAlign w:val="bottom"/>
            <w:gridSpan w:val="24"/>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23"/>
        </w:trPr>
        <w:tc>
          <w:tcPr>
            <w:tcW w:w="1140" w:type="dxa"/>
            <w:vAlign w:val="bottom"/>
            <w:gridSpan w:val="6"/>
          </w:tcPr>
          <w:p>
            <w:pPr>
              <w:ind w:left="120"/>
              <w:spacing w:after="0"/>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20"/>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3080" w:type="dxa"/>
            <w:vAlign w:val="bottom"/>
            <w:gridSpan w:val="4"/>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23"/>
        </w:trPr>
        <w:tc>
          <w:tcPr>
            <w:tcW w:w="1140" w:type="dxa"/>
            <w:vAlign w:val="bottom"/>
            <w:gridSpan w:val="6"/>
          </w:tcPr>
          <w:p>
            <w:pPr>
              <w:ind w:left="120"/>
              <w:spacing w:after="0"/>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4"/>
          </w:tcPr>
          <w:p>
            <w:pPr>
              <w:spacing w:after="0"/>
              <w:rPr>
                <w:sz w:val="20"/>
                <w:szCs w:val="20"/>
                <w:color w:val="auto"/>
              </w:rPr>
            </w:pPr>
            <w:r>
              <w:rPr>
                <w:rFonts w:ascii="Arial" w:cs="Arial" w:eastAsia="Arial" w:hAnsi="Arial"/>
                <w:sz w:val="18"/>
                <w:szCs w:val="18"/>
                <w:color w:val="0000FF"/>
                <w:w w:val="89"/>
              </w:rPr>
              <w:t>Financial Statements and Supplementary Data</w:t>
            </w:r>
          </w:p>
        </w:tc>
        <w:tc>
          <w:tcPr>
            <w:tcW w:w="20" w:type="dxa"/>
            <w:vAlign w:val="bottom"/>
            <w:tcBorders>
              <w:top w:val="single" w:sz="8" w:color="0000FF"/>
              <w:bottom w:val="single" w:sz="8" w:color="0000EE"/>
            </w:tcBorders>
          </w:tcPr>
          <w:p>
            <w:pPr>
              <w:spacing w:after="0"/>
              <w:rPr>
                <w:sz w:val="19"/>
                <w:szCs w:val="19"/>
                <w:color w:val="auto"/>
              </w:rPr>
            </w:pPr>
          </w:p>
        </w:tc>
        <w:tc>
          <w:tcPr>
            <w:tcW w:w="1000" w:type="dxa"/>
            <w:vAlign w:val="bottom"/>
            <w:tcBorders>
              <w:top w:val="single" w:sz="8" w:color="0000FF"/>
            </w:tcBorders>
            <w:gridSpan w:val="2"/>
          </w:tcPr>
          <w:p>
            <w:pPr>
              <w:spacing w:after="0"/>
              <w:rPr>
                <w:sz w:val="19"/>
                <w:szCs w:val="19"/>
                <w:color w:val="auto"/>
              </w:rPr>
            </w:pPr>
          </w:p>
        </w:tc>
        <w:tc>
          <w:tcPr>
            <w:tcW w:w="5180" w:type="dxa"/>
            <w:vAlign w:val="bottom"/>
            <w:gridSpan w:val="7"/>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1140" w:type="dxa"/>
            <w:vAlign w:val="bottom"/>
            <w:gridSpan w:val="6"/>
          </w:tcPr>
          <w:p>
            <w:pPr>
              <w:ind w:left="140"/>
              <w:spacing w:after="0"/>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3020" w:type="dxa"/>
            <w:vAlign w:val="bottom"/>
            <w:gridSpan w:val="3"/>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3"/>
        </w:trPr>
        <w:tc>
          <w:tcPr>
            <w:tcW w:w="1140" w:type="dxa"/>
            <w:vAlign w:val="bottom"/>
            <w:gridSpan w:val="6"/>
          </w:tcPr>
          <w:p>
            <w:pPr>
              <w:ind w:left="140"/>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FF"/>
            </w:tcBorders>
            <w:gridSpan w:val="8"/>
          </w:tcPr>
          <w:p>
            <w:pPr>
              <w:spacing w:after="0"/>
              <w:rPr>
                <w:sz w:val="20"/>
                <w:szCs w:val="20"/>
                <w:color w:val="auto"/>
              </w:rPr>
            </w:pPr>
            <w:r>
              <w:rPr>
                <w:rFonts w:ascii="Arial" w:cs="Arial" w:eastAsia="Arial" w:hAnsi="Arial"/>
                <w:sz w:val="18"/>
                <w:szCs w:val="18"/>
                <w:color w:val="0000FF"/>
                <w:w w:val="88"/>
              </w:rPr>
              <w:t>Controls and Procedures</w:t>
            </w:r>
          </w:p>
        </w:tc>
        <w:tc>
          <w:tcPr>
            <w:tcW w:w="7760" w:type="dxa"/>
            <w:vAlign w:val="bottom"/>
            <w:gridSpan w:val="16"/>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23"/>
        </w:trPr>
        <w:tc>
          <w:tcPr>
            <w:tcW w:w="1140" w:type="dxa"/>
            <w:vAlign w:val="bottom"/>
            <w:gridSpan w:val="6"/>
          </w:tcPr>
          <w:p>
            <w:pPr>
              <w:ind w:left="140"/>
              <w:spacing w:after="0"/>
              <w:rPr>
                <w:sz w:val="20"/>
                <w:szCs w:val="20"/>
                <w:color w:val="auto"/>
              </w:rPr>
            </w:pPr>
            <w:r>
              <w:rPr>
                <w:rFonts w:ascii="Arial" w:cs="Arial" w:eastAsia="Arial" w:hAnsi="Arial"/>
                <w:sz w:val="18"/>
                <w:szCs w:val="18"/>
                <w:color w:val="auto"/>
              </w:rPr>
              <w:t>Item 9B.</w:t>
            </w:r>
          </w:p>
        </w:tc>
        <w:tc>
          <w:tcPr>
            <w:tcW w:w="9540" w:type="dxa"/>
            <w:vAlign w:val="bottom"/>
            <w:gridSpan w:val="24"/>
          </w:tcPr>
          <w:p>
            <w:pPr>
              <w:spacing w:after="0"/>
              <w:rPr>
                <w:sz w:val="20"/>
                <w:szCs w:val="20"/>
                <w:color w:val="auto"/>
              </w:rPr>
            </w:pPr>
            <w:r>
              <w:rPr>
                <w:rFonts w:ascii="Arial" w:cs="Arial" w:eastAsia="Arial" w:hAnsi="Arial"/>
                <w:sz w:val="18"/>
                <w:szCs w:val="18"/>
                <w:color w:val="0000FF"/>
              </w:rPr>
              <w:t>Other Information</w:t>
            </w: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Borders>
              <w:right w:val="single" w:sz="8" w:color="0000FF"/>
            </w:tcBorders>
            <w:gridSpan w:val="2"/>
            <w:shd w:val="clear" w:color="auto" w:fill="0000FF"/>
          </w:tcPr>
          <w:p>
            <w:pPr>
              <w:spacing w:after="0" w:line="20" w:lineRule="exact"/>
              <w:rPr>
                <w:sz w:val="1"/>
                <w:szCs w:val="1"/>
                <w:color w:val="auto"/>
              </w:rPr>
            </w:pPr>
          </w:p>
        </w:tc>
        <w:tc>
          <w:tcPr>
            <w:tcW w:w="580" w:type="dxa"/>
            <w:vAlign w:val="bottom"/>
            <w:tcBorders>
              <w:right w:val="single" w:sz="8" w:color="0000EE"/>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223"/>
        </w:trPr>
        <w:tc>
          <w:tcPr>
            <w:tcW w:w="1140" w:type="dxa"/>
            <w:vAlign w:val="bottom"/>
            <w:gridSpan w:val="6"/>
          </w:tcPr>
          <w:p>
            <w:pPr>
              <w:ind w:left="140"/>
              <w:spacing w:after="0"/>
              <w:rPr>
                <w:sz w:val="20"/>
                <w:szCs w:val="20"/>
                <w:color w:val="auto"/>
              </w:rPr>
            </w:pPr>
            <w:r>
              <w:rPr>
                <w:rFonts w:ascii="Arial" w:cs="Arial" w:eastAsia="Arial" w:hAnsi="Arial"/>
                <w:sz w:val="18"/>
                <w:szCs w:val="18"/>
                <w:color w:val="auto"/>
              </w:rPr>
              <w:t>Item 9C.</w:t>
            </w:r>
          </w:p>
        </w:tc>
        <w:tc>
          <w:tcPr>
            <w:tcW w:w="9540" w:type="dxa"/>
            <w:vAlign w:val="bottom"/>
            <w:gridSpan w:val="24"/>
          </w:tcPr>
          <w:p>
            <w:pPr>
              <w:spacing w:after="0"/>
              <w:rPr>
                <w:sz w:val="20"/>
                <w:szCs w:val="20"/>
                <w:color w:val="auto"/>
              </w:rPr>
            </w:pPr>
            <w:r>
              <w:rPr>
                <w:rFonts w:ascii="Arial" w:cs="Arial" w:eastAsia="Arial" w:hAnsi="Arial"/>
                <w:sz w:val="18"/>
                <w:szCs w:val="18"/>
                <w:color w:val="0000FF"/>
              </w:rPr>
              <w:t>Disclosure Regarding Foreign Jurisdictions that Prevent Inspections</w:t>
            </w:r>
          </w:p>
        </w:tc>
        <w:tc>
          <w:tcPr>
            <w:tcW w:w="5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466"/>
        </w:trPr>
        <w:tc>
          <w:tcPr>
            <w:tcW w:w="7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b w:val="1"/>
                <w:bCs w:val="1"/>
                <w:color w:val="0000FF"/>
              </w:rPr>
              <w:t>PART III</w:t>
            </w:r>
          </w:p>
        </w:tc>
        <w:tc>
          <w:tcPr>
            <w:tcW w:w="20" w:type="dxa"/>
            <w:vAlign w:val="bottom"/>
            <w:tcBorders>
              <w:bottom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1140" w:type="dxa"/>
            <w:vAlign w:val="bottom"/>
            <w:gridSpan w:val="6"/>
          </w:tcPr>
          <w:p>
            <w:pPr>
              <w:ind w:left="140"/>
              <w:spacing w:after="0"/>
              <w:rPr>
                <w:sz w:val="20"/>
                <w:szCs w:val="20"/>
                <w:color w:val="auto"/>
              </w:rPr>
            </w:pPr>
            <w:r>
              <w:rPr>
                <w:rFonts w:ascii="Arial" w:cs="Arial" w:eastAsia="Arial" w:hAnsi="Arial"/>
                <w:sz w:val="18"/>
                <w:szCs w:val="18"/>
                <w:color w:val="auto"/>
              </w:rPr>
              <w:t>Item 10.</w:t>
            </w:r>
          </w:p>
        </w:tc>
        <w:tc>
          <w:tcPr>
            <w:tcW w:w="9540" w:type="dxa"/>
            <w:vAlign w:val="bottom"/>
            <w:gridSpan w:val="24"/>
          </w:tcPr>
          <w:p>
            <w:pPr>
              <w:spacing w:after="0"/>
              <w:rPr>
                <w:sz w:val="20"/>
                <w:szCs w:val="20"/>
                <w:color w:val="auto"/>
              </w:rPr>
            </w:pPr>
            <w:r>
              <w:rPr>
                <w:rFonts w:ascii="Arial" w:cs="Arial" w:eastAsia="Arial" w:hAnsi="Arial"/>
                <w:sz w:val="18"/>
                <w:szCs w:val="18"/>
                <w:color w:val="0000FF"/>
              </w:rPr>
              <w:t>Directors, Executive Officers and Corporate Governance</w:t>
            </w: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1140" w:type="dxa"/>
            <w:vAlign w:val="bottom"/>
            <w:gridSpan w:val="6"/>
          </w:tcPr>
          <w:p>
            <w:pPr>
              <w:ind w:left="140"/>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90"/>
              </w:rPr>
              <w:t>Executive Compensation</w:t>
            </w:r>
          </w:p>
        </w:tc>
        <w:tc>
          <w:tcPr>
            <w:tcW w:w="20" w:type="dxa"/>
            <w:vAlign w:val="bottom"/>
            <w:tcBorders>
              <w:top w:val="single" w:sz="8" w:color="0000FF"/>
              <w:bottom w:val="single" w:sz="8" w:color="0000EE"/>
            </w:tcBorders>
          </w:tcPr>
          <w:p>
            <w:pPr>
              <w:spacing w:after="0"/>
              <w:rPr>
                <w:sz w:val="19"/>
                <w:szCs w:val="19"/>
                <w:color w:val="auto"/>
              </w:rPr>
            </w:pPr>
          </w:p>
        </w:tc>
        <w:tc>
          <w:tcPr>
            <w:tcW w:w="2260" w:type="dxa"/>
            <w:vAlign w:val="bottom"/>
            <w:tcBorders>
              <w:top w:val="single" w:sz="8" w:color="0000FF"/>
            </w:tcBorders>
            <w:gridSpan w:val="6"/>
          </w:tcPr>
          <w:p>
            <w:pPr>
              <w:spacing w:after="0"/>
              <w:rPr>
                <w:sz w:val="19"/>
                <w:szCs w:val="19"/>
                <w:color w:val="auto"/>
              </w:rPr>
            </w:pPr>
          </w:p>
        </w:tc>
        <w:tc>
          <w:tcPr>
            <w:tcW w:w="5440" w:type="dxa"/>
            <w:vAlign w:val="bottom"/>
            <w:gridSpan w:val="8"/>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1140" w:type="dxa"/>
            <w:vAlign w:val="bottom"/>
            <w:gridSpan w:val="6"/>
          </w:tcPr>
          <w:p>
            <w:pPr>
              <w:ind w:left="140"/>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FF"/>
            </w:tcBorders>
            <w:gridSpan w:val="22"/>
          </w:tcPr>
          <w:p>
            <w:pPr>
              <w:spacing w:after="0"/>
              <w:rPr>
                <w:sz w:val="20"/>
                <w:szCs w:val="20"/>
                <w:color w:val="auto"/>
              </w:rPr>
            </w:pPr>
            <w:r>
              <w:rPr>
                <w:rFonts w:ascii="Arial" w:cs="Arial" w:eastAsia="Arial" w:hAnsi="Arial"/>
                <w:sz w:val="18"/>
                <w:szCs w:val="18"/>
                <w:color w:val="0000FF"/>
                <w:w w:val="90"/>
              </w:rPr>
              <w:t>Security Ownership of Certain Beneficial Owners and Management and Related Stockholder Matters</w:t>
            </w:r>
          </w:p>
        </w:tc>
        <w:tc>
          <w:tcPr>
            <w:tcW w:w="2240" w:type="dxa"/>
            <w:vAlign w:val="bottom"/>
            <w:gridSpan w:val="2"/>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1140" w:type="dxa"/>
            <w:vAlign w:val="bottom"/>
            <w:gridSpan w:val="6"/>
          </w:tcPr>
          <w:p>
            <w:pPr>
              <w:ind w:left="140"/>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9"/>
              </w:rPr>
              <w:t>Certain Relationships and Related Transactions, and Director Independence</w:t>
            </w:r>
          </w:p>
        </w:tc>
        <w:tc>
          <w:tcPr>
            <w:tcW w:w="4080" w:type="dxa"/>
            <w:vAlign w:val="bottom"/>
            <w:gridSpan w:val="5"/>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3"/>
        </w:trPr>
        <w:tc>
          <w:tcPr>
            <w:tcW w:w="1140" w:type="dxa"/>
            <w:vAlign w:val="bottom"/>
            <w:gridSpan w:val="6"/>
          </w:tcPr>
          <w:p>
            <w:pPr>
              <w:ind w:left="140"/>
              <w:spacing w:after="0"/>
              <w:rPr>
                <w:sz w:val="20"/>
                <w:szCs w:val="20"/>
                <w:color w:val="auto"/>
              </w:rPr>
            </w:pPr>
            <w:r>
              <w:rPr>
                <w:rFonts w:ascii="Arial" w:cs="Arial" w:eastAsia="Arial" w:hAnsi="Arial"/>
                <w:sz w:val="18"/>
                <w:szCs w:val="18"/>
                <w:color w:val="auto"/>
              </w:rPr>
              <w:t>Item 14.</w:t>
            </w:r>
          </w:p>
        </w:tc>
        <w:tc>
          <w:tcPr>
            <w:tcW w:w="9540" w:type="dxa"/>
            <w:vAlign w:val="bottom"/>
            <w:gridSpan w:val="24"/>
          </w:tcPr>
          <w:p>
            <w:pPr>
              <w:spacing w:after="0"/>
              <w:rPr>
                <w:sz w:val="20"/>
                <w:szCs w:val="20"/>
                <w:color w:val="auto"/>
              </w:rPr>
            </w:pPr>
            <w:r>
              <w:rPr>
                <w:rFonts w:ascii="Arial" w:cs="Arial" w:eastAsia="Arial" w:hAnsi="Arial"/>
                <w:sz w:val="18"/>
                <w:szCs w:val="18"/>
                <w:color w:val="0000FF"/>
              </w:rPr>
              <w:t>Principal Accounting Fees and Services</w:t>
            </w:r>
          </w:p>
        </w:tc>
        <w:tc>
          <w:tcPr>
            <w:tcW w:w="5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466"/>
        </w:trPr>
        <w:tc>
          <w:tcPr>
            <w:tcW w:w="7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b w:val="1"/>
                <w:bCs w:val="1"/>
                <w:color w:val="0000FF"/>
                <w:w w:val="98"/>
              </w:rPr>
              <w:t>PART IV</w:t>
            </w:r>
          </w:p>
        </w:tc>
        <w:tc>
          <w:tcPr>
            <w:tcW w:w="20" w:type="dxa"/>
            <w:vAlign w:val="bottom"/>
            <w:tcBorders>
              <w:bottom w:val="single" w:sz="8" w:color="0000EE"/>
            </w:tcBorders>
          </w:tcPr>
          <w:p>
            <w:pPr>
              <w:spacing w:after="0"/>
              <w:rPr>
                <w:sz w:val="24"/>
                <w:szCs w:val="24"/>
                <w:color w:val="auto"/>
              </w:rPr>
            </w:pPr>
          </w:p>
        </w:tc>
        <w:tc>
          <w:tcPr>
            <w:tcW w:w="400" w:type="dxa"/>
            <w:vAlign w:val="bottom"/>
            <w:gridSpan w:val="2"/>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3"/>
        </w:trPr>
        <w:tc>
          <w:tcPr>
            <w:tcW w:w="1140" w:type="dxa"/>
            <w:vAlign w:val="bottom"/>
            <w:gridSpan w:val="6"/>
          </w:tcPr>
          <w:p>
            <w:pPr>
              <w:ind w:left="140"/>
              <w:spacing w:after="0"/>
              <w:rPr>
                <w:sz w:val="20"/>
                <w:szCs w:val="20"/>
                <w:color w:val="auto"/>
              </w:rPr>
            </w:pPr>
            <w:r>
              <w:rPr>
                <w:rFonts w:ascii="Arial" w:cs="Arial" w:eastAsia="Arial" w:hAnsi="Arial"/>
                <w:sz w:val="18"/>
                <w:szCs w:val="18"/>
                <w:color w:val="auto"/>
              </w:rPr>
              <w:t>Item 15.</w:t>
            </w:r>
          </w:p>
        </w:tc>
        <w:tc>
          <w:tcPr>
            <w:tcW w:w="9540" w:type="dxa"/>
            <w:vAlign w:val="bottom"/>
            <w:gridSpan w:val="24"/>
          </w:tcPr>
          <w:p>
            <w:pPr>
              <w:spacing w:after="0"/>
              <w:rPr>
                <w:sz w:val="20"/>
                <w:szCs w:val="20"/>
                <w:color w:val="auto"/>
              </w:rPr>
            </w:pPr>
            <w:r>
              <w:rPr>
                <w:rFonts w:ascii="Arial" w:cs="Arial" w:eastAsia="Arial" w:hAnsi="Arial"/>
                <w:sz w:val="18"/>
                <w:szCs w:val="18"/>
                <w:color w:val="0000FF"/>
              </w:rPr>
              <w:t>Exhibits, Financial Statement Schedules</w:t>
            </w:r>
          </w:p>
        </w:tc>
        <w:tc>
          <w:tcPr>
            <w:tcW w:w="54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23"/>
        </w:trPr>
        <w:tc>
          <w:tcPr>
            <w:tcW w:w="1140" w:type="dxa"/>
            <w:vAlign w:val="bottom"/>
            <w:gridSpan w:val="6"/>
          </w:tcPr>
          <w:p>
            <w:pPr>
              <w:ind w:left="140"/>
              <w:spacing w:after="0"/>
              <w:rPr>
                <w:sz w:val="20"/>
                <w:szCs w:val="20"/>
                <w:color w:val="auto"/>
              </w:rPr>
            </w:pPr>
            <w:r>
              <w:rPr>
                <w:rFonts w:ascii="Arial" w:cs="Arial" w:eastAsia="Arial" w:hAnsi="Arial"/>
                <w:sz w:val="18"/>
                <w:szCs w:val="18"/>
                <w:color w:val="auto"/>
              </w:rPr>
              <w:t>Item 16.</w:t>
            </w:r>
          </w:p>
        </w:tc>
        <w:tc>
          <w:tcPr>
            <w:tcW w:w="156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2"/>
              </w:rPr>
              <w:t>Form 10-K Summary</w:t>
            </w:r>
          </w:p>
        </w:tc>
        <w:tc>
          <w:tcPr>
            <w:tcW w:w="1340" w:type="dxa"/>
            <w:vAlign w:val="bottom"/>
            <w:tcBorders>
              <w:top w:val="single" w:sz="8" w:color="0000FF"/>
            </w:tcBorders>
            <w:gridSpan w:val="6"/>
          </w:tcPr>
          <w:p>
            <w:pPr>
              <w:spacing w:after="0"/>
              <w:rPr>
                <w:sz w:val="19"/>
                <w:szCs w:val="19"/>
                <w:color w:val="auto"/>
              </w:rPr>
            </w:pPr>
          </w:p>
        </w:tc>
        <w:tc>
          <w:tcPr>
            <w:tcW w:w="6640" w:type="dxa"/>
            <w:vAlign w:val="bottom"/>
            <w:gridSpan w:val="11"/>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540" w:type="dxa"/>
            <w:vAlign w:val="bottom"/>
            <w:gridSpan w:val="24"/>
          </w:tcPr>
          <w:p>
            <w:pPr>
              <w:spacing w:after="0"/>
              <w:rPr>
                <w:sz w:val="20"/>
                <w:szCs w:val="20"/>
                <w:color w:val="auto"/>
              </w:rPr>
            </w:pPr>
            <w:r>
              <w:rPr>
                <w:rFonts w:ascii="Arial" w:cs="Arial" w:eastAsia="Arial" w:hAnsi="Arial"/>
                <w:sz w:val="18"/>
                <w:szCs w:val="18"/>
                <w:color w:val="0000FF"/>
              </w:rPr>
              <w:t>Signatures</w:t>
            </w:r>
          </w:p>
        </w:tc>
        <w:tc>
          <w:tcPr>
            <w:tcW w:w="5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0"/>
        </w:trPr>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79" w:lineRule="exact"/>
        <w:rPr>
          <w:sz w:val="20"/>
          <w:szCs w:val="20"/>
          <w:color w:val="auto"/>
        </w:rPr>
      </w:pPr>
    </w:p>
    <w:p>
      <w:pPr>
        <w:ind w:left="1020" w:right="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results and costs of developing our product candidates or any other future product candidates, and conducting preclinical studies and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progress, results and costs related to the research and development of our pipeline;</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and costs involved in obtaining and maintaining regulatory approval for any of current or future product candidates, and any related restrictions, limitations and/or warnings in the label of an approved product candidate;</w:t>
      </w:r>
    </w:p>
    <w:p>
      <w:pPr>
        <w:spacing w:after="0" w:line="62"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market size and size of the potential patient populations for our product candidates and any future product candidates, if approved for commercial use;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establish new collaborations, licensing or other arrangements and the financial terms of any such agreements;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expectations;</w:t>
      </w:r>
    </w:p>
    <w:p>
      <w:pPr>
        <w:spacing w:after="0" w:line="117" w:lineRule="exact"/>
        <w:rPr>
          <w:rFonts w:ascii="Arial" w:cs="Arial" w:eastAsia="Arial" w:hAnsi="Arial"/>
          <w:sz w:val="18"/>
          <w:szCs w:val="18"/>
          <w:color w:val="auto"/>
        </w:rPr>
      </w:pPr>
    </w:p>
    <w:p>
      <w:pPr>
        <w:ind w:left="1020" w:right="24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as well as the pricing and reimbursement of our product candidates, if approved;</w:t>
      </w:r>
    </w:p>
    <w:p>
      <w:pPr>
        <w:spacing w:after="0" w:line="62" w:lineRule="exact"/>
        <w:rPr>
          <w:rFonts w:ascii="Arial" w:cs="Arial" w:eastAsia="Arial" w:hAnsi="Arial"/>
          <w:sz w:val="18"/>
          <w:szCs w:val="18"/>
          <w:color w:val="auto"/>
        </w:rPr>
      </w:pPr>
    </w:p>
    <w:p>
      <w:pPr>
        <w:ind w:left="1020" w:right="4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product candidates and technology, including additional indications for which we may pursue;</w:t>
      </w:r>
    </w:p>
    <w:p>
      <w:pPr>
        <w:spacing w:after="0" w:line="62" w:lineRule="exact"/>
        <w:rPr>
          <w:rFonts w:ascii="Arial" w:cs="Arial" w:eastAsia="Arial" w:hAnsi="Arial"/>
          <w:sz w:val="18"/>
          <w:szCs w:val="18"/>
          <w:color w:val="auto"/>
        </w:rPr>
      </w:pPr>
    </w:p>
    <w:p>
      <w:pPr>
        <w:ind w:left="1020" w:right="22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 including the projected term of patent protection;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expenses, future revenue, capital requirements, our needs for additional financing and our ability to obtain additional capital;</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developments and projections relating to our competitors and our industry, including competing therapies and procedures;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and legal developments in the United States and foreign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suppliers and manufacturers;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maintain, enforce and defend our intellectual property protection for our product candidates;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spacing w:after="0" w:line="289" w:lineRule="auto"/>
        <w:rPr>
          <w:sz w:val="20"/>
          <w:szCs w:val="20"/>
          <w:color w:val="auto"/>
        </w:rPr>
      </w:pPr>
      <w:r>
        <w:rPr>
          <w:rFonts w:ascii="Arial" w:cs="Arial" w:eastAsia="Arial" w:hAnsi="Arial"/>
          <w:sz w:val="16"/>
          <w:szCs w:val="16"/>
          <w:color w:val="auto"/>
        </w:rPr>
        <w:t>We have based these forward-looking statements largely on management’s current expectations, estimates, forecasts and projections about our business and the industry in which we operate and management’s beliefs and assumptions and are not guarantees of future performance or development and involve known and unknown risks, uncertainties and other factors that are in some cases beyond our control. These forward-looking statements speak only as of the date of this Annual Report on Form 10-K and are subject to a number of risks, uncertainties and assumptions described in the section titled “Risk Factors” and elsewhere in this Annual Report on Form 10-K.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Annual Report on Form 10-K, whether as a result of any new information, future events or otherwise.</w:t>
      </w:r>
    </w:p>
    <w:p>
      <w:pPr>
        <w:spacing w:after="0" w:line="13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Investors and others should note that we may announce material business and financial information to our investors using our investor relations website (https://ir.revmed.com), Securities and Exchange Commission (SEC) filings, webcasts, press releases and conference calls. We use these mediums, including our website, to communicate with our members and public about our company, our products and other issues. It is possible that the information that we make available may be deemed to be material information. We therefore encourage investors and others interested in our company to review the information that we make available on our website.</w:t>
      </w:r>
    </w:p>
    <w:p>
      <w:pPr>
        <w:spacing w:after="0" w:line="184"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Summary of Material Risks Associated with Our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principal risks and uncertainties affecting our business include the following:</w:t>
      </w:r>
    </w:p>
    <w:p>
      <w:pPr>
        <w:spacing w:after="0" w:line="117" w:lineRule="exact"/>
        <w:rPr>
          <w:sz w:val="20"/>
          <w:szCs w:val="20"/>
          <w:color w:val="auto"/>
        </w:rPr>
      </w:pPr>
    </w:p>
    <w:p>
      <w:pPr>
        <w:ind w:left="1020" w:right="40" w:hanging="503"/>
        <w:spacing w:after="0" w:line="286" w:lineRule="auto"/>
        <w:tabs>
          <w:tab w:leader="none" w:pos="10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are a clinical-stage precision oncology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57" w:lineRule="exact"/>
        <w:rPr>
          <w:rFonts w:ascii="Arial" w:cs="Arial" w:eastAsia="Arial" w:hAnsi="Arial"/>
          <w:sz w:val="17"/>
          <w:szCs w:val="17"/>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never generated revenue from product sales and may never be profitable.</w:t>
      </w:r>
    </w:p>
    <w:p>
      <w:pPr>
        <w:spacing w:after="0" w:line="117" w:lineRule="exact"/>
        <w:rPr>
          <w:rFonts w:ascii="Arial" w:cs="Arial" w:eastAsia="Arial" w:hAnsi="Arial"/>
          <w:sz w:val="18"/>
          <w:szCs w:val="18"/>
          <w:color w:val="auto"/>
        </w:rPr>
      </w:pPr>
    </w:p>
    <w:p>
      <w:pPr>
        <w:jc w:val="both"/>
        <w:ind w:left="1020" w:right="16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75" w:lineRule="exact"/>
        <w:rPr>
          <w:rFonts w:ascii="Arial" w:cs="Arial" w:eastAsia="Arial" w:hAnsi="Arial"/>
          <w:sz w:val="18"/>
          <w:szCs w:val="18"/>
          <w:color w:val="auto"/>
        </w:rPr>
      </w:pPr>
    </w:p>
    <w:p>
      <w:pPr>
        <w:ind w:left="1020" w:right="280" w:hanging="503"/>
        <w:spacing w:after="0" w:line="259"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early in our development efforts. Our business is dependent on the successful development of our current and future product candidates.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spacing w:after="0" w:line="78" w:lineRule="exact"/>
        <w:rPr>
          <w:rFonts w:ascii="Arial" w:cs="Arial" w:eastAsia="Arial" w:hAnsi="Arial"/>
          <w:sz w:val="18"/>
          <w:szCs w:val="18"/>
          <w:color w:val="auto"/>
        </w:rPr>
      </w:pPr>
    </w:p>
    <w:p>
      <w:pPr>
        <w:jc w:val="both"/>
        <w:ind w:left="1020" w:right="18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Preclinical development is uncertain. Our preclinical programs may experience delays or may never advance to clinical trials, which would adversely affect our ability to obtain regulatory approvals or commercialize our product candidates on a timely basis or at all, which would have an adverse effect on our business.</w:t>
      </w:r>
    </w:p>
    <w:p>
      <w:pPr>
        <w:spacing w:after="0" w:line="75"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Historically, direct inhibition of any RAS protein has been challenging due to a lack of tractable, or “druggable,” binding pockets. Given this approach is unproven, it may not be successful.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results of preclinical studies and early-stage clinical trials may not be predictive of future results.</w:t>
      </w:r>
    </w:p>
    <w:p>
      <w:pPr>
        <w:spacing w:after="0" w:line="117"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encounter difficulties enrolling patients in our clinical trials, our clinical development activities could be delayed or otherwise be adversely affected.</w:t>
      </w:r>
    </w:p>
    <w:p>
      <w:pPr>
        <w:spacing w:after="0" w:line="62" w:lineRule="exact"/>
        <w:rPr>
          <w:rFonts w:ascii="Arial" w:cs="Arial" w:eastAsia="Arial" w:hAnsi="Arial"/>
          <w:sz w:val="18"/>
          <w:szCs w:val="18"/>
          <w:color w:val="auto"/>
        </w:rPr>
      </w:pPr>
    </w:p>
    <w:p>
      <w:pPr>
        <w:ind w:left="1020" w:right="120" w:hanging="503"/>
        <w:spacing w:after="0" w:line="263"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 party to a collaboration agreement with Sanofi, which has been terminated effective as of June 2023. Until the effectiveness of this termination, we are dependent on our collaboration with Sanofi for the development of RMC-4630 and must successfully manage the transition of all rights, obligations and activities under the agreement from Sanofi to us.</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currently developing, and may in the future develop, our product candidates in combination with</w:t>
      </w:r>
    </w:p>
    <w:p>
      <w:pPr>
        <w:spacing w:after="0" w:line="23"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other therapies, which exposes us to additional risks.</w:t>
      </w:r>
    </w:p>
    <w:p>
      <w:pPr>
        <w:spacing w:after="0" w:line="103" w:lineRule="exact"/>
        <w:rPr>
          <w:sz w:val="20"/>
          <w:szCs w:val="20"/>
          <w:color w:val="auto"/>
        </w:rPr>
      </w:pPr>
    </w:p>
    <w:p>
      <w:pPr>
        <w:ind w:left="1020" w:right="100" w:hanging="503"/>
        <w:spacing w:after="0" w:line="277"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5" w:name="page6"/>
    <w:bookmarkEnd w:id="5"/>
    <w:p>
      <w:pPr>
        <w:ind w:left="1020" w:right="120" w:hanging="503"/>
        <w:spacing w:after="0" w:line="311" w:lineRule="auto"/>
        <w:tabs>
          <w:tab w:leader="none" w:pos="10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we and our collaborators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40" w:lineRule="exact"/>
        <w:rPr>
          <w:rFonts w:ascii="Arial" w:cs="Arial" w:eastAsia="Arial" w:hAnsi="Arial"/>
          <w:sz w:val="16"/>
          <w:szCs w:val="16"/>
          <w:color w:val="auto"/>
        </w:rPr>
      </w:pPr>
    </w:p>
    <w:p>
      <w:pPr>
        <w:ind w:left="1020" w:right="380" w:hanging="503"/>
        <w:spacing w:after="0" w:line="277"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COVID-19 pandemic, or other epidemic and pandemic diseases or governmental or other actions taken in response to them, could significantly disrupt our business.</w:t>
      </w:r>
    </w:p>
    <w:p>
      <w:pPr>
        <w:spacing w:after="0" w:line="13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summary risk factors described above should be read together with the text of the full risk factors below in the section entitled “Risk Factors” and the other information set forth in this Annual Report on Form 10-K, including our consolidated financial statements and the related notes, as well as in other documents that we file with the SEC. The risks summarized above or described in full below are not the only risks that we face. Additional risks and uncertainties not precisely known to us or that we currently deem to be immaterial may also materially and adversely affect our business, competitive position, financial condition, results of operations, cash flows and growth prospects.</w:t>
      </w: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33" w:right="4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We are a clinical-stage precision oncology company focused on developing targeted therapies to inhibit frontier targets in RAS-addicted cancers. We possess sophisticated structure-based drug discovery capabilities built upon deep chemical biology and cancer pharmacology know-how and innovative, proprietary technologies that enable the creation of small molecules tailored to unconventional binding sites. Our understanding of genetic drivers and adaptive resistance mechanisms in cancer, coupled with robust drug discovery and medicinal chemistry capabilities, has guided us to establish a deep pipeline targeting critical signaling nodes within the RAS pathway and associated pathways. This cohesive approach underpins our clinical strategy of exploring mechanism-based dosing paradigms and in-pathway combinations to optimize treatment for cancer patients.</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research and development pipeline comprises RAS(ON) inhibitors that bind directly to RAS variants, which we refer to as RAS(ON) Inhibitors, and RAS companion inhibitors that target key nodes in the RAS pathway or associated pathways, which we refer to as RAS Companion Inhibitors. Our RAS Companion Inhibitors (e.g., SHP2, mTORC1 and SOS1 inhibitors) are designed primarily for combination treatment strategies involving one or more therapeutic agents, which may include our RAS(ON) Inhibitors. Our long-term goal is to combine our RAS(ON) Inhibitors with selected RAS Companion Inhibitors or other therapies on behalf of patients based on molecular tumor features.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RAS(ON) Inhibitors</w:t>
      </w:r>
    </w:p>
    <w:p>
      <w:pPr>
        <w:spacing w:after="0" w:line="18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RAS(ON) Inhibitors are based on our proprietary tri-complex technology platform, which enables a highly differentiated approach to inhibiting the active, GTP-bound form of RAS, which we refer to as RAS(ON). We are developing a portfolio of compounds that we believe are the first and only RAS(ON) Inhibitors to use this mechanism of action. We believe that direct inhibitors of RAS(ON) will suppress cell growth and survival and be less susceptible to adaptive resistance mechanisms recognized for RAS(OFF) Inhibitors. We plan to evaluate our RAS(ON) Inhibitors alone and in combination with other drugs and investigational drug candidates, particularly in-pathway agents.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We currently consider three development-stage candidates as the first wave of RAS(ON) Inhibitors that we are advancing: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RMC-6236</w:t>
      </w:r>
    </w:p>
    <w:p>
      <w:pPr>
        <w:spacing w:after="0" w:line="189" w:lineRule="exact"/>
        <w:rPr>
          <w:sz w:val="20"/>
          <w:szCs w:val="20"/>
          <w:color w:val="auto"/>
        </w:rPr>
      </w:pPr>
    </w:p>
    <w:p>
      <w:pPr>
        <w:ind w:right="280"/>
        <w:spacing w:after="0" w:line="233" w:lineRule="auto"/>
        <w:rPr>
          <w:sz w:val="20"/>
          <w:szCs w:val="20"/>
          <w:color w:val="auto"/>
        </w:rPr>
      </w:pPr>
      <w:r>
        <w:rPr>
          <w:rFonts w:ascii="Arial" w:cs="Arial" w:eastAsia="Arial" w:hAnsi="Arial"/>
          <w:sz w:val="18"/>
          <w:szCs w:val="18"/>
          <w:color w:val="auto"/>
        </w:rPr>
        <w:t>RMC-6236, our RAS</w:t>
      </w:r>
      <w:r>
        <w:rPr>
          <w:rFonts w:ascii="Arial" w:cs="Arial" w:eastAsia="Arial" w:hAnsi="Arial"/>
          <w:sz w:val="24"/>
          <w:szCs w:val="24"/>
          <w:color w:val="auto"/>
          <w:vertAlign w:val="superscript"/>
        </w:rPr>
        <w:t>MULTI</w:t>
      </w:r>
      <w:r>
        <w:rPr>
          <w:rFonts w:ascii="Arial" w:cs="Arial" w:eastAsia="Arial" w:hAnsi="Arial"/>
          <w:sz w:val="18"/>
          <w:szCs w:val="18"/>
          <w:color w:val="auto"/>
        </w:rPr>
        <w:t>(ON) Inhibitor, is designed as a first-in-class, potent, oral, RAS-selective tri-complex inhibitor of multiple RAS(ON) variants including cancer drivers at all three of the major mutation hotspot positions, G12, G13, and Q61. RMC-6236 inhibits all three major RAS isoforms, suppressing the mutant cancer driver and cooperating wild-type RAS proteins.</w:t>
      </w:r>
    </w:p>
    <w:p>
      <w:pPr>
        <w:spacing w:after="0" w:line="162"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 monotherapy dose-escalation study of RMC-6236 is ongoing and, based on early observations from this study, we believe that RMC-6236 is orally bioavailable and has achieved dose-dependent exposures in patients that are consistent with our preclinical projections. The compound has been generally well-tolerated, including at dose levels at which we have observed clear signals of anti-tumor activity, as reflected in the interim clinical data reported below. We continue in dose escalation and we currently expect to provide additional evidence of first-in-class single agent activity for this compound in mid-2023.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RMC-6291</w:t>
      </w:r>
    </w:p>
    <w:p>
      <w:pPr>
        <w:spacing w:after="0" w:line="189" w:lineRule="exact"/>
        <w:rPr>
          <w:sz w:val="20"/>
          <w:szCs w:val="20"/>
          <w:color w:val="auto"/>
        </w:rPr>
      </w:pPr>
    </w:p>
    <w:p>
      <w:pPr>
        <w:spacing w:after="0" w:line="218" w:lineRule="auto"/>
        <w:rPr>
          <w:sz w:val="20"/>
          <w:szCs w:val="20"/>
          <w:color w:val="auto"/>
        </w:rPr>
      </w:pPr>
      <w:r>
        <w:rPr>
          <w:rFonts w:ascii="Arial" w:cs="Arial" w:eastAsia="Arial" w:hAnsi="Arial"/>
          <w:sz w:val="18"/>
          <w:szCs w:val="18"/>
          <w:color w:val="auto"/>
        </w:rPr>
        <w:t>RMC-6291 is designed as a first-in-class, potent, oral and selective tri-complex inhibitor of KRAS</w:t>
      </w:r>
      <w:r>
        <w:rPr>
          <w:rFonts w:ascii="Arial" w:cs="Arial" w:eastAsia="Arial" w:hAnsi="Arial"/>
          <w:sz w:val="24"/>
          <w:szCs w:val="24"/>
          <w:color w:val="auto"/>
          <w:vertAlign w:val="superscript"/>
        </w:rPr>
        <w:t>G12C</w:t>
      </w:r>
      <w:r>
        <w:rPr>
          <w:rFonts w:ascii="Arial" w:cs="Arial" w:eastAsia="Arial" w:hAnsi="Arial"/>
          <w:sz w:val="18"/>
          <w:szCs w:val="18"/>
          <w:color w:val="auto"/>
        </w:rPr>
        <w:t>(ON). It is designed to exhibit subnanomolar potency for suppressing RAS pathway signaling and growth of KRAS</w:t>
      </w:r>
      <w:r>
        <w:rPr>
          <w:rFonts w:ascii="Arial" w:cs="Arial" w:eastAsia="Arial" w:hAnsi="Arial"/>
          <w:sz w:val="24"/>
          <w:szCs w:val="24"/>
          <w:color w:val="auto"/>
          <w:vertAlign w:val="superscript"/>
        </w:rPr>
        <w:t>G12C</w:t>
      </w:r>
      <w:r>
        <w:rPr>
          <w:rFonts w:ascii="Arial" w:cs="Arial" w:eastAsia="Arial" w:hAnsi="Arial"/>
          <w:sz w:val="18"/>
          <w:szCs w:val="18"/>
          <w:color w:val="auto"/>
        </w:rPr>
        <w:t>-bearing cancer cells and is engineered to be highly selective for KRAS</w:t>
      </w:r>
      <w:r>
        <w:rPr>
          <w:rFonts w:ascii="Arial" w:cs="Arial" w:eastAsia="Arial" w:hAnsi="Arial"/>
          <w:sz w:val="24"/>
          <w:szCs w:val="24"/>
          <w:color w:val="auto"/>
          <w:vertAlign w:val="superscript"/>
        </w:rPr>
        <w:t>G12C</w:t>
      </w:r>
      <w:r>
        <w:rPr>
          <w:rFonts w:ascii="Arial" w:cs="Arial" w:eastAsia="Arial" w:hAnsi="Arial"/>
          <w:sz w:val="18"/>
          <w:szCs w:val="18"/>
          <w:color w:val="auto"/>
        </w:rPr>
        <w:t xml:space="preserve"> over wild type RAS and other cellular targets. RMC-6291 is designed to be differentiated from first-generation KRAS</w:t>
      </w:r>
      <w:r>
        <w:rPr>
          <w:rFonts w:ascii="Arial" w:cs="Arial" w:eastAsia="Arial" w:hAnsi="Arial"/>
          <w:sz w:val="24"/>
          <w:szCs w:val="24"/>
          <w:color w:val="auto"/>
          <w:vertAlign w:val="superscript"/>
        </w:rPr>
        <w:t>G12C</w:t>
      </w:r>
      <w:r>
        <w:rPr>
          <w:rFonts w:ascii="Arial" w:cs="Arial" w:eastAsia="Arial" w:hAnsi="Arial"/>
          <w:sz w:val="18"/>
          <w:szCs w:val="18"/>
          <w:color w:val="auto"/>
        </w:rPr>
        <w:t>(OFF) inhibitors, which sequester the KRAS</w:t>
      </w:r>
      <w:r>
        <w:rPr>
          <w:rFonts w:ascii="Arial" w:cs="Arial" w:eastAsia="Arial" w:hAnsi="Arial"/>
          <w:sz w:val="24"/>
          <w:szCs w:val="24"/>
          <w:color w:val="auto"/>
          <w:vertAlign w:val="superscript"/>
        </w:rPr>
        <w:t>G12C</w:t>
      </w:r>
      <w:r>
        <w:rPr>
          <w:rFonts w:ascii="Arial" w:cs="Arial" w:eastAsia="Arial" w:hAnsi="Arial"/>
          <w:sz w:val="18"/>
          <w:szCs w:val="18"/>
          <w:color w:val="auto"/>
        </w:rPr>
        <w:t>(OFF) form, by its mechanism of directly inhibiting the KRAS</w:t>
      </w:r>
      <w:r>
        <w:rPr>
          <w:rFonts w:ascii="Arial" w:cs="Arial" w:eastAsia="Arial" w:hAnsi="Arial"/>
          <w:sz w:val="24"/>
          <w:szCs w:val="24"/>
          <w:color w:val="auto"/>
          <w:vertAlign w:val="superscript"/>
        </w:rPr>
        <w:t>G12C</w:t>
      </w:r>
      <w:r>
        <w:rPr>
          <w:rFonts w:ascii="Arial" w:cs="Arial" w:eastAsia="Arial" w:hAnsi="Arial"/>
          <w:sz w:val="18"/>
          <w:szCs w:val="18"/>
          <w:color w:val="auto"/>
        </w:rPr>
        <w:t>(ON) form.</w:t>
      </w:r>
    </w:p>
    <w:p>
      <w:pPr>
        <w:spacing w:after="0" w:line="8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monotherapy dose-escalation study of RMC-6291 is ongoing and, based on early observations from this study, we believe that RMC-6291 is orally bioavailable in patients, that it is exhibiting pharmacokinetics consistent with our expectations based on preclinical experiments and that we are dosing the compound in a pharmacologically active range with acceptable safety and tolerability. We currently expect to provide preliminary evidence of a superior profile for this compound in the second half of 2023.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RMC-9805</w:t>
      </w:r>
    </w:p>
    <w:p>
      <w:pPr>
        <w:spacing w:after="0" w:line="189" w:lineRule="exact"/>
        <w:rPr>
          <w:sz w:val="20"/>
          <w:szCs w:val="20"/>
          <w:color w:val="auto"/>
        </w:rPr>
      </w:pPr>
    </w:p>
    <w:p>
      <w:pPr>
        <w:ind w:right="540"/>
        <w:spacing w:after="0" w:line="236" w:lineRule="auto"/>
        <w:rPr>
          <w:sz w:val="20"/>
          <w:szCs w:val="20"/>
          <w:color w:val="auto"/>
        </w:rPr>
      </w:pPr>
      <w:r>
        <w:rPr>
          <w:rFonts w:ascii="Arial" w:cs="Arial" w:eastAsia="Arial" w:hAnsi="Arial"/>
          <w:sz w:val="18"/>
          <w:szCs w:val="18"/>
          <w:color w:val="auto"/>
        </w:rPr>
        <w:t>RMC-9805 is designed as a first-in-class, potent, oral and selective tri-complex inhibitor of KRAS</w:t>
      </w:r>
      <w:r>
        <w:rPr>
          <w:rFonts w:ascii="Arial" w:cs="Arial" w:eastAsia="Arial" w:hAnsi="Arial"/>
          <w:sz w:val="24"/>
          <w:szCs w:val="24"/>
          <w:color w:val="auto"/>
          <w:vertAlign w:val="superscript"/>
        </w:rPr>
        <w:t>G12D</w:t>
      </w:r>
      <w:r>
        <w:rPr>
          <w:rFonts w:ascii="Arial" w:cs="Arial" w:eastAsia="Arial" w:hAnsi="Arial"/>
          <w:sz w:val="18"/>
          <w:szCs w:val="18"/>
          <w:color w:val="auto"/>
        </w:rPr>
        <w:t>(ON). It is designed to exhibit low nanomolar potency for suppressing RAS pathway signaling and growth of KRAS</w:t>
      </w:r>
      <w:r>
        <w:rPr>
          <w:rFonts w:ascii="Arial" w:cs="Arial" w:eastAsia="Arial" w:hAnsi="Arial"/>
          <w:sz w:val="24"/>
          <w:szCs w:val="24"/>
          <w:color w:val="auto"/>
          <w:vertAlign w:val="superscript"/>
        </w:rPr>
        <w:t>G12D</w:t>
      </w:r>
      <w:r>
        <w:rPr>
          <w:rFonts w:ascii="Arial" w:cs="Arial" w:eastAsia="Arial" w:hAnsi="Arial"/>
          <w:sz w:val="18"/>
          <w:szCs w:val="18"/>
          <w:color w:val="auto"/>
        </w:rPr>
        <w:t>-bearing cancer cells and is engineered to</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7" w:name="page8"/>
    <w:bookmarkEnd w:id="7"/>
    <w:p>
      <w:pPr>
        <w:ind w:right="340"/>
        <w:spacing w:after="0" w:line="226" w:lineRule="auto"/>
        <w:rPr>
          <w:sz w:val="20"/>
          <w:szCs w:val="20"/>
          <w:color w:val="auto"/>
        </w:rPr>
      </w:pPr>
      <w:r>
        <w:rPr>
          <w:rFonts w:ascii="Arial" w:cs="Arial" w:eastAsia="Arial" w:hAnsi="Arial"/>
          <w:sz w:val="18"/>
          <w:szCs w:val="18"/>
          <w:color w:val="auto"/>
        </w:rPr>
        <w:t>covalently inactivate KRAS</w:t>
      </w:r>
      <w:r>
        <w:rPr>
          <w:rFonts w:ascii="Arial" w:cs="Arial" w:eastAsia="Arial" w:hAnsi="Arial"/>
          <w:sz w:val="24"/>
          <w:szCs w:val="24"/>
          <w:color w:val="auto"/>
          <w:vertAlign w:val="superscript"/>
        </w:rPr>
        <w:t>G12D</w:t>
      </w:r>
      <w:r>
        <w:rPr>
          <w:rFonts w:ascii="Arial" w:cs="Arial" w:eastAsia="Arial" w:hAnsi="Arial"/>
          <w:sz w:val="18"/>
          <w:szCs w:val="18"/>
          <w:color w:val="auto"/>
        </w:rPr>
        <w:t xml:space="preserve"> irreversibly. We currently expect to announce dosing of the first patient in a monotherapy dose-escalation study of this compound in mid-2023.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RAS(ON) Inhibitors</w:t>
      </w:r>
    </w:p>
    <w:p>
      <w:pPr>
        <w:spacing w:after="0" w:line="185"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Beyond this first wave of RAS(ON) Inhibitors, we have other RAS(ON) Inhibitor compounds currently in our research and development pipeline, including our development candidate RMC-8839, which is designed as a first-in-class, potent, oral and selective, covalent tri-complex inhibitor of KRAS</w:t>
      </w:r>
      <w:r>
        <w:rPr>
          <w:rFonts w:ascii="Arial" w:cs="Arial" w:eastAsia="Arial" w:hAnsi="Arial"/>
          <w:sz w:val="21"/>
          <w:szCs w:val="21"/>
          <w:color w:val="auto"/>
          <w:vertAlign w:val="superscript"/>
        </w:rPr>
        <w:t>G13C</w:t>
      </w:r>
      <w:r>
        <w:rPr>
          <w:rFonts w:ascii="Arial" w:cs="Arial" w:eastAsia="Arial" w:hAnsi="Arial"/>
          <w:sz w:val="16"/>
          <w:szCs w:val="16"/>
          <w:color w:val="auto"/>
        </w:rPr>
        <w:t>(ON) and RMC-0708, which is designed as a first-in-class, potent, oral and selective, non-covalent tri-complex inhibitor of KRAS</w:t>
      </w:r>
      <w:r>
        <w:rPr>
          <w:rFonts w:ascii="Arial" w:cs="Arial" w:eastAsia="Arial" w:hAnsi="Arial"/>
          <w:sz w:val="21"/>
          <w:szCs w:val="21"/>
          <w:color w:val="auto"/>
          <w:vertAlign w:val="superscript"/>
        </w:rPr>
        <w:t>Q61H</w:t>
      </w:r>
      <w:r>
        <w:rPr>
          <w:rFonts w:ascii="Arial" w:cs="Arial" w:eastAsia="Arial" w:hAnsi="Arial"/>
          <w:sz w:val="16"/>
          <w:szCs w:val="16"/>
          <w:color w:val="auto"/>
        </w:rPr>
        <w:t>(ON). RMC-8839 is designed to exhibit picomolar potency for suppressing RAS pathway signaling and growth of KRAS</w:t>
      </w:r>
      <w:r>
        <w:rPr>
          <w:rFonts w:ascii="Arial" w:cs="Arial" w:eastAsia="Arial" w:hAnsi="Arial"/>
          <w:sz w:val="21"/>
          <w:szCs w:val="21"/>
          <w:color w:val="auto"/>
          <w:vertAlign w:val="superscript"/>
        </w:rPr>
        <w:t>G13C</w:t>
      </w:r>
      <w:r>
        <w:rPr>
          <w:rFonts w:ascii="Arial" w:cs="Arial" w:eastAsia="Arial" w:hAnsi="Arial"/>
          <w:sz w:val="16"/>
          <w:szCs w:val="16"/>
          <w:color w:val="auto"/>
        </w:rPr>
        <w:t>-bearing cancer cells and is engineered to covalently inactivate KRAS</w:t>
      </w:r>
      <w:r>
        <w:rPr>
          <w:rFonts w:ascii="Arial" w:cs="Arial" w:eastAsia="Arial" w:hAnsi="Arial"/>
          <w:sz w:val="21"/>
          <w:szCs w:val="21"/>
          <w:color w:val="auto"/>
          <w:vertAlign w:val="superscript"/>
        </w:rPr>
        <w:t>G13C</w:t>
      </w:r>
      <w:r>
        <w:rPr>
          <w:rFonts w:ascii="Arial" w:cs="Arial" w:eastAsia="Arial" w:hAnsi="Arial"/>
          <w:sz w:val="16"/>
          <w:szCs w:val="16"/>
          <w:color w:val="auto"/>
        </w:rPr>
        <w:t xml:space="preserve"> for irreversible inhibition. RMC-0708 is designed to exhibit picomolar potency for suppressing RAS pathway signaling and growth of KRAS</w:t>
      </w:r>
      <w:r>
        <w:rPr>
          <w:rFonts w:ascii="Arial" w:cs="Arial" w:eastAsia="Arial" w:hAnsi="Arial"/>
          <w:sz w:val="21"/>
          <w:szCs w:val="21"/>
          <w:color w:val="auto"/>
          <w:vertAlign w:val="superscript"/>
        </w:rPr>
        <w:t>Q61H</w:t>
      </w:r>
      <w:r>
        <w:rPr>
          <w:rFonts w:ascii="Arial" w:cs="Arial" w:eastAsia="Arial" w:hAnsi="Arial"/>
          <w:sz w:val="16"/>
          <w:szCs w:val="16"/>
          <w:color w:val="auto"/>
        </w:rPr>
        <w:t>-bearing cancer cells and is engineered for selective inhibition of KRAS</w:t>
      </w:r>
      <w:r>
        <w:rPr>
          <w:rFonts w:ascii="Arial" w:cs="Arial" w:eastAsia="Arial" w:hAnsi="Arial"/>
          <w:sz w:val="21"/>
          <w:szCs w:val="21"/>
          <w:color w:val="auto"/>
          <w:vertAlign w:val="superscript"/>
        </w:rPr>
        <w:t>Q61H</w:t>
      </w:r>
      <w:r>
        <w:rPr>
          <w:rFonts w:ascii="Arial" w:cs="Arial" w:eastAsia="Arial" w:hAnsi="Arial"/>
          <w:sz w:val="16"/>
          <w:szCs w:val="16"/>
          <w:color w:val="auto"/>
        </w:rPr>
        <w:t xml:space="preserve"> over other RAS isoforms via non-covalent binding interactions. We are pursuing pipeline expansion programs focused on KRAS</w:t>
      </w:r>
      <w:r>
        <w:rPr>
          <w:rFonts w:ascii="Arial" w:cs="Arial" w:eastAsia="Arial" w:hAnsi="Arial"/>
          <w:sz w:val="21"/>
          <w:szCs w:val="21"/>
          <w:color w:val="auto"/>
          <w:vertAlign w:val="superscript"/>
        </w:rPr>
        <w:t>G12R</w:t>
      </w:r>
      <w:r>
        <w:rPr>
          <w:rFonts w:ascii="Arial" w:cs="Arial" w:eastAsia="Arial" w:hAnsi="Arial"/>
          <w:sz w:val="16"/>
          <w:szCs w:val="16"/>
          <w:color w:val="auto"/>
        </w:rPr>
        <w:t>, KRAS</w:t>
      </w:r>
      <w:r>
        <w:rPr>
          <w:rFonts w:ascii="Arial" w:cs="Arial" w:eastAsia="Arial" w:hAnsi="Arial"/>
          <w:sz w:val="21"/>
          <w:szCs w:val="21"/>
          <w:color w:val="auto"/>
          <w:vertAlign w:val="superscript"/>
        </w:rPr>
        <w:t>G12V</w:t>
      </w:r>
      <w:r>
        <w:rPr>
          <w:rFonts w:ascii="Arial" w:cs="Arial" w:eastAsia="Arial" w:hAnsi="Arial"/>
          <w:sz w:val="16"/>
          <w:szCs w:val="16"/>
          <w:color w:val="auto"/>
        </w:rPr>
        <w:t>, KRAS</w:t>
      </w:r>
      <w:r>
        <w:rPr>
          <w:rFonts w:ascii="Arial" w:cs="Arial" w:eastAsia="Arial" w:hAnsi="Arial"/>
          <w:sz w:val="21"/>
          <w:szCs w:val="21"/>
          <w:color w:val="auto"/>
          <w:vertAlign w:val="superscript"/>
        </w:rPr>
        <w:t>G13D</w:t>
      </w:r>
      <w:r>
        <w:rPr>
          <w:rFonts w:ascii="Arial" w:cs="Arial" w:eastAsia="Arial" w:hAnsi="Arial"/>
          <w:sz w:val="16"/>
          <w:szCs w:val="16"/>
          <w:color w:val="auto"/>
        </w:rPr>
        <w:t>, RAS</w:t>
      </w:r>
      <w:r>
        <w:rPr>
          <w:rFonts w:ascii="Arial" w:cs="Arial" w:eastAsia="Arial" w:hAnsi="Arial"/>
          <w:sz w:val="21"/>
          <w:szCs w:val="21"/>
          <w:color w:val="auto"/>
          <w:vertAlign w:val="superscript"/>
        </w:rPr>
        <w:t>Q61X</w:t>
      </w:r>
      <w:r>
        <w:rPr>
          <w:rFonts w:ascii="Arial" w:cs="Arial" w:eastAsia="Arial" w:hAnsi="Arial"/>
          <w:sz w:val="16"/>
          <w:szCs w:val="16"/>
          <w:color w:val="auto"/>
        </w:rPr>
        <w:t xml:space="preserve"> and other targets.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RAS Companion Inhibitors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RMC-4630</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RAS Companion Inhibitor RMC-4630 is designed as a potent and selective inhibitor of SHP2, a central node in the RAS signaling pathway. RMC-4630 is being evaluated in a Phase 1/2 clinical program. In 2018, we entered into a collaborative research, development and commercialization agreement with Aventis, Inc. (an affiliate of Sanofi) (the Sanofi Agreement) with respect to SHP2 inhibitors, including RMC-4630. The Sanofi Agreement has been terminated effective as of June 2023, and following the effectiveness of termination, we will regain all global rights granted under the Sanofi Agreement (except as necessary to permit Sanofi to perform any surviving obligations under the Sanofi Agreement), including decision-making regarding research and development, and rights to all commercial proceeds, from RMC-4630.</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Our highest priority hypothesis regarding RMC-4630 is that it can deliver additional clinical benefit to patients with RAS-addicted tumors treated with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RAS inhibitor. Below is a list of the clinical studies of RMC-4630 in combination with RAS inhibitors:</w:t>
      </w:r>
    </w:p>
    <w:p>
      <w:pPr>
        <w:spacing w:after="0" w:line="121" w:lineRule="exact"/>
        <w:rPr>
          <w:sz w:val="20"/>
          <w:szCs w:val="20"/>
          <w:color w:val="auto"/>
        </w:rPr>
      </w:pPr>
    </w:p>
    <w:p>
      <w:pPr>
        <w:ind w:left="1460" w:right="1200" w:hanging="509"/>
        <w:spacing w:after="0" w:line="244"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Amgen-sponsored Phase 1b study of RMC-4630 in combination with Amgen’s KRAS</w:t>
      </w:r>
      <w:r>
        <w:rPr>
          <w:rFonts w:ascii="Arial" w:cs="Arial" w:eastAsia="Arial" w:hAnsi="Arial"/>
          <w:sz w:val="24"/>
          <w:szCs w:val="24"/>
          <w:color w:val="auto"/>
          <w:vertAlign w:val="superscript"/>
        </w:rPr>
        <w:t>G12C</w:t>
      </w:r>
      <w:r>
        <w:rPr>
          <w:rFonts w:ascii="Arial" w:cs="Arial" w:eastAsia="Arial" w:hAnsi="Arial"/>
          <w:sz w:val="18"/>
          <w:szCs w:val="18"/>
          <w:color w:val="auto"/>
        </w:rPr>
        <w:t>(OFF) inhibitor, sotorasib (LUMAKRAS</w:t>
      </w:r>
      <w:r>
        <w:rPr>
          <w:rFonts w:ascii="Arial" w:cs="Arial" w:eastAsia="Arial" w:hAnsi="Arial"/>
          <w:sz w:val="24"/>
          <w:szCs w:val="24"/>
          <w:color w:val="auto"/>
          <w:vertAlign w:val="superscript"/>
        </w:rPr>
        <w:t>(R)</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1460" w:right="100" w:hanging="509"/>
        <w:spacing w:after="0" w:line="277"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RMC-4630-03, a Phase 2 study of RMC-4630 in combination with sotorasib that we are sponsoring under a clinical trial collaboration and supply agreement with Amgen; and</w:t>
      </w:r>
    </w:p>
    <w:p>
      <w:pPr>
        <w:spacing w:after="0" w:line="67" w:lineRule="exact"/>
        <w:rPr>
          <w:rFonts w:ascii="Arial" w:cs="Arial" w:eastAsia="Arial" w:hAnsi="Arial"/>
          <w:sz w:val="18"/>
          <w:szCs w:val="18"/>
          <w:color w:val="auto"/>
        </w:rPr>
      </w:pPr>
    </w:p>
    <w:p>
      <w:pPr>
        <w:ind w:left="1460" w:right="420" w:hanging="509"/>
        <w:spacing w:after="0" w:line="244" w:lineRule="auto"/>
        <w:tabs>
          <w:tab w:leader="none" w:pos="1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Sanofi-sponsored Phase 1/2 study of RMC-4630 in combination with Mirati Therapeutics’ KRAS</w:t>
      </w:r>
      <w:r>
        <w:rPr>
          <w:rFonts w:ascii="Arial" w:cs="Arial" w:eastAsia="Arial" w:hAnsi="Arial"/>
          <w:sz w:val="24"/>
          <w:szCs w:val="24"/>
          <w:color w:val="auto"/>
          <w:vertAlign w:val="superscript"/>
        </w:rPr>
        <w:t>G12C</w:t>
      </w:r>
      <w:r>
        <w:rPr>
          <w:rFonts w:ascii="Arial" w:cs="Arial" w:eastAsia="Arial" w:hAnsi="Arial"/>
          <w:sz w:val="18"/>
          <w:szCs w:val="18"/>
          <w:color w:val="auto"/>
        </w:rPr>
        <w:t>(OFF) inhibitor, adagrasib (KRAZATI</w:t>
      </w:r>
      <w:r>
        <w:rPr>
          <w:rFonts w:ascii="Arial" w:cs="Arial" w:eastAsia="Arial" w:hAnsi="Arial"/>
          <w:sz w:val="24"/>
          <w:szCs w:val="24"/>
          <w:color w:val="auto"/>
          <w:vertAlign w:val="superscript"/>
        </w:rPr>
        <w:t>(R)</w:t>
      </w:r>
      <w:r>
        <w:rPr>
          <w:rFonts w:ascii="Arial" w:cs="Arial" w:eastAsia="Arial" w:hAnsi="Arial"/>
          <w:sz w:val="18"/>
          <w:szCs w:val="18"/>
          <w:color w:val="auto"/>
        </w:rPr>
        <w:t>).</w:t>
      </w:r>
    </w:p>
    <w:p>
      <w:pPr>
        <w:spacing w:after="0" w:line="141" w:lineRule="exact"/>
        <w:rPr>
          <w:sz w:val="20"/>
          <w:szCs w:val="20"/>
          <w:color w:val="auto"/>
        </w:rPr>
      </w:pPr>
    </w:p>
    <w:p>
      <w:pPr>
        <w:ind w:right="380"/>
        <w:spacing w:after="0" w:line="237" w:lineRule="auto"/>
        <w:rPr>
          <w:sz w:val="20"/>
          <w:szCs w:val="20"/>
          <w:color w:val="auto"/>
        </w:rPr>
      </w:pPr>
      <w:r>
        <w:rPr>
          <w:rFonts w:ascii="Arial" w:cs="Arial" w:eastAsia="Arial" w:hAnsi="Arial"/>
          <w:sz w:val="17"/>
          <w:szCs w:val="17"/>
          <w:color w:val="auto"/>
        </w:rPr>
        <w:t>Amgen is currently evaluating RMC-4630 in a Phase 1b study in combination with Amgen’s KRAS</w:t>
      </w:r>
      <w:r>
        <w:rPr>
          <w:rFonts w:ascii="Arial" w:cs="Arial" w:eastAsia="Arial" w:hAnsi="Arial"/>
          <w:sz w:val="23"/>
          <w:szCs w:val="23"/>
          <w:color w:val="auto"/>
          <w:vertAlign w:val="superscript"/>
        </w:rPr>
        <w:t>G12C</w:t>
      </w:r>
      <w:r>
        <w:rPr>
          <w:rFonts w:ascii="Arial" w:cs="Arial" w:eastAsia="Arial" w:hAnsi="Arial"/>
          <w:sz w:val="17"/>
          <w:szCs w:val="17"/>
          <w:color w:val="auto"/>
        </w:rPr>
        <w:t>(OFF) agent sotorasib in Amgen’s CodeBreaK 101c study. In August 2022, Amgen reported results from this study at the 2022 World Conference on Lung Cancer.</w:t>
      </w:r>
    </w:p>
    <w:p>
      <w:pPr>
        <w:spacing w:after="0" w:line="202" w:lineRule="exact"/>
        <w:rPr>
          <w:sz w:val="20"/>
          <w:szCs w:val="20"/>
          <w:color w:val="auto"/>
        </w:rPr>
      </w:pPr>
    </w:p>
    <w:p>
      <w:pPr>
        <w:ind w:right="120"/>
        <w:spacing w:after="0" w:line="241" w:lineRule="auto"/>
        <w:rPr>
          <w:sz w:val="20"/>
          <w:szCs w:val="20"/>
          <w:color w:val="auto"/>
        </w:rPr>
      </w:pPr>
      <w:r>
        <w:rPr>
          <w:rFonts w:ascii="Arial" w:cs="Arial" w:eastAsia="Arial" w:hAnsi="Arial"/>
          <w:sz w:val="18"/>
          <w:szCs w:val="18"/>
          <w:color w:val="auto"/>
        </w:rPr>
        <w:t>As a complement to the CodeBreaK 101c study, we are sponsoring RMC-4630-03, which is an additional global Phase 2 study of RMC-4630 in combination with sotorasib for patients with non-small cell lung cancer (NSCLC) carrying a KRAS</w:t>
      </w:r>
      <w:r>
        <w:rPr>
          <w:rFonts w:ascii="Arial" w:cs="Arial" w:eastAsia="Arial" w:hAnsi="Arial"/>
          <w:sz w:val="24"/>
          <w:szCs w:val="24"/>
          <w:color w:val="auto"/>
          <w:vertAlign w:val="superscript"/>
        </w:rPr>
        <w:t>G12C</w:t>
      </w:r>
      <w:r>
        <w:rPr>
          <w:rFonts w:ascii="Arial" w:cs="Arial" w:eastAsia="Arial" w:hAnsi="Arial"/>
          <w:sz w:val="18"/>
          <w:szCs w:val="18"/>
          <w:color w:val="auto"/>
        </w:rPr>
        <w:t xml:space="preserve"> mutation who have failed prior standard therapy and who have not previously been treated with a RAS inhibitor. We are sponsoring the RMC-4630-03 study under our global partnership with Sanofi and conducting the trial in collaboration with Amgen, which is supplying sotorasib globally under a clinical collaboration and supply agreement. We currently plan to provide topline data from this study in the second half of 2023.</w:t>
      </w:r>
    </w:p>
    <w:p>
      <w:pPr>
        <w:spacing w:after="0" w:line="201"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color w:val="auto"/>
        </w:rPr>
        <w:t>Sanofi has sponsored a combination study under the Sanofi Agreement and under a clinical trial collaboration and supply agreement between Sanofi and Mirati to evaluate RMC-4630 (also known as SAR442720) in combination with Mirati’s KRAS</w:t>
      </w:r>
      <w:r>
        <w:rPr>
          <w:rFonts w:ascii="Arial" w:cs="Arial" w:eastAsia="Arial" w:hAnsi="Arial"/>
          <w:sz w:val="24"/>
          <w:szCs w:val="24"/>
          <w:color w:val="auto"/>
          <w:vertAlign w:val="superscript"/>
        </w:rPr>
        <w:t>G12C</w:t>
      </w:r>
      <w:r>
        <w:rPr>
          <w:rFonts w:ascii="Arial" w:cs="Arial" w:eastAsia="Arial" w:hAnsi="Arial"/>
          <w:sz w:val="18"/>
          <w:szCs w:val="18"/>
          <w:color w:val="auto"/>
        </w:rPr>
        <w:t>(OFF) inhibitor, adagrasib. We expect that this study will be wound down in connection with the termination of the Sanofi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are also several clinical studies of RMC-4630 that do not involve combinations with RAS inhibitors:</w:t>
      </w:r>
    </w:p>
    <w:p>
      <w:pPr>
        <w:spacing w:after="0" w:line="117"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RMC-4630-01, a Phase 1 study of RMC-4630 as monotherapy;</w:t>
      </w:r>
    </w:p>
    <w:p>
      <w:pPr>
        <w:spacing w:after="0" w:line="121" w:lineRule="exact"/>
        <w:rPr>
          <w:rFonts w:ascii="Arial" w:cs="Arial" w:eastAsia="Arial" w:hAnsi="Arial"/>
          <w:sz w:val="18"/>
          <w:szCs w:val="18"/>
          <w:color w:val="auto"/>
        </w:rPr>
      </w:pPr>
    </w:p>
    <w:p>
      <w:pPr>
        <w:ind w:left="1020" w:hanging="503"/>
        <w:spacing w:after="0" w:line="232"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Sanofi-sponsored Phase 1/2 study of RMC-4630 in combination with the PD-1 inhibitor pembrolizumab (Keytruda</w:t>
      </w:r>
      <w:r>
        <w:rPr>
          <w:rFonts w:ascii="Arial" w:cs="Arial" w:eastAsia="Arial" w:hAnsi="Arial"/>
          <w:sz w:val="24"/>
          <w:szCs w:val="24"/>
          <w:color w:val="auto"/>
          <w:vertAlign w:val="superscript"/>
        </w:rPr>
        <w:t>®</w:t>
      </w:r>
      <w:r>
        <w:rPr>
          <w:rFonts w:ascii="Arial" w:cs="Arial" w:eastAsia="Arial" w:hAnsi="Arial"/>
          <w:sz w:val="18"/>
          <w:szCs w:val="18"/>
          <w:color w:val="auto"/>
        </w:rPr>
        <w:t>), which we expect will be wound down in connection with the termination of the Sanofi Agreement; and</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22" w:right="359" w:bottom="1440" w:gutter="0" w:footer="0" w:header="0"/>
        </w:sectPr>
      </w:pPr>
    </w:p>
    <w:bookmarkStart w:id="8" w:name="page9"/>
    <w:bookmarkEnd w:id="8"/>
    <w:p>
      <w:pPr>
        <w:ind w:left="1020" w:right="760" w:hanging="503"/>
        <w:spacing w:after="0" w:line="277"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combination of RMC-4630 with an ERK inhibitor in patients with pancreatic cancer as part of an investigator-sponsored study by Netherlands Cancer Institute.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RMC-5552</w:t>
      </w:r>
    </w:p>
    <w:p>
      <w:pPr>
        <w:spacing w:after="0" w:line="22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RAS Companion Inhibitor RMC-5552 is designed as a selective inhibitor of hyperactivated mTORC1 signaling in tumors. We are evaluating RMC-5552 first as a monotherapy in a Phase 1 study (RMC-5552-001), and plan to evaluate RMC-5552 in combination with RAS inhibitors for patients with cancers harboring a RAS mutation and co-occurring mutations in the mTOR signaling pathway.</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reported initial findings from the ongoing dose escalation portion of the RMC-5552-001 study and currently expect to provide additional evidence of single agent activity for this compound in 2023.</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have agreed to supply RMC-5552 to the Regents of the University of California on behalf of its San Francisco campus (UCSF) for an investigator-initiated Phase 1/1b trial by UCSF of RMC-5552 in patients with recurrent glioblastoma.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RMC-5845</w:t>
      </w:r>
    </w:p>
    <w:p>
      <w:pPr>
        <w:spacing w:after="0" w:line="225"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Our RAS Companion Inhibitor RMC-5845 targets SOS1, a protein that plays a key role in converting RAS(OFF) to RAS(ON) in cells. RMC-5845 is intended for select combination therapies for certain genetically-defined tumors. This compound is ready for preparation of an IND based on our preclinical development. We continue to evaluate whether to advance RMC-5845 into clinical development in the context of other assets in our portfolio.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RMC-6236</w:t>
      </w:r>
    </w:p>
    <w:p>
      <w:pPr>
        <w:spacing w:after="0" w:line="230"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Our RAS</w:t>
      </w:r>
      <w:r>
        <w:rPr>
          <w:rFonts w:ascii="Arial" w:cs="Arial" w:eastAsia="Arial" w:hAnsi="Arial"/>
          <w:sz w:val="24"/>
          <w:szCs w:val="24"/>
          <w:color w:val="auto"/>
          <w:vertAlign w:val="superscript"/>
        </w:rPr>
        <w:t>MULTI</w:t>
      </w:r>
      <w:r>
        <w:rPr>
          <w:rFonts w:ascii="Arial" w:cs="Arial" w:eastAsia="Arial" w:hAnsi="Arial"/>
          <w:sz w:val="18"/>
          <w:szCs w:val="18"/>
          <w:color w:val="auto"/>
        </w:rPr>
        <w:t>(ON) Inhibitor, RMC-6236, is designed to inhibit essentially all RAS(ON) proteins, including normal or wild-type RAS proteins that may help augment oncogenic signaling to tumor cells that have a mutant RAS as a primary driver. Given this broad activity of RMC-6236, we believe it may also be useful as a RAS Companion Inhibitor and we may evaluate the potential benefit from combining RMC-6236 with a RAS inhibitor, including with a RAS(ON) mutant-selective inhibitor such as RMC-6291.</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0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goal is to develop and commercialize novel targeted therapies to outsmart RAS-addicted cancers for the benefit of patients. RAS proteins drive 30% of human cancers (Prior et al, Cancer Research 2020), and are largely unserved by targeted therapeutics. The KRAS</w:t>
      </w:r>
      <w:r>
        <w:rPr>
          <w:rFonts w:ascii="Arial" w:cs="Arial" w:eastAsia="Arial" w:hAnsi="Arial"/>
          <w:sz w:val="23"/>
          <w:szCs w:val="23"/>
          <w:color w:val="auto"/>
          <w:vertAlign w:val="superscript"/>
        </w:rPr>
        <w:t>G12C</w:t>
      </w:r>
      <w:r>
        <w:rPr>
          <w:rFonts w:ascii="Arial" w:cs="Arial" w:eastAsia="Arial" w:hAnsi="Arial"/>
          <w:sz w:val="17"/>
          <w:szCs w:val="17"/>
          <w:color w:val="auto"/>
        </w:rPr>
        <w:t xml:space="preserve"> mutation has been clinically validated as a therapeutic target, and the evidence is strong that numerous other oncogenic mutations in the RAS family of proteins are likewise compelling cancer targets. Our collection of RAS(ON) Inhibitors, designed to have best-in-class preclinical profiles and/or first-in-class potential, is tailored to target RAS cancer mutations that together comprise the vast majority of RAS-addicted cancers.</w:t>
      </w:r>
    </w:p>
    <w:p>
      <w:pPr>
        <w:spacing w:after="0" w:line="153" w:lineRule="exact"/>
        <w:rPr>
          <w:sz w:val="20"/>
          <w:szCs w:val="20"/>
          <w:color w:val="auto"/>
        </w:rPr>
      </w:pPr>
    </w:p>
    <w:p>
      <w:pPr>
        <w:ind w:right="300"/>
        <w:spacing w:after="0" w:line="264" w:lineRule="auto"/>
        <w:rPr>
          <w:sz w:val="20"/>
          <w:szCs w:val="20"/>
          <w:color w:val="auto"/>
        </w:rPr>
      </w:pPr>
      <w:r>
        <w:rPr>
          <w:rFonts w:ascii="Arial" w:cs="Arial" w:eastAsia="Arial" w:hAnsi="Arial"/>
          <w:sz w:val="16"/>
          <w:szCs w:val="16"/>
          <w:color w:val="auto"/>
        </w:rPr>
        <w:t>Data from the ongoing development of first-generation KRAS</w:t>
      </w:r>
      <w:r>
        <w:rPr>
          <w:rFonts w:ascii="Arial" w:cs="Arial" w:eastAsia="Arial" w:hAnsi="Arial"/>
          <w:sz w:val="21"/>
          <w:szCs w:val="21"/>
          <w:color w:val="auto"/>
          <w:vertAlign w:val="superscript"/>
        </w:rPr>
        <w:t>G12C</w:t>
      </w:r>
      <w:r>
        <w:rPr>
          <w:rFonts w:ascii="Arial" w:cs="Arial" w:eastAsia="Arial" w:hAnsi="Arial"/>
          <w:sz w:val="16"/>
          <w:szCs w:val="16"/>
          <w:color w:val="auto"/>
        </w:rPr>
        <w:t xml:space="preserve"> inhibitors have clearly demonstrated that selective targeting of RAS cancer drivers is often insufficient to confer deep and durable clinical benefit, as RAS cancers are also supported and maintained by other cellular proteins we call RAS cooperating targets and pathways. We believe it is important to match our treatment strategies to this biological cooperativity by developing RAS(ON)</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Inhibitors to suppress the primary RAS drivers and RAS Companion Inhibitors to suppress the cooperating proteins. We expect drugs of these two types may be combined to form the optimal therapeutic regimens capable of delivering maximal clinical benefit. To develop these optimal therapies for RAS cancers, we plan to pursue the following strategies: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RAS(ON) Inhibitors</w:t>
      </w:r>
    </w:p>
    <w:p>
      <w:pPr>
        <w:spacing w:after="0" w:line="185" w:lineRule="exact"/>
        <w:rPr>
          <w:sz w:val="20"/>
          <w:szCs w:val="20"/>
          <w:color w:val="auto"/>
        </w:rPr>
      </w:pPr>
    </w:p>
    <w:p>
      <w:pPr>
        <w:ind w:left="520" w:right="120" w:hanging="512"/>
        <w:spacing w:after="0" w:line="257"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Establish tri-complex inhibition of RAS(ON) as a first-in-class therapeutic modality. </w:t>
      </w:r>
      <w:r>
        <w:rPr>
          <w:rFonts w:ascii="Arial" w:cs="Arial" w:eastAsia="Arial" w:hAnsi="Arial"/>
          <w:sz w:val="18"/>
          <w:szCs w:val="18"/>
          <w:color w:val="auto"/>
        </w:rPr>
        <w:t>There are dozens of RAS variants that have been implicated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molecular drivers of cancer. We are developing a portfolio of small molecules designed to target multiple oncogenic forms of RAS(ON) that are derived from our proprietary tri-complex technology platform. We believe that targeted inhibition of oncogenic RAS(ON) variants represents a highly differentiated approach for treating the large population of patients with diverse RAS mutations, including non-small cell lung cancer, or NSCLC, colorectal, pancreatic and other cancers.</w:t>
      </w:r>
    </w:p>
    <w:p>
      <w:pPr>
        <w:spacing w:after="0" w:line="79" w:lineRule="exact"/>
        <w:rPr>
          <w:rFonts w:ascii="Arial" w:cs="Arial" w:eastAsia="Arial" w:hAnsi="Arial"/>
          <w:sz w:val="18"/>
          <w:szCs w:val="18"/>
          <w:color w:val="auto"/>
        </w:rPr>
      </w:pPr>
    </w:p>
    <w:p>
      <w:pPr>
        <w:ind w:left="520"/>
        <w:spacing w:after="0" w:line="261" w:lineRule="auto"/>
        <w:rPr>
          <w:rFonts w:ascii="Arial" w:cs="Arial" w:eastAsia="Arial" w:hAnsi="Arial"/>
          <w:sz w:val="18"/>
          <w:szCs w:val="18"/>
          <w:color w:val="auto"/>
        </w:rPr>
      </w:pPr>
      <w:r>
        <w:rPr>
          <w:rFonts w:ascii="Arial" w:cs="Arial" w:eastAsia="Arial" w:hAnsi="Arial"/>
          <w:sz w:val="16"/>
          <w:szCs w:val="16"/>
          <w:color w:val="auto"/>
        </w:rPr>
        <w:t>We have advanced our first two RAS(ON) development candidates into clinical development: RMC-6236, a RAS-selective inhibitor of multiple RAS(ON) variants and RMC-6291, a mutant-selective inhibitor of KRAS</w:t>
      </w:r>
      <w:r>
        <w:rPr>
          <w:rFonts w:ascii="Arial" w:cs="Arial" w:eastAsia="Arial" w:hAnsi="Arial"/>
          <w:sz w:val="21"/>
          <w:szCs w:val="21"/>
          <w:color w:val="auto"/>
          <w:vertAlign w:val="superscript"/>
        </w:rPr>
        <w:t>G12C</w:t>
      </w:r>
      <w:r>
        <w:rPr>
          <w:rFonts w:ascii="Arial" w:cs="Arial" w:eastAsia="Arial" w:hAnsi="Arial"/>
          <w:sz w:val="16"/>
          <w:szCs w:val="16"/>
          <w:color w:val="auto"/>
        </w:rPr>
        <w:t>(ON). We are also conducting IND-enabling studies of RMC-9805, our inhibitor targeting KRAS</w:t>
      </w:r>
      <w:r>
        <w:rPr>
          <w:rFonts w:ascii="Arial" w:cs="Arial" w:eastAsia="Arial" w:hAnsi="Arial"/>
          <w:sz w:val="21"/>
          <w:szCs w:val="21"/>
          <w:color w:val="auto"/>
          <w:vertAlign w:val="superscript"/>
        </w:rPr>
        <w:t>G12D</w:t>
      </w:r>
      <w:r>
        <w:rPr>
          <w:rFonts w:ascii="Arial" w:cs="Arial" w:eastAsia="Arial" w:hAnsi="Arial"/>
          <w:sz w:val="16"/>
          <w:szCs w:val="16"/>
          <w:color w:val="auto"/>
        </w:rPr>
        <w:t>(ON). We may evaluate our RAS(ON) development candidates both as monotherapies and/or in combination with other drugs and investigational new drugs, particularly our RAS Companion Inhibitors and standard of care therapies, including immunotherapies.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 w:name="page10"/>
    <w:bookmarkEnd w:id="9"/>
    <w:p>
      <w:pPr>
        <w:ind w:left="520" w:right="40" w:hanging="512"/>
        <w:spacing w:after="0" w:line="253"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Deploy our innovation engine against additional RAS targets. </w:t>
      </w:r>
      <w:r>
        <w:rPr>
          <w:rFonts w:ascii="Arial" w:cs="Arial" w:eastAsia="Arial" w:hAnsi="Arial"/>
          <w:sz w:val="18"/>
          <w:szCs w:val="18"/>
          <w:color w:val="auto"/>
        </w:rPr>
        <w:t>In parallel with the IND-enabling development of our RAS(ON) development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candidates, we are focusing on optimization of mutant-selective tri-complex inhibitors of additional targets, including KRAS</w:t>
      </w:r>
      <w:r>
        <w:rPr>
          <w:rFonts w:ascii="Arial" w:cs="Arial" w:eastAsia="Arial" w:hAnsi="Arial"/>
          <w:sz w:val="24"/>
          <w:szCs w:val="24"/>
          <w:color w:val="auto"/>
          <w:vertAlign w:val="superscript"/>
        </w:rPr>
        <w:t>G12R</w:t>
      </w:r>
      <w:r>
        <w:rPr>
          <w:rFonts w:ascii="Arial" w:cs="Arial" w:eastAsia="Arial" w:hAnsi="Arial"/>
          <w:sz w:val="18"/>
          <w:szCs w:val="18"/>
          <w:color w:val="auto"/>
        </w:rPr>
        <w:t>, KRAS</w:t>
      </w:r>
      <w:r>
        <w:rPr>
          <w:rFonts w:ascii="Arial" w:cs="Arial" w:eastAsia="Arial" w:hAnsi="Arial"/>
          <w:sz w:val="24"/>
          <w:szCs w:val="24"/>
          <w:color w:val="auto"/>
          <w:vertAlign w:val="superscript"/>
        </w:rPr>
        <w:t>G12V</w:t>
      </w:r>
      <w:r>
        <w:rPr>
          <w:rFonts w:ascii="Arial" w:cs="Arial" w:eastAsia="Arial" w:hAnsi="Arial"/>
          <w:sz w:val="18"/>
          <w:szCs w:val="18"/>
          <w:color w:val="auto"/>
        </w:rPr>
        <w:t>, KRAS</w:t>
      </w:r>
      <w:r>
        <w:rPr>
          <w:rFonts w:ascii="Arial" w:cs="Arial" w:eastAsia="Arial" w:hAnsi="Arial"/>
          <w:sz w:val="24"/>
          <w:szCs w:val="24"/>
          <w:color w:val="auto"/>
          <w:vertAlign w:val="superscript"/>
        </w:rPr>
        <w:t>G13D</w:t>
      </w:r>
      <w:r>
        <w:rPr>
          <w:rFonts w:ascii="Arial" w:cs="Arial" w:eastAsia="Arial" w:hAnsi="Arial"/>
          <w:sz w:val="18"/>
          <w:szCs w:val="18"/>
          <w:color w:val="auto"/>
        </w:rPr>
        <w:t xml:space="preserve"> and RAS</w:t>
      </w:r>
      <w:r>
        <w:rPr>
          <w:rFonts w:ascii="Arial" w:cs="Arial" w:eastAsia="Arial" w:hAnsi="Arial"/>
          <w:sz w:val="24"/>
          <w:szCs w:val="24"/>
          <w:color w:val="auto"/>
          <w:vertAlign w:val="superscript"/>
        </w:rPr>
        <w:t>Q61X</w:t>
      </w:r>
      <w:r>
        <w:rPr>
          <w:rFonts w:ascii="Arial" w:cs="Arial" w:eastAsia="Arial" w:hAnsi="Arial"/>
          <w:sz w:val="18"/>
          <w:szCs w:val="18"/>
          <w:color w:val="auto"/>
        </w:rPr>
        <w:t>. Discovery and development of mutant-selective inhibitors of these targets may help to maximize clinical benefit for some patients with cancers bearing these RAS variants.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RAS Companion Inhibitors</w:t>
      </w:r>
    </w:p>
    <w:p>
      <w:pPr>
        <w:spacing w:after="0" w:line="117" w:lineRule="exact"/>
        <w:rPr>
          <w:sz w:val="20"/>
          <w:szCs w:val="20"/>
          <w:color w:val="auto"/>
        </w:rPr>
      </w:pPr>
    </w:p>
    <w:p>
      <w:pPr>
        <w:ind w:left="520" w:right="60" w:hanging="512"/>
        <w:spacing w:after="0" w:line="301" w:lineRule="auto"/>
        <w:tabs>
          <w:tab w:leader="none" w:pos="52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Establish our proprietary SHP2 inhibitor, RMC-4630, as the backbone of targeted therapy combinations for the treatment of RAS-dependent tumors. </w:t>
      </w:r>
      <w:r>
        <w:rPr>
          <w:rFonts w:ascii="Arial" w:cs="Arial" w:eastAsia="Arial" w:hAnsi="Arial"/>
          <w:sz w:val="16"/>
          <w:szCs w:val="16"/>
          <w:color w:val="auto"/>
        </w:rPr>
        <w:t>We are evaluating RMC-4630 as both a monotherapy and as a backbone of combination therapies designed to maximize clinical benefit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combating drug resistance pathways that depend on SHP2. In the future, we may leverage our complementary pipeline of RAS(ON) and RAS Companion Inhibitors by evaluating RMC-4630 in combination with certain RAS(ON) inhibitors, which could include RMC-6291 or RMC-9805.</w:t>
      </w:r>
    </w:p>
    <w:p>
      <w:pPr>
        <w:spacing w:after="0" w:line="49" w:lineRule="exact"/>
        <w:rPr>
          <w:rFonts w:ascii="Arial" w:cs="Arial" w:eastAsia="Arial" w:hAnsi="Arial"/>
          <w:sz w:val="16"/>
          <w:szCs w:val="16"/>
          <w:color w:val="auto"/>
        </w:rPr>
      </w:pPr>
    </w:p>
    <w:p>
      <w:pPr>
        <w:ind w:left="520" w:right="80" w:hanging="512"/>
        <w:spacing w:after="0" w:line="259"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Demonstrate clinical utility of our RAS Companion Inhibitors targeting mTORC1/4EBP1 (RMC-5552) through precision oncology. </w:t>
      </w:r>
      <w:r>
        <w:rPr>
          <w:rFonts w:ascii="Arial" w:cs="Arial" w:eastAsia="Arial" w:hAnsi="Arial"/>
          <w:sz w:val="18"/>
          <w:szCs w:val="18"/>
          <w:color w:val="auto"/>
        </w:rPr>
        <w:t>We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investigating RMC-5552 as a monotherapy in patients with cancers harboring genotypes linked to hyperactivated mTORC1 signaling in a Phase 1 study (RMC-5552-001), and plan to test RMC-5552 as a combination partner for RAS inhibitors in patients with cancers harboring RAS mutations with a co-occurring mutation in the mTOR signaling pathway.</w:t>
      </w:r>
    </w:p>
    <w:p>
      <w:pPr>
        <w:spacing w:after="0" w:line="78" w:lineRule="exact"/>
        <w:rPr>
          <w:rFonts w:ascii="Arial" w:cs="Arial" w:eastAsia="Arial" w:hAnsi="Arial"/>
          <w:sz w:val="18"/>
          <w:szCs w:val="18"/>
          <w:color w:val="auto"/>
        </w:rPr>
      </w:pPr>
    </w:p>
    <w:p>
      <w:pPr>
        <w:ind w:left="520" w:hanging="512"/>
        <w:spacing w:after="0" w:line="263"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Explore the clinical utility of RMC-6236 as a RAS Companion Inhibitor. </w:t>
      </w:r>
      <w:r>
        <w:rPr>
          <w:rFonts w:ascii="Arial" w:cs="Arial" w:eastAsia="Arial" w:hAnsi="Arial"/>
          <w:sz w:val="18"/>
          <w:szCs w:val="18"/>
          <w:color w:val="auto"/>
        </w:rPr>
        <w:t>Given this broad activity of RMC-6236, we believe it may also be useful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a RAS Companion Inhibitor and we may evaluate the potential benefit from combining RMC-6236 with a RAS inhibitor, including with a RAS(ON) mutant-selective inhibitor such as RMC-6291.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17" w:lineRule="exact"/>
        <w:rPr>
          <w:sz w:val="20"/>
          <w:szCs w:val="20"/>
          <w:color w:val="auto"/>
        </w:rPr>
      </w:pPr>
    </w:p>
    <w:p>
      <w:pPr>
        <w:ind w:left="520" w:hanging="512"/>
        <w:spacing w:after="0" w:line="257"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Maximize the global value of our programs through synergistic and value-creating transactions. </w:t>
      </w:r>
      <w:r>
        <w:rPr>
          <w:rFonts w:ascii="Arial" w:cs="Arial" w:eastAsia="Arial" w:hAnsi="Arial"/>
          <w:sz w:val="18"/>
          <w:szCs w:val="18"/>
          <w:color w:val="auto"/>
        </w:rPr>
        <w:t>We have the organizational capabilities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resources to enable us to continue to complete value-creating transactions. In the future, we may enter into transactions where we believe there is an opportunity to accelerate the development and commercialization of our product candidates while allowing us to retain meaningful rights in major markets. We may also seek to acquire or in-license product candidates or technologies opportunistically that are synergistic with our drug discovery and development efforts.</w:t>
      </w:r>
    </w:p>
    <w:p>
      <w:pPr>
        <w:spacing w:after="0" w:line="75" w:lineRule="exact"/>
        <w:rPr>
          <w:rFonts w:ascii="Arial" w:cs="Arial" w:eastAsia="Arial" w:hAnsi="Arial"/>
          <w:sz w:val="18"/>
          <w:szCs w:val="18"/>
          <w:color w:val="auto"/>
        </w:rPr>
      </w:pPr>
    </w:p>
    <w:p>
      <w:pPr>
        <w:ind w:left="520" w:right="320" w:hanging="512"/>
        <w:spacing w:after="0" w:line="261" w:lineRule="auto"/>
        <w:tabs>
          <w:tab w:leader="none" w:pos="52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Maintain our culture of tireless commitment to patients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we grow our business, we will continue to apply transformative science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novel targeted therapies for patients suffering from cancers with limited therapeutic options. To accomplish this, we intend to continue building our team of qualified individuals who share our commitment to collaboration and scientific rigor in the development of novel therapies to outsmart cancer and improve the lives of patients.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opportunity: multiple large unmet needs in RAS-addicted cancers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RAS mutant epidemiology in the United States</w:t>
      </w:r>
    </w:p>
    <w:p>
      <w:pPr>
        <w:spacing w:after="0" w:line="19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Variants in RAS proteins account for approximately 30% of all human cancers in the United States, many of which are fatal. Diverse oncogenic RAS variants in three different RAS isoforms (KRAS, NRAS and HRAS) drive distinct human cancers. Figure 1 below summarizes the estimated new RAS-addicted cancers diagnosed each year in the U.S. organized into convenience groups based on tumor genetics. Based on these data, we believe there are an estimated 230,000 new cancers diagnosed per year that could potentially be addressed by RAS inhibitors in the U.S. alone.</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92075</wp:posOffset>
            </wp:positionV>
            <wp:extent cx="4757420" cy="2400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75742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0" w:right="200" w:hanging="512"/>
        <w:spacing w:after="0" w:line="244"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HRAS</w:t>
      </w:r>
      <w:r>
        <w:rPr>
          <w:rFonts w:ascii="Arial" w:cs="Arial" w:eastAsia="Arial" w:hAnsi="Arial"/>
          <w:sz w:val="24"/>
          <w:szCs w:val="24"/>
          <w:color w:val="auto"/>
          <w:vertAlign w:val="superscript"/>
        </w:rPr>
        <w:t>X</w:t>
      </w:r>
      <w:r>
        <w:rPr>
          <w:rFonts w:ascii="Arial" w:cs="Arial" w:eastAsia="Arial" w:hAnsi="Arial"/>
          <w:sz w:val="18"/>
          <w:szCs w:val="18"/>
          <w:color w:val="auto"/>
        </w:rPr>
        <w:t xml:space="preserve"> = all HRAS mutants; NRAS</w:t>
      </w:r>
      <w:r>
        <w:rPr>
          <w:rFonts w:ascii="Arial" w:cs="Arial" w:eastAsia="Arial" w:hAnsi="Arial"/>
          <w:sz w:val="24"/>
          <w:szCs w:val="24"/>
          <w:color w:val="auto"/>
          <w:vertAlign w:val="superscript"/>
        </w:rPr>
        <w:t>Q61X</w:t>
      </w:r>
      <w:r>
        <w:rPr>
          <w:rFonts w:ascii="Arial" w:cs="Arial" w:eastAsia="Arial" w:hAnsi="Arial"/>
          <w:sz w:val="18"/>
          <w:szCs w:val="18"/>
          <w:color w:val="auto"/>
        </w:rPr>
        <w:t xml:space="preserve"> X = H, K, L, R, P; RAS</w:t>
      </w:r>
      <w:r>
        <w:rPr>
          <w:rFonts w:ascii="Arial" w:cs="Arial" w:eastAsia="Arial" w:hAnsi="Arial"/>
          <w:sz w:val="24"/>
          <w:szCs w:val="24"/>
          <w:color w:val="auto"/>
          <w:vertAlign w:val="superscript"/>
        </w:rPr>
        <w:t>WT</w:t>
      </w:r>
      <w:r>
        <w:rPr>
          <w:rFonts w:ascii="Arial" w:cs="Arial" w:eastAsia="Arial" w:hAnsi="Arial"/>
          <w:sz w:val="18"/>
          <w:szCs w:val="18"/>
          <w:color w:val="auto"/>
        </w:rPr>
        <w:t xml:space="preserve"> = NF1</w:t>
      </w:r>
      <w:r>
        <w:rPr>
          <w:rFonts w:ascii="Arial" w:cs="Arial" w:eastAsia="Arial" w:hAnsi="Arial"/>
          <w:sz w:val="24"/>
          <w:szCs w:val="24"/>
          <w:color w:val="auto"/>
          <w:vertAlign w:val="superscript"/>
        </w:rPr>
        <w:t>LOF</w:t>
      </w:r>
      <w:r>
        <w:rPr>
          <w:rFonts w:ascii="Arial" w:cs="Arial" w:eastAsia="Arial" w:hAnsi="Arial"/>
          <w:sz w:val="18"/>
          <w:szCs w:val="18"/>
          <w:color w:val="auto"/>
        </w:rPr>
        <w:t>, RAS</w:t>
      </w:r>
      <w:r>
        <w:rPr>
          <w:rFonts w:ascii="Arial" w:cs="Arial" w:eastAsia="Arial" w:hAnsi="Arial"/>
          <w:sz w:val="24"/>
          <w:szCs w:val="24"/>
          <w:color w:val="auto"/>
          <w:vertAlign w:val="superscript"/>
        </w:rPr>
        <w:t>WTamp</w:t>
      </w:r>
      <w:r>
        <w:rPr>
          <w:rFonts w:ascii="Arial" w:cs="Arial" w:eastAsia="Arial" w:hAnsi="Arial"/>
          <w:sz w:val="18"/>
          <w:szCs w:val="18"/>
          <w:color w:val="auto"/>
        </w:rPr>
        <w:t>, BRAF</w:t>
      </w:r>
      <w:r>
        <w:rPr>
          <w:rFonts w:ascii="Arial" w:cs="Arial" w:eastAsia="Arial" w:hAnsi="Arial"/>
          <w:sz w:val="24"/>
          <w:szCs w:val="24"/>
          <w:color w:val="auto"/>
          <w:vertAlign w:val="superscript"/>
        </w:rPr>
        <w:t>class3</w:t>
      </w:r>
      <w:r>
        <w:rPr>
          <w:rFonts w:ascii="Arial" w:cs="Arial" w:eastAsia="Arial" w:hAnsi="Arial"/>
          <w:sz w:val="18"/>
          <w:szCs w:val="18"/>
          <w:color w:val="auto"/>
        </w:rPr>
        <w:t xml:space="preserve"> and PTPN11</w:t>
      </w:r>
      <w:r>
        <w:rPr>
          <w:rFonts w:ascii="Arial" w:cs="Arial" w:eastAsia="Arial" w:hAnsi="Arial"/>
          <w:sz w:val="24"/>
          <w:szCs w:val="24"/>
          <w:color w:val="auto"/>
          <w:vertAlign w:val="superscript"/>
        </w:rPr>
        <w:t>MUT</w:t>
      </w:r>
      <w:r>
        <w:rPr>
          <w:rFonts w:ascii="Arial" w:cs="Arial" w:eastAsia="Arial" w:hAnsi="Arial"/>
          <w:sz w:val="18"/>
          <w:szCs w:val="18"/>
          <w:color w:val="auto"/>
        </w:rPr>
        <w:t>; KRAS</w:t>
      </w:r>
      <w:r>
        <w:rPr>
          <w:rFonts w:ascii="Arial" w:cs="Arial" w:eastAsia="Arial" w:hAnsi="Arial"/>
          <w:sz w:val="24"/>
          <w:szCs w:val="24"/>
          <w:color w:val="auto"/>
          <w:vertAlign w:val="superscript"/>
        </w:rPr>
        <w:t>X</w:t>
      </w:r>
      <w:r>
        <w:rPr>
          <w:rFonts w:ascii="Arial" w:cs="Arial" w:eastAsia="Arial" w:hAnsi="Arial"/>
          <w:sz w:val="18"/>
          <w:szCs w:val="18"/>
          <w:color w:val="auto"/>
        </w:rPr>
        <w:t xml:space="preserve"> X = G12A, G12R, G12S and A146T; KRAS</w:t>
      </w:r>
      <w:r>
        <w:rPr>
          <w:rFonts w:ascii="Arial" w:cs="Arial" w:eastAsia="Arial" w:hAnsi="Arial"/>
          <w:sz w:val="24"/>
          <w:szCs w:val="24"/>
          <w:color w:val="auto"/>
          <w:vertAlign w:val="superscript"/>
        </w:rPr>
        <w:t>Q61X</w:t>
      </w:r>
      <w:r>
        <w:rPr>
          <w:rFonts w:ascii="Arial" w:cs="Arial" w:eastAsia="Arial" w:hAnsi="Arial"/>
          <w:sz w:val="18"/>
          <w:szCs w:val="18"/>
          <w:color w:val="auto"/>
        </w:rPr>
        <w:t xml:space="preserve"> X = H, K, L; RAS</w:t>
      </w:r>
      <w:r>
        <w:rPr>
          <w:rFonts w:ascii="Arial" w:cs="Arial" w:eastAsia="Arial" w:hAnsi="Arial"/>
          <w:sz w:val="24"/>
          <w:szCs w:val="24"/>
          <w:color w:val="auto"/>
          <w:vertAlign w:val="superscript"/>
        </w:rPr>
        <w:t>G12C</w:t>
      </w:r>
      <w:r>
        <w:rPr>
          <w:rFonts w:ascii="Arial" w:cs="Arial" w:eastAsia="Arial" w:hAnsi="Arial"/>
          <w:sz w:val="18"/>
          <w:szCs w:val="18"/>
          <w:color w:val="auto"/>
        </w:rPr>
        <w:t xml:space="preserve"> includes KRAS</w:t>
      </w:r>
      <w:r>
        <w:rPr>
          <w:rFonts w:ascii="Arial" w:cs="Arial" w:eastAsia="Arial" w:hAnsi="Arial"/>
          <w:sz w:val="24"/>
          <w:szCs w:val="24"/>
          <w:color w:val="auto"/>
          <w:vertAlign w:val="superscript"/>
        </w:rPr>
        <w:t>G12C</w:t>
      </w:r>
      <w:r>
        <w:rPr>
          <w:rFonts w:ascii="Arial" w:cs="Arial" w:eastAsia="Arial" w:hAnsi="Arial"/>
          <w:sz w:val="18"/>
          <w:szCs w:val="18"/>
          <w:color w:val="auto"/>
        </w:rPr>
        <w:t xml:space="preserve"> and NRAS</w:t>
      </w:r>
      <w:r>
        <w:rPr>
          <w:rFonts w:ascii="Arial" w:cs="Arial" w:eastAsia="Arial" w:hAnsi="Arial"/>
          <w:sz w:val="24"/>
          <w:szCs w:val="24"/>
          <w:color w:val="auto"/>
          <w:vertAlign w:val="superscript"/>
        </w:rPr>
        <w:t>G12C</w:t>
      </w:r>
      <w:r>
        <w:rPr>
          <w:rFonts w:ascii="Arial" w:cs="Arial" w:eastAsia="Arial" w:hAnsi="Arial"/>
          <w:sz w:val="18"/>
          <w:szCs w:val="18"/>
          <w:color w:val="auto"/>
        </w:rPr>
        <w:t>.</w:t>
      </w:r>
    </w:p>
    <w:p>
      <w:pPr>
        <w:spacing w:after="0" w:line="27" w:lineRule="exact"/>
        <w:rPr>
          <w:rFonts w:ascii="Arial" w:cs="Arial" w:eastAsia="Arial" w:hAnsi="Arial"/>
          <w:sz w:val="18"/>
          <w:szCs w:val="18"/>
          <w:color w:val="auto"/>
        </w:rPr>
      </w:pPr>
    </w:p>
    <w:p>
      <w:pPr>
        <w:ind w:left="520" w:right="40" w:hanging="512"/>
        <w:spacing w:after="0" w:line="259" w:lineRule="auto"/>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Calculated using tumor mutation frequencies from Foundation Medicine Insights August 2020 and scaled to estimated patient numbers using cancer incidence from ACS </w:t>
      </w:r>
      <w:r>
        <w:rPr>
          <w:rFonts w:ascii="Arial" w:cs="Arial" w:eastAsia="Arial" w:hAnsi="Arial"/>
          <w:sz w:val="18"/>
          <w:szCs w:val="18"/>
          <w:i w:val="1"/>
          <w:iCs w:val="1"/>
          <w:color w:val="auto"/>
        </w:rPr>
        <w:t>Cancer Facts and Figures</w:t>
      </w:r>
      <w:r>
        <w:rPr>
          <w:rFonts w:ascii="Arial" w:cs="Arial" w:eastAsia="Arial" w:hAnsi="Arial"/>
          <w:sz w:val="18"/>
          <w:szCs w:val="18"/>
          <w:color w:val="auto"/>
        </w:rPr>
        <w:t xml:space="preserve"> 2020. Includes 12 major types: non-small cell lung cancer, colorectal, pancreatic adenocarcinoma, renal, gastroesophageal, head and neck squamous cell, ovarian and biliary cancers, acute myeloid leukemia, and advanced melanoma, bladder and uterine/endometrial cancers causing mortality.</w:t>
      </w:r>
    </w:p>
    <w:p>
      <w:pPr>
        <w:spacing w:after="0" w:line="78" w:lineRule="exact"/>
        <w:rPr>
          <w:rFonts w:ascii="Arial" w:cs="Arial" w:eastAsia="Arial" w:hAnsi="Arial"/>
          <w:sz w:val="18"/>
          <w:szCs w:val="18"/>
          <w:color w:val="auto"/>
        </w:rPr>
      </w:pPr>
    </w:p>
    <w:p>
      <w:pPr>
        <w:ind w:left="520" w:hanging="512"/>
        <w:spacing w:after="0"/>
        <w:tabs>
          <w:tab w:leader="none" w:pos="5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Estimated worldwide annual incidence of RAS-mutated cancers is 3.4 million per year. Prior et al., </w:t>
      </w:r>
      <w:r>
        <w:rPr>
          <w:rFonts w:ascii="Arial" w:cs="Arial" w:eastAsia="Arial" w:hAnsi="Arial"/>
          <w:sz w:val="18"/>
          <w:szCs w:val="18"/>
          <w:i w:val="1"/>
          <w:iCs w:val="1"/>
          <w:color w:val="auto"/>
        </w:rPr>
        <w:t>Cancer Research</w:t>
      </w:r>
      <w:r>
        <w:rPr>
          <w:rFonts w:ascii="Arial" w:cs="Arial" w:eastAsia="Arial" w:hAnsi="Arial"/>
          <w:sz w:val="18"/>
          <w:szCs w:val="18"/>
          <w:color w:val="auto"/>
        </w:rPr>
        <w:t xml:space="preserve"> 2020.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innovation engine</w:t>
      </w:r>
    </w:p>
    <w:p>
      <w:pPr>
        <w:spacing w:after="0" w:line="202"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We have built an innovation engine that enables us to discover and develop novel targeted therapies for elusive high-value frontier cancer targets with particular focus on a cohesive set of disease targets within notorious growth and survival pathways. This engine is centered around our proprietary tri-complex platform and is bolstered by three complementary pillars:</w:t>
      </w:r>
    </w:p>
    <w:p>
      <w:pPr>
        <w:spacing w:after="0" w:line="76" w:lineRule="exact"/>
        <w:rPr>
          <w:sz w:val="20"/>
          <w:szCs w:val="20"/>
          <w:color w:val="auto"/>
        </w:rPr>
      </w:pPr>
    </w:p>
    <w:p>
      <w:pPr>
        <w:ind w:left="520" w:right="120" w:hanging="512"/>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Deep chemical biology and cancer pharmacology know-how, including assays and proprietary tool compounds, to define the critical vulnerabilities of “frontier” RAS and mTOR pathway targets and associated signaling circuits in cancer cells;</w:t>
      </w:r>
    </w:p>
    <w:p>
      <w:pPr>
        <w:spacing w:after="0" w:line="62" w:lineRule="exact"/>
        <w:rPr>
          <w:rFonts w:ascii="Arial" w:cs="Arial" w:eastAsia="Arial" w:hAnsi="Arial"/>
          <w:sz w:val="18"/>
          <w:szCs w:val="18"/>
          <w:color w:val="auto"/>
        </w:rPr>
      </w:pPr>
    </w:p>
    <w:p>
      <w:pPr>
        <w:ind w:left="520" w:right="160" w:hanging="512"/>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Sophisticated structure-based drug discovery capabilities, including proven access to complex chemical space, to create drug candidates tailored to unconventional binding sites on elusive cancer targets; and</w:t>
      </w:r>
    </w:p>
    <w:p>
      <w:pPr>
        <w:spacing w:after="0" w:line="62" w:lineRule="exact"/>
        <w:rPr>
          <w:rFonts w:ascii="Arial" w:cs="Arial" w:eastAsia="Arial" w:hAnsi="Arial"/>
          <w:sz w:val="18"/>
          <w:szCs w:val="18"/>
          <w:color w:val="auto"/>
        </w:rPr>
      </w:pPr>
    </w:p>
    <w:p>
      <w:pPr>
        <w:ind w:left="520" w:right="560" w:hanging="512"/>
        <w:spacing w:after="0" w:line="277"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Astute precision medicine approach, embracing patient selection and innovative single agent and combination drug regimens, to translate our preclinical insights into clinical benefit for patients with RAS-addicted cancers.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Tri-complex platform</w:t>
      </w:r>
    </w:p>
    <w:p>
      <w:pPr>
        <w:spacing w:after="0" w:line="1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proprietary tri-complex technology enables us to discover small molecule inhibitors of targets lacking intrinsic drug binding sites by inducing new druggable pockets. This occurs through small molecule-driven formation of a high affinity ternary complex (tri-complex) between the target protein, the small molecule, and a widely expressed cytosolic protein called a chaperone (e.g., FKPB12 or cyclophilin A). This platform technology is the foundation of our RAS(ON) Inhibitor programs. In this context, the inhibitory effect of tri-complex formation on the RAS(ON) target is mediated by steric occlusion of the site where RAS(ON) binds its downstream effector molecules, such as RAF, which are required for propagating the oncogenic signal. Thus, tri-complex formation with RAS(ON) targets disrupts RAS effector binding and terminates oncogenic signaling. Our RAS(ON) tri-complex inhibitors, which are inspired by natural products, are “Beyond Rule of 5” compounds.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Pipeline</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pipeline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168910</wp:posOffset>
            </wp:positionV>
            <wp:extent cx="6172200" cy="2768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7220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RAS(ON) Inhibitors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Our RAS(ON) Inhibitors are based on our proprietary tri-complex technology platform, which enables a highly differentiated approach to inhibiting the active, GTP-bound form of RAS, or RAS(ON). We are developing a portfolio of compounds that we believe are the first and only RAS(ON) Inhibitors to use this mechanism of action. Our portfolio of RAS(ON) inhibitors includes three compounds that we consider as the first wave of RAS(ON) Inhibitors that we are advancing: RMC-6236 (RAS</w:t>
      </w:r>
      <w:r>
        <w:rPr>
          <w:rFonts w:ascii="Arial" w:cs="Arial" w:eastAsia="Arial" w:hAnsi="Arial"/>
          <w:sz w:val="24"/>
          <w:szCs w:val="24"/>
          <w:color w:val="auto"/>
          <w:vertAlign w:val="superscript"/>
        </w:rPr>
        <w:t>MULTI</w:t>
      </w:r>
      <w:r>
        <w:rPr>
          <w:rFonts w:ascii="Arial" w:cs="Arial" w:eastAsia="Arial" w:hAnsi="Arial"/>
          <w:sz w:val="18"/>
          <w:szCs w:val="18"/>
          <w:color w:val="auto"/>
        </w:rPr>
        <w:t>), RMC-6291 (KRAS</w:t>
      </w:r>
      <w:r>
        <w:rPr>
          <w:rFonts w:ascii="Arial" w:cs="Arial" w:eastAsia="Arial" w:hAnsi="Arial"/>
          <w:sz w:val="24"/>
          <w:szCs w:val="24"/>
          <w:color w:val="auto"/>
          <w:vertAlign w:val="superscript"/>
        </w:rPr>
        <w:t>G12C</w:t>
      </w:r>
      <w:r>
        <w:rPr>
          <w:rFonts w:ascii="Arial" w:cs="Arial" w:eastAsia="Arial" w:hAnsi="Arial"/>
          <w:sz w:val="18"/>
          <w:szCs w:val="18"/>
          <w:color w:val="auto"/>
        </w:rPr>
        <w:t>) and RMC-9805 (KRAS</w:t>
      </w:r>
      <w:r>
        <w:rPr>
          <w:rFonts w:ascii="Arial" w:cs="Arial" w:eastAsia="Arial" w:hAnsi="Arial"/>
          <w:sz w:val="24"/>
          <w:szCs w:val="24"/>
          <w:color w:val="auto"/>
          <w:vertAlign w:val="superscript"/>
        </w:rPr>
        <w:t>G12D</w:t>
      </w:r>
      <w:r>
        <w:rPr>
          <w:rFonts w:ascii="Arial" w:cs="Arial" w:eastAsia="Arial" w:hAnsi="Arial"/>
          <w:sz w:val="18"/>
          <w:szCs w:val="18"/>
          <w:color w:val="auto"/>
        </w:rPr>
        <w:t>). Beyond this first wave of RAS(ON) Inhibitors, we have other RAS(ON) Inhibitor compounds currently in our research and development pipeline, including our development candidates RMC-8839 (KRAS</w:t>
      </w:r>
      <w:r>
        <w:rPr>
          <w:rFonts w:ascii="Arial" w:cs="Arial" w:eastAsia="Arial" w:hAnsi="Arial"/>
          <w:sz w:val="24"/>
          <w:szCs w:val="24"/>
          <w:color w:val="auto"/>
          <w:vertAlign w:val="superscript"/>
        </w:rPr>
        <w:t>G13C</w:t>
      </w:r>
      <w:r>
        <w:rPr>
          <w:rFonts w:ascii="Arial" w:cs="Arial" w:eastAsia="Arial" w:hAnsi="Arial"/>
          <w:sz w:val="18"/>
          <w:szCs w:val="18"/>
          <w:color w:val="auto"/>
        </w:rPr>
        <w:t>) and RMC-0708 (KRAS</w:t>
      </w:r>
      <w:r>
        <w:rPr>
          <w:rFonts w:ascii="Arial" w:cs="Arial" w:eastAsia="Arial" w:hAnsi="Arial"/>
          <w:sz w:val="24"/>
          <w:szCs w:val="24"/>
          <w:color w:val="auto"/>
          <w:vertAlign w:val="superscript"/>
        </w:rPr>
        <w:t>Q61H</w:t>
      </w:r>
      <w:r>
        <w:rPr>
          <w:rFonts w:ascii="Arial" w:cs="Arial" w:eastAsia="Arial" w:hAnsi="Arial"/>
          <w:sz w:val="18"/>
          <w:szCs w:val="18"/>
          <w:color w:val="auto"/>
        </w:rPr>
        <w:t>).</w:t>
      </w:r>
    </w:p>
    <w:p>
      <w:pPr>
        <w:spacing w:after="0" w:line="86" w:lineRule="exact"/>
        <w:rPr>
          <w:sz w:val="20"/>
          <w:szCs w:val="20"/>
          <w:color w:val="auto"/>
        </w:rPr>
      </w:pPr>
    </w:p>
    <w:p>
      <w:pPr>
        <w:spacing w:after="0" w:line="255" w:lineRule="auto"/>
        <w:rPr>
          <w:sz w:val="20"/>
          <w:szCs w:val="20"/>
          <w:color w:val="auto"/>
        </w:rPr>
      </w:pPr>
      <w:r>
        <w:rPr>
          <w:rFonts w:ascii="Arial" w:cs="Arial" w:eastAsia="Arial" w:hAnsi="Arial"/>
          <w:sz w:val="16"/>
          <w:szCs w:val="16"/>
          <w:color w:val="auto"/>
        </w:rPr>
        <w:t>We believe that direct inhibitors of RAS(ON) will suppress cell growth and survival and be less susceptible to adaptive resistance mechanisms recognized for RAS(OFF) inhibitors. We plan to evaluate our RAS(ON) Inhibitors alone and in combination with other drugs and investigational drug candidates, particularly in-pathway agents. We believe tailored RAS(ON) inhibitors will be useful to serve the diverse landscape of RAS-driven cancers optimally. We believe that in some cases, patients may experience maximal clinical benefit from the broad activity of our RAS</w:t>
      </w:r>
      <w:r>
        <w:rPr>
          <w:rFonts w:ascii="Arial" w:cs="Arial" w:eastAsia="Arial" w:hAnsi="Arial"/>
          <w:sz w:val="21"/>
          <w:szCs w:val="21"/>
          <w:color w:val="auto"/>
          <w:vertAlign w:val="superscript"/>
        </w:rPr>
        <w:t>MULTI</w:t>
      </w:r>
      <w:r>
        <w:rPr>
          <w:rFonts w:ascii="Arial" w:cs="Arial" w:eastAsia="Arial" w:hAnsi="Arial"/>
          <w:sz w:val="16"/>
          <w:szCs w:val="16"/>
          <w:color w:val="auto"/>
        </w:rPr>
        <w:t>(ON) inhibitor, RMC-6236, if approved. In others, treatment with a mutant-selective RAS(ON) inhibitor like RMC-6291 (KRAS</w:t>
      </w:r>
      <w:r>
        <w:rPr>
          <w:rFonts w:ascii="Arial" w:cs="Arial" w:eastAsia="Arial" w:hAnsi="Arial"/>
          <w:sz w:val="21"/>
          <w:szCs w:val="21"/>
          <w:color w:val="auto"/>
          <w:vertAlign w:val="superscript"/>
        </w:rPr>
        <w:t>G12C</w:t>
      </w:r>
      <w:r>
        <w:rPr>
          <w:rFonts w:ascii="Arial" w:cs="Arial" w:eastAsia="Arial" w:hAnsi="Arial"/>
          <w:sz w:val="16"/>
          <w:szCs w:val="16"/>
          <w:color w:val="auto"/>
        </w:rPr>
        <w:t>), RMC-9805 (KRAS</w:t>
      </w:r>
      <w:r>
        <w:rPr>
          <w:rFonts w:ascii="Arial" w:cs="Arial" w:eastAsia="Arial" w:hAnsi="Arial"/>
          <w:sz w:val="21"/>
          <w:szCs w:val="21"/>
          <w:color w:val="auto"/>
          <w:vertAlign w:val="superscript"/>
        </w:rPr>
        <w:t>G12D</w:t>
      </w:r>
      <w:r>
        <w:rPr>
          <w:rFonts w:ascii="Arial" w:cs="Arial" w:eastAsia="Arial" w:hAnsi="Arial"/>
          <w:sz w:val="16"/>
          <w:szCs w:val="16"/>
          <w:color w:val="auto"/>
        </w:rPr>
        <w:t>), RMC-8839 (KRAS</w:t>
      </w:r>
      <w:r>
        <w:rPr>
          <w:rFonts w:ascii="Arial" w:cs="Arial" w:eastAsia="Arial" w:hAnsi="Arial"/>
          <w:sz w:val="21"/>
          <w:szCs w:val="21"/>
          <w:color w:val="auto"/>
          <w:vertAlign w:val="superscript"/>
        </w:rPr>
        <w:t>G13C</w:t>
      </w:r>
      <w:r>
        <w:rPr>
          <w:rFonts w:ascii="Arial" w:cs="Arial" w:eastAsia="Arial" w:hAnsi="Arial"/>
          <w:sz w:val="16"/>
          <w:szCs w:val="16"/>
          <w:color w:val="auto"/>
        </w:rPr>
        <w:t>) or RMC-0708 (KRAS</w:t>
      </w:r>
      <w:r>
        <w:rPr>
          <w:rFonts w:ascii="Arial" w:cs="Arial" w:eastAsia="Arial" w:hAnsi="Arial"/>
          <w:sz w:val="21"/>
          <w:szCs w:val="21"/>
          <w:color w:val="auto"/>
          <w:vertAlign w:val="superscript"/>
        </w:rPr>
        <w:t>Q61H</w:t>
      </w:r>
      <w:r>
        <w:rPr>
          <w:rFonts w:ascii="Arial" w:cs="Arial" w:eastAsia="Arial" w:hAnsi="Arial"/>
          <w:sz w:val="16"/>
          <w:szCs w:val="16"/>
          <w:color w:val="auto"/>
        </w:rPr>
        <w:t>) may be optimal. Consistent with this thesis, we are pursuing additional RAS mutant-selective inhibitors for RAS variants KRAS</w:t>
      </w:r>
      <w:r>
        <w:rPr>
          <w:rFonts w:ascii="Arial" w:cs="Arial" w:eastAsia="Arial" w:hAnsi="Arial"/>
          <w:sz w:val="21"/>
          <w:szCs w:val="21"/>
          <w:color w:val="auto"/>
          <w:vertAlign w:val="superscript"/>
        </w:rPr>
        <w:t>G12R</w:t>
      </w:r>
      <w:r>
        <w:rPr>
          <w:rFonts w:ascii="Arial" w:cs="Arial" w:eastAsia="Arial" w:hAnsi="Arial"/>
          <w:sz w:val="16"/>
          <w:szCs w:val="16"/>
          <w:color w:val="auto"/>
        </w:rPr>
        <w:t>, KRAS</w:t>
      </w:r>
      <w:r>
        <w:rPr>
          <w:rFonts w:ascii="Arial" w:cs="Arial" w:eastAsia="Arial" w:hAnsi="Arial"/>
          <w:sz w:val="21"/>
          <w:szCs w:val="21"/>
          <w:color w:val="auto"/>
          <w:vertAlign w:val="superscript"/>
        </w:rPr>
        <w:t>G12V</w:t>
      </w:r>
      <w:r>
        <w:rPr>
          <w:rFonts w:ascii="Arial" w:cs="Arial" w:eastAsia="Arial" w:hAnsi="Arial"/>
          <w:sz w:val="16"/>
          <w:szCs w:val="16"/>
          <w:color w:val="auto"/>
        </w:rPr>
        <w:t>, KRAS</w:t>
      </w:r>
      <w:r>
        <w:rPr>
          <w:rFonts w:ascii="Arial" w:cs="Arial" w:eastAsia="Arial" w:hAnsi="Arial"/>
          <w:sz w:val="21"/>
          <w:szCs w:val="21"/>
          <w:color w:val="auto"/>
          <w:vertAlign w:val="superscript"/>
        </w:rPr>
        <w:t>G13D</w:t>
      </w:r>
      <w:r>
        <w:rPr>
          <w:rFonts w:ascii="Arial" w:cs="Arial" w:eastAsia="Arial" w:hAnsi="Arial"/>
          <w:sz w:val="16"/>
          <w:szCs w:val="16"/>
          <w:color w:val="auto"/>
        </w:rPr>
        <w:t xml:space="preserve"> and RAS</w:t>
      </w:r>
      <w:r>
        <w:rPr>
          <w:rFonts w:ascii="Arial" w:cs="Arial" w:eastAsia="Arial" w:hAnsi="Arial"/>
          <w:sz w:val="21"/>
          <w:szCs w:val="21"/>
          <w:color w:val="auto"/>
          <w:vertAlign w:val="superscript"/>
        </w:rPr>
        <w:t>Q61X</w:t>
      </w:r>
      <w:r>
        <w:rPr>
          <w:rFonts w:ascii="Arial" w:cs="Arial" w:eastAsia="Arial" w:hAnsi="Arial"/>
          <w:sz w:val="16"/>
          <w:szCs w:val="16"/>
          <w:color w:val="auto"/>
        </w:rPr>
        <w:t>. This strategy is a component of our broader mission to develop the best therapeutic regimens for patients with RAS mutant cancer by combining the optimal RAS(ON) Inhibitor with the optimal RAS Companion Inhibitor.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RMC-6236</w:t>
      </w:r>
    </w:p>
    <w:p>
      <w:pPr>
        <w:spacing w:after="0" w:line="203"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RMC-6236, our RAS</w:t>
      </w:r>
      <w:r>
        <w:rPr>
          <w:rFonts w:ascii="Arial" w:cs="Arial" w:eastAsia="Arial" w:hAnsi="Arial"/>
          <w:sz w:val="21"/>
          <w:szCs w:val="21"/>
          <w:color w:val="auto"/>
          <w:vertAlign w:val="superscript"/>
        </w:rPr>
        <w:t>MULTI</w:t>
      </w:r>
      <w:r>
        <w:rPr>
          <w:rFonts w:ascii="Arial" w:cs="Arial" w:eastAsia="Arial" w:hAnsi="Arial"/>
          <w:sz w:val="16"/>
          <w:szCs w:val="16"/>
          <w:color w:val="auto"/>
        </w:rPr>
        <w:t>(ON) inhibitor development candidate, designed as a first-in-class, potent, oral, RAS-selective tri-complex inhibitor of multiple RAS(ON) variants including cancer drivers at all three of the major mutation hotspot positions, G12, G13, and Q61. RMC-6236 inhibits all three major RAS isoforms, suppressing the mutant cancer driver and cooperating wild-type RAS proteins. RMC-6236 is being evaluated in an ongoing monotherapy dose-escalation Phase 1/1b clinical study in certain patients with KRAS</w:t>
      </w:r>
      <w:r>
        <w:rPr>
          <w:rFonts w:ascii="Arial" w:cs="Arial" w:eastAsia="Arial" w:hAnsi="Arial"/>
          <w:sz w:val="21"/>
          <w:szCs w:val="21"/>
          <w:color w:val="auto"/>
          <w:vertAlign w:val="superscript"/>
        </w:rPr>
        <w:t>G12X</w:t>
      </w:r>
      <w:r>
        <w:rPr>
          <w:rFonts w:ascii="Arial" w:cs="Arial" w:eastAsia="Arial" w:hAnsi="Arial"/>
          <w:sz w:val="16"/>
          <w:szCs w:val="16"/>
          <w:color w:val="auto"/>
        </w:rPr>
        <w:t xml:space="preserve"> tumors, focused on NSCLC, pancreatic and colorectal cancers.</w:t>
      </w:r>
    </w:p>
    <w:p>
      <w:pPr>
        <w:spacing w:after="0" w:line="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13" w:right="439" w:bottom="1440" w:gutter="0" w:footer="0" w:header="0"/>
        </w:sectPr>
      </w:pPr>
    </w:p>
    <w:bookmarkStart w:id="12" w:name="page13"/>
    <w:bookmarkEnd w:id="12"/>
    <w:p>
      <w:pPr>
        <w:ind w:right="40"/>
        <w:spacing w:after="0" w:line="226" w:lineRule="auto"/>
        <w:rPr>
          <w:sz w:val="20"/>
          <w:szCs w:val="20"/>
          <w:color w:val="auto"/>
        </w:rPr>
      </w:pPr>
      <w:r>
        <w:rPr>
          <w:rFonts w:ascii="Arial" w:cs="Arial" w:eastAsia="Arial" w:hAnsi="Arial"/>
          <w:sz w:val="17"/>
          <w:szCs w:val="17"/>
          <w:color w:val="auto"/>
        </w:rPr>
        <w:t xml:space="preserve">In a series of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tumor xenograft studies, RMC-6236 was highly active against lung, pancreatic and colorectal cancers bearing KRAS</w:t>
      </w:r>
      <w:r>
        <w:rPr>
          <w:rFonts w:ascii="Arial" w:cs="Arial" w:eastAsia="Arial" w:hAnsi="Arial"/>
          <w:sz w:val="23"/>
          <w:szCs w:val="23"/>
          <w:color w:val="auto"/>
          <w:vertAlign w:val="superscript"/>
        </w:rPr>
        <w:t>G12X</w:t>
      </w:r>
      <w:r>
        <w:rPr>
          <w:rFonts w:ascii="Arial" w:cs="Arial" w:eastAsia="Arial" w:hAnsi="Arial"/>
          <w:sz w:val="17"/>
          <w:szCs w:val="17"/>
          <w:color w:val="auto"/>
        </w:rPr>
        <w:t xml:space="preserve"> driver mutations (KRAS</w:t>
      </w:r>
      <w:r>
        <w:rPr>
          <w:rFonts w:ascii="Arial" w:cs="Arial" w:eastAsia="Arial" w:hAnsi="Arial"/>
          <w:sz w:val="23"/>
          <w:szCs w:val="23"/>
          <w:color w:val="auto"/>
          <w:vertAlign w:val="superscript"/>
        </w:rPr>
        <w:t>G12D</w:t>
      </w:r>
      <w:r>
        <w:rPr>
          <w:rFonts w:ascii="Arial" w:cs="Arial" w:eastAsia="Arial" w:hAnsi="Arial"/>
          <w:sz w:val="17"/>
          <w:szCs w:val="17"/>
          <w:color w:val="auto"/>
        </w:rPr>
        <w:t>, KRAS</w:t>
      </w:r>
      <w:r>
        <w:rPr>
          <w:rFonts w:ascii="Arial" w:cs="Arial" w:eastAsia="Arial" w:hAnsi="Arial"/>
          <w:sz w:val="23"/>
          <w:szCs w:val="23"/>
          <w:color w:val="auto"/>
          <w:vertAlign w:val="superscript"/>
        </w:rPr>
        <w:t>G12V</w:t>
      </w:r>
      <w:r>
        <w:rPr>
          <w:rFonts w:ascii="Arial" w:cs="Arial" w:eastAsia="Arial" w:hAnsi="Arial"/>
          <w:sz w:val="17"/>
          <w:szCs w:val="17"/>
          <w:color w:val="auto"/>
        </w:rPr>
        <w:t>, KRAS</w:t>
      </w:r>
      <w:r>
        <w:rPr>
          <w:rFonts w:ascii="Arial" w:cs="Arial" w:eastAsia="Arial" w:hAnsi="Arial"/>
          <w:sz w:val="23"/>
          <w:szCs w:val="23"/>
          <w:color w:val="auto"/>
          <w:vertAlign w:val="superscript"/>
        </w:rPr>
        <w:t>G12R</w:t>
      </w:r>
      <w:r>
        <w:rPr>
          <w:rFonts w:ascii="Arial" w:cs="Arial" w:eastAsia="Arial" w:hAnsi="Arial"/>
          <w:sz w:val="17"/>
          <w:szCs w:val="17"/>
          <w:color w:val="auto"/>
        </w:rPr>
        <w:t xml:space="preserve"> or KRAS</w:t>
      </w:r>
      <w:r>
        <w:rPr>
          <w:rFonts w:ascii="Arial" w:cs="Arial" w:eastAsia="Arial" w:hAnsi="Arial"/>
          <w:sz w:val="23"/>
          <w:szCs w:val="23"/>
          <w:color w:val="auto"/>
          <w:vertAlign w:val="superscript"/>
        </w:rPr>
        <w:t>G12C</w:t>
      </w:r>
      <w:r>
        <w:rPr>
          <w:rFonts w:ascii="Arial" w:cs="Arial" w:eastAsia="Arial" w:hAnsi="Arial"/>
          <w:sz w:val="17"/>
          <w:szCs w:val="17"/>
          <w:color w:val="auto"/>
        </w:rPr>
        <w:t>; Figure 2). Across cancer types, RMC-6236 drove deep tumor regressions, including complete responses, and established preclinical response rates supporting advancement into clinical development.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Figure 2. RMC-6236 was highly active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across cancer models with KRAS</w:t>
      </w:r>
      <w:r>
        <w:rPr>
          <w:rFonts w:ascii="Arial" w:cs="Arial" w:eastAsia="Arial" w:hAnsi="Arial"/>
          <w:sz w:val="24"/>
          <w:szCs w:val="24"/>
          <w:color w:val="auto"/>
          <w:vertAlign w:val="superscript"/>
        </w:rPr>
        <w:t>G12X</w:t>
      </w:r>
      <w:r>
        <w:rPr>
          <w:rFonts w:ascii="Arial" w:cs="Arial" w:eastAsia="Arial" w:hAnsi="Arial"/>
          <w:sz w:val="18"/>
          <w:szCs w:val="18"/>
          <w:color w:val="auto"/>
        </w:rPr>
        <w:t xml:space="preserve"> drivers.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53340</wp:posOffset>
            </wp:positionV>
            <wp:extent cx="6172200" cy="31972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72200" cy="3197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60"/>
        <w:spacing w:after="0" w:line="222" w:lineRule="auto"/>
        <w:rPr>
          <w:sz w:val="20"/>
          <w:szCs w:val="20"/>
          <w:color w:val="auto"/>
        </w:rPr>
      </w:pPr>
      <w:r>
        <w:rPr>
          <w:rFonts w:ascii="Arial" w:cs="Arial" w:eastAsia="Arial" w:hAnsi="Arial"/>
          <w:sz w:val="14"/>
          <w:szCs w:val="14"/>
          <w:i w:val="1"/>
          <w:iCs w:val="1"/>
          <w:color w:val="auto"/>
        </w:rPr>
        <w:t xml:space="preserve">In vivo </w:t>
      </w:r>
      <w:r>
        <w:rPr>
          <w:rFonts w:ascii="Arial" w:cs="Arial" w:eastAsia="Arial" w:hAnsi="Arial"/>
          <w:sz w:val="14"/>
          <w:szCs w:val="14"/>
          <w:color w:val="auto"/>
        </w:rPr>
        <w:t>characterization of the effect of RMC-6236 on the growth of KRAS</w:t>
      </w:r>
      <w:r>
        <w:rPr>
          <w:rFonts w:ascii="Arial" w:cs="Arial" w:eastAsia="Arial" w:hAnsi="Arial"/>
          <w:sz w:val="19"/>
          <w:szCs w:val="19"/>
          <w:color w:val="auto"/>
          <w:vertAlign w:val="superscript"/>
        </w:rPr>
        <w:t>G12X</w:t>
      </w:r>
      <w:r>
        <w:rPr>
          <w:rFonts w:ascii="Arial" w:cs="Arial" w:eastAsia="Arial" w:hAnsi="Arial"/>
          <w:sz w:val="14"/>
          <w:szCs w:val="14"/>
          <w:i w:val="1"/>
          <w:iCs w:val="1"/>
          <w:color w:val="auto"/>
        </w:rPr>
        <w:t xml:space="preserve"> </w:t>
      </w:r>
      <w:r>
        <w:rPr>
          <w:rFonts w:ascii="Arial" w:cs="Arial" w:eastAsia="Arial" w:hAnsi="Arial"/>
          <w:sz w:val="14"/>
          <w:szCs w:val="14"/>
          <w:color w:val="auto"/>
        </w:rPr>
        <w:t>cancers. RMC-6236 was dosed at 25 mg/kg po qd. n=1-10/group. NSCLC = non-small cell lung cancer; PDAC =</w:t>
      </w:r>
      <w:r>
        <w:rPr>
          <w:rFonts w:ascii="Arial" w:cs="Arial" w:eastAsia="Arial" w:hAnsi="Arial"/>
          <w:sz w:val="14"/>
          <w:szCs w:val="14"/>
          <w:i w:val="1"/>
          <w:iCs w:val="1"/>
          <w:color w:val="auto"/>
        </w:rPr>
        <w:t xml:space="preserve"> </w:t>
      </w:r>
      <w:r>
        <w:rPr>
          <w:rFonts w:ascii="Arial" w:cs="Arial" w:eastAsia="Arial" w:hAnsi="Arial"/>
          <w:sz w:val="14"/>
          <w:szCs w:val="14"/>
          <w:color w:val="auto"/>
        </w:rPr>
        <w:t>pancreatic ductal adenocarcinoma; CRC = colorectal cancer. Responses assigned according to mRECIST (modified from Gao et al. Nat Med. 2015). ORR = objective response rate; DCR = disease control rate. RVMD preclinical research as of 06/01/22.</w:t>
      </w:r>
    </w:p>
    <w:p>
      <w:pPr>
        <w:spacing w:after="0" w:line="187"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We believe the preclinical results for RMC-6236 show that this product candidate has the potential to treat patients whose cancers harbor a range of RAS variants, including KRAS</w:t>
      </w:r>
      <w:r>
        <w:rPr>
          <w:rFonts w:ascii="Arial" w:cs="Arial" w:eastAsia="Arial" w:hAnsi="Arial"/>
          <w:sz w:val="24"/>
          <w:szCs w:val="24"/>
          <w:color w:val="auto"/>
          <w:vertAlign w:val="superscript"/>
        </w:rPr>
        <w:t>G12X</w:t>
      </w:r>
      <w:r>
        <w:rPr>
          <w:rFonts w:ascii="Arial" w:cs="Arial" w:eastAsia="Arial" w:hAnsi="Arial"/>
          <w:sz w:val="18"/>
          <w:szCs w:val="18"/>
          <w:color w:val="auto"/>
        </w:rPr>
        <w:t xml:space="preserve"> mutations. While first-generation KRAS</w:t>
      </w:r>
      <w:r>
        <w:rPr>
          <w:rFonts w:ascii="Arial" w:cs="Arial" w:eastAsia="Arial" w:hAnsi="Arial"/>
          <w:sz w:val="24"/>
          <w:szCs w:val="24"/>
          <w:color w:val="auto"/>
          <w:vertAlign w:val="superscript"/>
        </w:rPr>
        <w:t>G12C</w:t>
      </w:r>
      <w:r>
        <w:rPr>
          <w:rFonts w:ascii="Arial" w:cs="Arial" w:eastAsia="Arial" w:hAnsi="Arial"/>
          <w:sz w:val="18"/>
          <w:szCs w:val="18"/>
          <w:color w:val="auto"/>
        </w:rPr>
        <w:t xml:space="preserve"> inhibitors have provided strong clinical validation of RAS as a cancer driver, patients with cancers bearing KRAS</w:t>
      </w:r>
      <w:r>
        <w:rPr>
          <w:rFonts w:ascii="Arial" w:cs="Arial" w:eastAsia="Arial" w:hAnsi="Arial"/>
          <w:sz w:val="24"/>
          <w:szCs w:val="24"/>
          <w:color w:val="auto"/>
          <w:vertAlign w:val="superscript"/>
        </w:rPr>
        <w:t>G12D</w:t>
      </w:r>
      <w:r>
        <w:rPr>
          <w:rFonts w:ascii="Arial" w:cs="Arial" w:eastAsia="Arial" w:hAnsi="Arial"/>
          <w:sz w:val="18"/>
          <w:szCs w:val="18"/>
          <w:color w:val="auto"/>
        </w:rPr>
        <w:t>, KRAS</w:t>
      </w:r>
      <w:r>
        <w:rPr>
          <w:rFonts w:ascii="Arial" w:cs="Arial" w:eastAsia="Arial" w:hAnsi="Arial"/>
          <w:sz w:val="24"/>
          <w:szCs w:val="24"/>
          <w:color w:val="auto"/>
          <w:vertAlign w:val="superscript"/>
        </w:rPr>
        <w:t>G12V</w:t>
      </w:r>
      <w:r>
        <w:rPr>
          <w:rFonts w:ascii="Arial" w:cs="Arial" w:eastAsia="Arial" w:hAnsi="Arial"/>
          <w:sz w:val="18"/>
          <w:szCs w:val="18"/>
          <w:color w:val="auto"/>
        </w:rPr>
        <w:t>, or KRAS</w:t>
      </w:r>
      <w:r>
        <w:rPr>
          <w:rFonts w:ascii="Arial" w:cs="Arial" w:eastAsia="Arial" w:hAnsi="Arial"/>
          <w:sz w:val="24"/>
          <w:szCs w:val="24"/>
          <w:color w:val="auto"/>
          <w:vertAlign w:val="superscript"/>
        </w:rPr>
        <w:t>G12R</w:t>
      </w:r>
      <w:r>
        <w:rPr>
          <w:rFonts w:ascii="Arial" w:cs="Arial" w:eastAsia="Arial" w:hAnsi="Arial"/>
          <w:sz w:val="18"/>
          <w:szCs w:val="18"/>
          <w:color w:val="auto"/>
        </w:rPr>
        <w:t xml:space="preserve"> mutations continue to lack targeted therapy options. In total, KRAS</w:t>
      </w:r>
      <w:r>
        <w:rPr>
          <w:rFonts w:ascii="Arial" w:cs="Arial" w:eastAsia="Arial" w:hAnsi="Arial"/>
          <w:sz w:val="24"/>
          <w:szCs w:val="24"/>
          <w:color w:val="auto"/>
          <w:vertAlign w:val="superscript"/>
        </w:rPr>
        <w:t>G12X</w:t>
      </w:r>
      <w:r>
        <w:rPr>
          <w:rFonts w:ascii="Arial" w:cs="Arial" w:eastAsia="Arial" w:hAnsi="Arial"/>
          <w:sz w:val="18"/>
          <w:szCs w:val="18"/>
          <w:color w:val="auto"/>
        </w:rPr>
        <w:t xml:space="preserve"> mutations are found in 137,000 new patients per year in the U.S., indicating major unmet medical need in the cancer types for which RMC-6236 has demonstrated strong preclinical activity.</w:t>
      </w:r>
    </w:p>
    <w:p>
      <w:pPr>
        <w:spacing w:after="0" w:line="20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the ongoing RMC-6236-001 Phase 1/1b trial, 36 patients treated across five dose cohorts ranging from 10 mg daily to 120 mg daily were evaluable for initial safety and tolerability as of a data cut-off date of February 17, 2023. All of these patients have been previously treated with standard of care and/or other regimens, with an overall median of three prior treatments. Across the study as of the data cut-off date, we have observed that RMC-6236 is orally bioavailable and exhibited dose-dependent exposures in patients that are consistent with our preclinical projections. We continue in dose escalation, as we have not yet reached a maximum-tolerated dose or defined a recommended phase 2 dose.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most common adverse events we have observed are consistent with on-target, RAS pathway toxicities (Table 1).</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22" w:right="379" w:bottom="1440" w:gutter="0" w:footer="0" w:header="0"/>
        </w:sectPr>
      </w:pPr>
    </w:p>
    <w:bookmarkStart w:id="13" w:name="page14"/>
    <w:bookmarkEnd w:id="13"/>
    <w:p>
      <w:pPr>
        <w:spacing w:after="0"/>
        <w:rPr>
          <w:sz w:val="20"/>
          <w:szCs w:val="20"/>
          <w:color w:val="auto"/>
        </w:rPr>
      </w:pPr>
      <w:r>
        <w:rPr>
          <w:rFonts w:ascii="Arial" w:cs="Arial" w:eastAsia="Arial" w:hAnsi="Arial"/>
          <w:sz w:val="18"/>
          <w:szCs w:val="18"/>
          <w:color w:val="auto"/>
        </w:rPr>
        <w:t>Table 1. RMC-6236-001: Treatment-related adverse events occurring in ≥ 10% of all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151765</wp:posOffset>
            </wp:positionV>
            <wp:extent cx="6172200" cy="1929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72200" cy="1929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Electronic Data Capture (EDC) data as of 02/17/2023. CMQ = Customized MedDRA Query.</w:t>
      </w:r>
    </w:p>
    <w:p>
      <w:pPr>
        <w:spacing w:after="0"/>
        <w:rPr>
          <w:sz w:val="20"/>
          <w:szCs w:val="20"/>
          <w:color w:val="auto"/>
        </w:rPr>
      </w:pPr>
      <w:r>
        <w:rPr>
          <w:rFonts w:ascii="Arial" w:cs="Arial" w:eastAsia="Arial" w:hAnsi="Arial"/>
          <w:sz w:val="14"/>
          <w:szCs w:val="14"/>
          <w:color w:val="auto"/>
        </w:rPr>
        <w:t>* Consists of dermatitis acneiform, dermatitis psoriasiform, palmar-plantar erythrodysesthesia syndrome, rash maculo-papular and rash pustular.</w:t>
      </w:r>
    </w:p>
    <w:p>
      <w:pPr>
        <w:spacing w:after="0" w:line="196"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color w:val="auto"/>
        </w:rPr>
        <w:t>As of the data cut-off, one related grade 4 adverse event of bowel perforation (also considered a serious adverse event) was reported in a patient receiving 80 mg daily. The likely cause of the perforation was considered to be shrinkage of metastatic KRAS</w:t>
      </w:r>
      <w:r>
        <w:rPr>
          <w:rFonts w:ascii="Arial" w:cs="Arial" w:eastAsia="Arial" w:hAnsi="Arial"/>
          <w:sz w:val="24"/>
          <w:szCs w:val="24"/>
          <w:color w:val="auto"/>
          <w:vertAlign w:val="superscript"/>
        </w:rPr>
        <w:t>G12V</w:t>
      </w:r>
      <w:r>
        <w:rPr>
          <w:rFonts w:ascii="Arial" w:cs="Arial" w:eastAsia="Arial" w:hAnsi="Arial"/>
          <w:sz w:val="18"/>
          <w:szCs w:val="18"/>
          <w:color w:val="auto"/>
        </w:rPr>
        <w:t xml:space="preserve"> pancreatic cancer at the site of full-thickness bowel infiltration by the tumor.</w:t>
      </w:r>
    </w:p>
    <w:p>
      <w:pPr>
        <w:spacing w:after="0" w:line="207"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Consistent with study eligibility criteria, patients with a range of tumor types in which KRAS</w:t>
      </w:r>
      <w:r>
        <w:rPr>
          <w:rFonts w:ascii="Arial" w:cs="Arial" w:eastAsia="Arial" w:hAnsi="Arial"/>
          <w:sz w:val="24"/>
          <w:szCs w:val="24"/>
          <w:color w:val="auto"/>
          <w:vertAlign w:val="superscript"/>
        </w:rPr>
        <w:t>G12X</w:t>
      </w:r>
      <w:r>
        <w:rPr>
          <w:rFonts w:ascii="Arial" w:cs="Arial" w:eastAsia="Arial" w:hAnsi="Arial"/>
          <w:sz w:val="18"/>
          <w:szCs w:val="18"/>
          <w:color w:val="auto"/>
        </w:rPr>
        <w:t xml:space="preserve"> mutations are common have been enrolled, including major epithelial cancers such as NSCLC, pancreatic, colorectal, and others including ovarian, appendiceal and bile duct cancers. The KRAS mutations in those tumors cover the range of KRAS</w:t>
      </w:r>
      <w:r>
        <w:rPr>
          <w:rFonts w:ascii="Arial" w:cs="Arial" w:eastAsia="Arial" w:hAnsi="Arial"/>
          <w:sz w:val="24"/>
          <w:szCs w:val="24"/>
          <w:color w:val="auto"/>
          <w:vertAlign w:val="superscript"/>
        </w:rPr>
        <w:t>G12</w:t>
      </w:r>
      <w:r>
        <w:rPr>
          <w:rFonts w:ascii="Arial" w:cs="Arial" w:eastAsia="Arial" w:hAnsi="Arial"/>
          <w:sz w:val="18"/>
          <w:szCs w:val="18"/>
          <w:color w:val="auto"/>
        </w:rPr>
        <w:t xml:space="preserve"> mutations: G12D, G12V, G12A, G12S and G12R, with G12D being the most heavily represented as of the data cut-off date. At the 10 mg and 20 mg dose levels, radiographic imaging showed either stable disease with some tumor reduction, or disease progression, as the best responses. The waterfall plot of tumor volumes below includes the nine pancreatic cancer patients and three NSCLC patients treated at 40 mg daily or higher doses and that are efficacy evaluable (Figure 3).</w:t>
      </w:r>
    </w:p>
    <w:p>
      <w:pPr>
        <w:spacing w:after="0" w:line="211"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Figure 3. RMC-6236-001: Change in tumor burden from efficacy-evaluable patients with KRAS</w:t>
      </w:r>
      <w:r>
        <w:rPr>
          <w:rFonts w:ascii="Arial" w:cs="Arial" w:eastAsia="Arial" w:hAnsi="Arial"/>
          <w:sz w:val="24"/>
          <w:szCs w:val="24"/>
          <w:color w:val="auto"/>
          <w:vertAlign w:val="superscript"/>
        </w:rPr>
        <w:t>G12X</w:t>
      </w:r>
      <w:r>
        <w:rPr>
          <w:rFonts w:ascii="Arial" w:cs="Arial" w:eastAsia="Arial" w:hAnsi="Arial"/>
          <w:sz w:val="18"/>
          <w:szCs w:val="18"/>
          <w:color w:val="auto"/>
        </w:rPr>
        <w:t xml:space="preserve"> NSCLC or pancreatic cancer treated at ≥ 40 mg daily (n=12).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137160</wp:posOffset>
            </wp:positionV>
            <wp:extent cx="6172200" cy="31375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172200"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 w:name="page15"/>
    <w:bookmarkEnd w:id="14"/>
    <w:p>
      <w:pPr>
        <w:ind w:right="480"/>
        <w:spacing w:after="0" w:line="238" w:lineRule="auto"/>
        <w:rPr>
          <w:sz w:val="20"/>
          <w:szCs w:val="20"/>
          <w:color w:val="auto"/>
        </w:rPr>
      </w:pPr>
      <w:r>
        <w:rPr>
          <w:rFonts w:ascii="Arial" w:cs="Arial" w:eastAsia="Arial" w:hAnsi="Arial"/>
          <w:sz w:val="14"/>
          <w:szCs w:val="14"/>
          <w:color w:val="auto"/>
        </w:rPr>
        <w:t>EDC data as of 02/17/2023; efficacy evaluable patients defined as those in this data set with at least one post baseline response assessment or who have died or have experienced clinical progression prior to the first post baseline scan (n=12). Cycle time is 21 days. SD = stable disease, PR = partial response. NSCLC = non-small cell lung cancer; PDAC = pancreatic ductal adenocarcinoma. *PR unconfirmed as of 02/17/2023.</w:t>
      </w:r>
    </w:p>
    <w:p>
      <w:pPr>
        <w:spacing w:after="0" w:line="18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All 12 of these patients exhibited stable disease or better as their best response. All 12 patients remained on treatment from approximately 1.5 to 4.5 months as of the data cut-off date. 10 of 12 patients had shown some degree of tumor volume reduction by RECIST.</w:t>
      </w:r>
    </w:p>
    <w:p>
      <w:pPr>
        <w:spacing w:after="0" w:line="151"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One patient, a 76 year-old with metastatic pancreatic cancer harboring KRAS</w:t>
      </w:r>
      <w:r>
        <w:rPr>
          <w:rFonts w:ascii="Arial" w:cs="Arial" w:eastAsia="Arial" w:hAnsi="Arial"/>
          <w:sz w:val="21"/>
          <w:szCs w:val="21"/>
          <w:color w:val="auto"/>
          <w:vertAlign w:val="superscript"/>
        </w:rPr>
        <w:t>G12D</w:t>
      </w:r>
      <w:r>
        <w:rPr>
          <w:rFonts w:ascii="Arial" w:cs="Arial" w:eastAsia="Arial" w:hAnsi="Arial"/>
          <w:sz w:val="16"/>
          <w:szCs w:val="16"/>
          <w:color w:val="auto"/>
        </w:rPr>
        <w:t>, also achieved a PR that was unconfirmed as of the data cut-off date, with a 70% tumor reduction by response evaluation criteria in solid tumors, or RECIST. At baseline this patient had three distinct lesions – one in the right lung and two in the left lung. These lesions are identified on the upper row of the three computerized tomography (CT) images below (Figure 4). All three lesions underwent significant reduction over 12 weeks of therapy. At six weeks the target lesions were reduced in size by 17% by RECIST. On the 12-week scans shown in the second row below, target lesion 1 was too small to measure, target lesion 2 was considerably reduced and the single non-target lesion was barely detectable. RECIST quantifies response by measuring only the unidimensional longest axis for each target lesion and does not consider density or three-dimensional volume. As the first target lesion was assigned a measurement of 5 mm for purposes of the RECIST calculation, this patient achieved a 70% tumor reduction and a PR by RECIST even though volumetrically the reduction in tumor burden appears to be greater than 70%. As of the data cut-off date, this patient continued on treatment at the 80 mg daily dose level and the PR was unconfirmed pending a confirmatory follow-up scan.</w:t>
      </w:r>
    </w:p>
    <w:p>
      <w:pPr>
        <w:spacing w:after="0" w:line="114" w:lineRule="exact"/>
        <w:rPr>
          <w:sz w:val="20"/>
          <w:szCs w:val="20"/>
          <w:color w:val="auto"/>
        </w:rPr>
      </w:pPr>
    </w:p>
    <w:p>
      <w:pPr>
        <w:ind w:right="260"/>
        <w:spacing w:after="0" w:line="226" w:lineRule="auto"/>
        <w:rPr>
          <w:sz w:val="20"/>
          <w:szCs w:val="20"/>
          <w:color w:val="auto"/>
        </w:rPr>
      </w:pPr>
      <w:r>
        <w:rPr>
          <w:rFonts w:ascii="Arial" w:cs="Arial" w:eastAsia="Arial" w:hAnsi="Arial"/>
          <w:sz w:val="18"/>
          <w:szCs w:val="18"/>
          <w:color w:val="auto"/>
        </w:rPr>
        <w:t>Figure 4. CT scans showing three lesions in the lungs of a KRAS</w:t>
      </w:r>
      <w:r>
        <w:rPr>
          <w:rFonts w:ascii="Arial" w:cs="Arial" w:eastAsia="Arial" w:hAnsi="Arial"/>
          <w:sz w:val="24"/>
          <w:szCs w:val="24"/>
          <w:color w:val="auto"/>
          <w:vertAlign w:val="superscript"/>
        </w:rPr>
        <w:t>G12D</w:t>
      </w:r>
      <w:r>
        <w:rPr>
          <w:rFonts w:ascii="Arial" w:cs="Arial" w:eastAsia="Arial" w:hAnsi="Arial"/>
          <w:sz w:val="18"/>
          <w:szCs w:val="18"/>
          <w:color w:val="auto"/>
        </w:rPr>
        <w:t xml:space="preserve"> pancreatic cancer patient at baseline and at cycle 5, day 1 of treatment with RMC-6236.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137160</wp:posOffset>
            </wp:positionV>
            <wp:extent cx="6172200" cy="28632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7220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3"/>
          <w:szCs w:val="13"/>
          <w:color w:val="auto"/>
        </w:rPr>
        <w:t>Images courtesy of RMC-6236-001 trial site with additional annotation by Revolution Medicines (red arrows and target lesion measurements at top right of each scan).</w:t>
      </w:r>
    </w:p>
    <w:p>
      <w:pPr>
        <w:spacing w:after="0" w:line="11" w:lineRule="exact"/>
        <w:rPr>
          <w:sz w:val="20"/>
          <w:szCs w:val="20"/>
          <w:color w:val="auto"/>
        </w:rPr>
      </w:pPr>
    </w:p>
    <w:p>
      <w:pPr>
        <w:ind w:right="120"/>
        <w:spacing w:after="0" w:line="255" w:lineRule="auto"/>
        <w:rPr>
          <w:sz w:val="20"/>
          <w:szCs w:val="20"/>
          <w:color w:val="auto"/>
        </w:rPr>
      </w:pPr>
      <w:r>
        <w:rPr>
          <w:rFonts w:ascii="Arial" w:cs="Arial" w:eastAsia="Arial" w:hAnsi="Arial"/>
          <w:sz w:val="13"/>
          <w:szCs w:val="13"/>
          <w:color w:val="auto"/>
        </w:rPr>
        <w:t>*Per EDC, target lesion #1 on C5D1 was too small to measure; 5 mm used to calculate the percentage reduction in sum of longest diameters of target lesions by RECIST. RLL = right lower lobe; LLL = left lower lobe.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RMC-6291</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RMC-6291 is designed as a first-in-class, potent, oral and selective tri-complex inhibitor of KRAS</w:t>
      </w:r>
      <w:r>
        <w:rPr>
          <w:rFonts w:ascii="Arial" w:cs="Arial" w:eastAsia="Arial" w:hAnsi="Arial"/>
          <w:sz w:val="21"/>
          <w:szCs w:val="21"/>
          <w:color w:val="auto"/>
          <w:vertAlign w:val="superscript"/>
        </w:rPr>
        <w:t>G12C</w:t>
      </w:r>
      <w:r>
        <w:rPr>
          <w:rFonts w:ascii="Arial" w:cs="Arial" w:eastAsia="Arial" w:hAnsi="Arial"/>
          <w:sz w:val="16"/>
          <w:szCs w:val="16"/>
          <w:color w:val="auto"/>
        </w:rPr>
        <w:t>(ON). It is designed to exhibit subnanomolar potency for suppressing RAS pathway signaling and growth of KRAS</w:t>
      </w:r>
      <w:r>
        <w:rPr>
          <w:rFonts w:ascii="Arial" w:cs="Arial" w:eastAsia="Arial" w:hAnsi="Arial"/>
          <w:sz w:val="21"/>
          <w:szCs w:val="21"/>
          <w:color w:val="auto"/>
          <w:vertAlign w:val="superscript"/>
        </w:rPr>
        <w:t>G12C</w:t>
      </w:r>
      <w:r>
        <w:rPr>
          <w:rFonts w:ascii="Arial" w:cs="Arial" w:eastAsia="Arial" w:hAnsi="Arial"/>
          <w:sz w:val="16"/>
          <w:szCs w:val="16"/>
          <w:color w:val="auto"/>
        </w:rPr>
        <w:t>-bearing cancer cells and is engineered to be highly selective for KRAS</w:t>
      </w:r>
      <w:r>
        <w:rPr>
          <w:rFonts w:ascii="Arial" w:cs="Arial" w:eastAsia="Arial" w:hAnsi="Arial"/>
          <w:sz w:val="21"/>
          <w:szCs w:val="21"/>
          <w:color w:val="auto"/>
          <w:vertAlign w:val="superscript"/>
        </w:rPr>
        <w:t>G12C</w:t>
      </w:r>
      <w:r>
        <w:rPr>
          <w:rFonts w:ascii="Arial" w:cs="Arial" w:eastAsia="Arial" w:hAnsi="Arial"/>
          <w:sz w:val="16"/>
          <w:szCs w:val="16"/>
          <w:color w:val="auto"/>
        </w:rPr>
        <w:t xml:space="preserve"> over wild type RAS and other cellular targets. RMC-6291 is designed to be differentiated from first-generation KRAS</w:t>
      </w:r>
      <w:r>
        <w:rPr>
          <w:rFonts w:ascii="Arial" w:cs="Arial" w:eastAsia="Arial" w:hAnsi="Arial"/>
          <w:sz w:val="21"/>
          <w:szCs w:val="21"/>
          <w:color w:val="auto"/>
          <w:vertAlign w:val="superscript"/>
        </w:rPr>
        <w:t>G12C</w:t>
      </w:r>
      <w:r>
        <w:rPr>
          <w:rFonts w:ascii="Arial" w:cs="Arial" w:eastAsia="Arial" w:hAnsi="Arial"/>
          <w:sz w:val="16"/>
          <w:szCs w:val="16"/>
          <w:color w:val="auto"/>
        </w:rPr>
        <w:t>(OFF) inhibitors, which sequester the KRAS</w:t>
      </w:r>
      <w:r>
        <w:rPr>
          <w:rFonts w:ascii="Arial" w:cs="Arial" w:eastAsia="Arial" w:hAnsi="Arial"/>
          <w:sz w:val="21"/>
          <w:szCs w:val="21"/>
          <w:color w:val="auto"/>
          <w:vertAlign w:val="superscript"/>
        </w:rPr>
        <w:t>G12C</w:t>
      </w:r>
      <w:r>
        <w:rPr>
          <w:rFonts w:ascii="Arial" w:cs="Arial" w:eastAsia="Arial" w:hAnsi="Arial"/>
          <w:sz w:val="16"/>
          <w:szCs w:val="16"/>
          <w:color w:val="auto"/>
        </w:rPr>
        <w:t>(OFF) form, by its potential mechanism of directly inhibiting the KRAS</w:t>
      </w:r>
      <w:r>
        <w:rPr>
          <w:rFonts w:ascii="Arial" w:cs="Arial" w:eastAsia="Arial" w:hAnsi="Arial"/>
          <w:sz w:val="21"/>
          <w:szCs w:val="21"/>
          <w:color w:val="auto"/>
          <w:vertAlign w:val="superscript"/>
        </w:rPr>
        <w:t>G12C</w:t>
      </w:r>
      <w:r>
        <w:rPr>
          <w:rFonts w:ascii="Arial" w:cs="Arial" w:eastAsia="Arial" w:hAnsi="Arial"/>
          <w:sz w:val="16"/>
          <w:szCs w:val="16"/>
          <w:color w:val="auto"/>
        </w:rPr>
        <w:t>(ON) form. We believe direct inhibition of the ON form offers important biological advantages, including more rapid termination of RAS signaling and more robust inhibition in the face of known resistance mechanisms. RMC-6291 is being evaluated in an ongoing monotherapy dose-escalation Phase 1/1b clinical study, where our goal is to pursue best-in-class activity against KRAS</w:t>
      </w:r>
      <w:r>
        <w:rPr>
          <w:rFonts w:ascii="Arial" w:cs="Arial" w:eastAsia="Arial" w:hAnsi="Arial"/>
          <w:sz w:val="21"/>
          <w:szCs w:val="21"/>
          <w:color w:val="auto"/>
          <w:vertAlign w:val="superscript"/>
        </w:rPr>
        <w:t>G12C</w:t>
      </w:r>
      <w:r>
        <w:rPr>
          <w:rFonts w:ascii="Arial" w:cs="Arial" w:eastAsia="Arial" w:hAnsi="Arial"/>
          <w:sz w:val="16"/>
          <w:szCs w:val="16"/>
          <w:color w:val="auto"/>
        </w:rPr>
        <w:t xml:space="preserve"> tumors, focused on NSCLC, pancreatic and colorectal cancers. Based on early observations from this study, we believe that RMC-6291 is orally bioavailable in patients, that it is exhibiting pharmacokinetics consistent with our expectations based on</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preclinical experiments and that we are dosing the compound at a pharmacologically active range with acceptable safety and tolerability.</w:t>
      </w:r>
    </w:p>
    <w:p>
      <w:pPr>
        <w:spacing w:after="0" w:line="203"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While KRAS</w:t>
      </w:r>
      <w:r>
        <w:rPr>
          <w:rFonts w:ascii="Arial" w:cs="Arial" w:eastAsia="Arial" w:hAnsi="Arial"/>
          <w:sz w:val="21"/>
          <w:szCs w:val="21"/>
          <w:color w:val="auto"/>
          <w:vertAlign w:val="superscript"/>
        </w:rPr>
        <w:t>G12C</w:t>
      </w:r>
      <w:r>
        <w:rPr>
          <w:rFonts w:ascii="Arial" w:cs="Arial" w:eastAsia="Arial" w:hAnsi="Arial"/>
          <w:sz w:val="16"/>
          <w:szCs w:val="16"/>
          <w:color w:val="auto"/>
        </w:rPr>
        <w:t>(OFF) inhibitors have validated the target and changed the treatment landscape for patients with cancers bearing KRAS</w:t>
      </w:r>
      <w:r>
        <w:rPr>
          <w:rFonts w:ascii="Arial" w:cs="Arial" w:eastAsia="Arial" w:hAnsi="Arial"/>
          <w:sz w:val="21"/>
          <w:szCs w:val="21"/>
          <w:color w:val="auto"/>
          <w:vertAlign w:val="superscript"/>
        </w:rPr>
        <w:t>G12C</w:t>
      </w:r>
      <w:r>
        <w:rPr>
          <w:rFonts w:ascii="Arial" w:cs="Arial" w:eastAsia="Arial" w:hAnsi="Arial"/>
          <w:sz w:val="16"/>
          <w:szCs w:val="16"/>
          <w:color w:val="auto"/>
        </w:rPr>
        <w:t>, significant unmet medical need remains. In NSCLC, KRAS</w:t>
      </w:r>
      <w:r>
        <w:rPr>
          <w:rFonts w:ascii="Arial" w:cs="Arial" w:eastAsia="Arial" w:hAnsi="Arial"/>
          <w:sz w:val="21"/>
          <w:szCs w:val="21"/>
          <w:color w:val="auto"/>
          <w:vertAlign w:val="superscript"/>
        </w:rPr>
        <w:t>G12C</w:t>
      </w:r>
      <w:r>
        <w:rPr>
          <w:rFonts w:ascii="Arial" w:cs="Arial" w:eastAsia="Arial" w:hAnsi="Arial"/>
          <w:sz w:val="16"/>
          <w:szCs w:val="16"/>
          <w:color w:val="auto"/>
        </w:rPr>
        <w:t>(OFF) inhibitor single agent response rates are less than 50%, and the vast majority of patients are expected to progress on therapy within a year. We believe RMC-6291 has the potential to improve on the KRAS</w:t>
      </w:r>
      <w:r>
        <w:rPr>
          <w:rFonts w:ascii="Arial" w:cs="Arial" w:eastAsia="Arial" w:hAnsi="Arial"/>
          <w:sz w:val="21"/>
          <w:szCs w:val="21"/>
          <w:color w:val="auto"/>
          <w:vertAlign w:val="superscript"/>
        </w:rPr>
        <w:t>G12C</w:t>
      </w:r>
      <w:r>
        <w:rPr>
          <w:rFonts w:ascii="Arial" w:cs="Arial" w:eastAsia="Arial" w:hAnsi="Arial"/>
          <w:sz w:val="16"/>
          <w:szCs w:val="16"/>
          <w:color w:val="auto"/>
        </w:rPr>
        <w:t xml:space="preserve">(OFF) inhibitor class. In a series of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tumor xenograft studies, RMC-6291 outperformed adagrasib, a representative KRAS</w:t>
      </w:r>
      <w:r>
        <w:rPr>
          <w:rFonts w:ascii="Arial" w:cs="Arial" w:eastAsia="Arial" w:hAnsi="Arial"/>
          <w:sz w:val="21"/>
          <w:szCs w:val="21"/>
          <w:color w:val="auto"/>
          <w:vertAlign w:val="superscript"/>
        </w:rPr>
        <w:t>G12C</w:t>
      </w:r>
      <w:r>
        <w:rPr>
          <w:rFonts w:ascii="Arial" w:cs="Arial" w:eastAsia="Arial" w:hAnsi="Arial"/>
          <w:sz w:val="16"/>
          <w:szCs w:val="16"/>
          <w:color w:val="auto"/>
        </w:rPr>
        <w:t>(OFF) inhibitor, across 25 models of KRAS</w:t>
      </w:r>
      <w:r>
        <w:rPr>
          <w:rFonts w:ascii="Arial" w:cs="Arial" w:eastAsia="Arial" w:hAnsi="Arial"/>
          <w:sz w:val="21"/>
          <w:szCs w:val="21"/>
          <w:color w:val="auto"/>
          <w:vertAlign w:val="superscript"/>
        </w:rPr>
        <w:t>G12C</w:t>
      </w:r>
      <w:r>
        <w:rPr>
          <w:rFonts w:ascii="Arial" w:cs="Arial" w:eastAsia="Arial" w:hAnsi="Arial"/>
          <w:sz w:val="16"/>
          <w:szCs w:val="16"/>
          <w:i w:val="1"/>
          <w:iCs w:val="1"/>
          <w:color w:val="auto"/>
        </w:rPr>
        <w:t xml:space="preserve"> </w:t>
      </w:r>
      <w:r>
        <w:rPr>
          <w:rFonts w:ascii="Arial" w:cs="Arial" w:eastAsia="Arial" w:hAnsi="Arial"/>
          <w:sz w:val="16"/>
          <w:szCs w:val="16"/>
          <w:color w:val="auto"/>
        </w:rPr>
        <w:t>NSCLC</w:t>
      </w:r>
      <w:r>
        <w:rPr>
          <w:rFonts w:ascii="Arial" w:cs="Arial" w:eastAsia="Arial" w:hAnsi="Arial"/>
          <w:sz w:val="16"/>
          <w:szCs w:val="16"/>
          <w:i w:val="1"/>
          <w:iCs w:val="1"/>
          <w:color w:val="auto"/>
        </w:rPr>
        <w:t xml:space="preserve"> </w:t>
      </w:r>
      <w:r>
        <w:rPr>
          <w:rFonts w:ascii="Arial" w:cs="Arial" w:eastAsia="Arial" w:hAnsi="Arial"/>
          <w:sz w:val="16"/>
          <w:szCs w:val="16"/>
          <w:color w:val="auto"/>
        </w:rPr>
        <w:t>(Figure 5). Within this set of experiments, we observed examples of RMC-6291 driving increased rate, depth and/or duration of response (Figure 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Figure 5. RMC-6291 drove superior outcomes in a mouse clinical trial with KRAS</w:t>
      </w:r>
      <w:r>
        <w:rPr>
          <w:rFonts w:ascii="Arial" w:cs="Arial" w:eastAsia="Arial" w:hAnsi="Arial"/>
          <w:sz w:val="24"/>
          <w:szCs w:val="24"/>
          <w:color w:val="auto"/>
          <w:vertAlign w:val="superscript"/>
        </w:rPr>
        <w:t>G12C</w:t>
      </w:r>
      <w:r>
        <w:rPr>
          <w:rFonts w:ascii="Arial" w:cs="Arial" w:eastAsia="Arial" w:hAnsi="Arial"/>
          <w:sz w:val="18"/>
          <w:szCs w:val="18"/>
          <w:color w:val="auto"/>
        </w:rPr>
        <w:t xml:space="preserve"> NSCLC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53340</wp:posOffset>
            </wp:positionV>
            <wp:extent cx="4251960" cy="3291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51960" cy="3291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In vivo </w:t>
      </w:r>
      <w:r>
        <w:rPr>
          <w:rFonts w:ascii="Arial" w:cs="Arial" w:eastAsia="Arial" w:hAnsi="Arial"/>
          <w:sz w:val="13"/>
          <w:szCs w:val="13"/>
          <w:color w:val="auto"/>
        </w:rPr>
        <w:t>characterization of the effect of RMC-6291 on the growth of KRAS</w:t>
      </w:r>
      <w:r>
        <w:rPr>
          <w:rFonts w:ascii="Arial" w:cs="Arial" w:eastAsia="Arial" w:hAnsi="Arial"/>
          <w:sz w:val="17"/>
          <w:szCs w:val="17"/>
          <w:color w:val="auto"/>
          <w:vertAlign w:val="superscript"/>
        </w:rPr>
        <w:t>G12C</w:t>
      </w:r>
      <w:r>
        <w:rPr>
          <w:rFonts w:ascii="Arial" w:cs="Arial" w:eastAsia="Arial" w:hAnsi="Arial"/>
          <w:sz w:val="13"/>
          <w:szCs w:val="13"/>
          <w:i w:val="1"/>
          <w:iCs w:val="1"/>
          <w:color w:val="auto"/>
        </w:rPr>
        <w:t xml:space="preserve"> </w:t>
      </w:r>
      <w:r>
        <w:rPr>
          <w:rFonts w:ascii="Arial" w:cs="Arial" w:eastAsia="Arial" w:hAnsi="Arial"/>
          <w:sz w:val="13"/>
          <w:szCs w:val="13"/>
          <w:color w:val="auto"/>
        </w:rPr>
        <w:t>NSCLC models. RMC-6291 (blue) and adagrasib (gray) were administered at approximately molar equivalent</w:t>
      </w:r>
    </w:p>
    <w:p>
      <w:pPr>
        <w:jc w:val="both"/>
        <w:spacing w:after="0" w:line="232" w:lineRule="auto"/>
        <w:rPr>
          <w:sz w:val="20"/>
          <w:szCs w:val="20"/>
          <w:color w:val="auto"/>
        </w:rPr>
      </w:pPr>
      <w:r>
        <w:rPr>
          <w:rFonts w:ascii="Arial" w:cs="Arial" w:eastAsia="Arial" w:hAnsi="Arial"/>
          <w:sz w:val="14"/>
          <w:szCs w:val="14"/>
          <w:color w:val="auto"/>
        </w:rPr>
        <w:t>doses (RMC-6291 is roughly twice the molecular weight of adagrasib). RMC-6291 was dosed at 200 mg/kg po qd. Adagrasib was dosed at 100 mg/kg po qd. n=3-10/group. NSCLC = non-small cell lung cancer. Responses assigned according to mRECIST (modified from Gao et al. Nat Med. 2015). ORR = objective response rate; DCR = disease control rate. RVMD preclinical research as of 11/20/22.</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Figure 6. RMC-6291 drove increased rate, depth, and duration of response in a mouse clinical trial with KRAS</w:t>
      </w:r>
      <w:r>
        <w:rPr>
          <w:rFonts w:ascii="Arial" w:cs="Arial" w:eastAsia="Arial" w:hAnsi="Arial"/>
          <w:sz w:val="24"/>
          <w:szCs w:val="24"/>
          <w:color w:val="auto"/>
          <w:vertAlign w:val="superscript"/>
        </w:rPr>
        <w:t>G12C</w:t>
      </w:r>
      <w:r>
        <w:rPr>
          <w:rFonts w:ascii="Arial" w:cs="Arial" w:eastAsia="Arial" w:hAnsi="Arial"/>
          <w:sz w:val="18"/>
          <w:szCs w:val="18"/>
          <w:color w:val="auto"/>
        </w:rPr>
        <w:t xml:space="preserve"> NSCLC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45085</wp:posOffset>
            </wp:positionV>
            <wp:extent cx="6172200" cy="1928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72200" cy="1928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17" w:right="419" w:bottom="1440" w:gutter="0" w:footer="0" w:header="0"/>
        </w:sectPr>
      </w:pPr>
    </w:p>
    <w:bookmarkStart w:id="16" w:name="page17"/>
    <w:bookmarkEnd w:id="16"/>
    <w:p>
      <w:pPr>
        <w:jc w:val="both"/>
        <w:ind w:right="200"/>
        <w:spacing w:after="0" w:line="239" w:lineRule="auto"/>
        <w:rPr>
          <w:sz w:val="20"/>
          <w:szCs w:val="20"/>
          <w:color w:val="auto"/>
        </w:rPr>
      </w:pPr>
      <w:r>
        <w:rPr>
          <w:rFonts w:ascii="Arial" w:cs="Arial" w:eastAsia="Arial" w:hAnsi="Arial"/>
          <w:sz w:val="13"/>
          <w:szCs w:val="13"/>
          <w:i w:val="1"/>
          <w:iCs w:val="1"/>
          <w:color w:val="auto"/>
        </w:rPr>
        <w:t xml:space="preserve">In vivo </w:t>
      </w:r>
      <w:r>
        <w:rPr>
          <w:rFonts w:ascii="Arial" w:cs="Arial" w:eastAsia="Arial" w:hAnsi="Arial"/>
          <w:sz w:val="13"/>
          <w:szCs w:val="13"/>
          <w:color w:val="auto"/>
        </w:rPr>
        <w:t>characterization of the effect of RMC-6291 on the growth of KRAS</w:t>
      </w:r>
      <w:r>
        <w:rPr>
          <w:rFonts w:ascii="Arial" w:cs="Arial" w:eastAsia="Arial" w:hAnsi="Arial"/>
          <w:sz w:val="17"/>
          <w:szCs w:val="17"/>
          <w:color w:val="auto"/>
          <w:vertAlign w:val="superscript"/>
        </w:rPr>
        <w:t>G12C</w:t>
      </w:r>
      <w:r>
        <w:rPr>
          <w:rFonts w:ascii="Arial" w:cs="Arial" w:eastAsia="Arial" w:hAnsi="Arial"/>
          <w:sz w:val="13"/>
          <w:szCs w:val="13"/>
          <w:i w:val="1"/>
          <w:iCs w:val="1"/>
          <w:color w:val="auto"/>
        </w:rPr>
        <w:t xml:space="preserve"> </w:t>
      </w:r>
      <w:r>
        <w:rPr>
          <w:rFonts w:ascii="Arial" w:cs="Arial" w:eastAsia="Arial" w:hAnsi="Arial"/>
          <w:sz w:val="13"/>
          <w:szCs w:val="13"/>
          <w:color w:val="auto"/>
        </w:rPr>
        <w:t>NSCLC models. RMC-6291 and adagrasib were administered at approximately molar equivalent doses (RMC-6291 is roughly twice the molecular weight of adagrasib). RMC-6291 was dosed at 200 mg/kg po qd. Adagrasib was dosed at 100 mg/kg po qd. PDX Models: (a) LUN055; (b) LXFA-983; (c)</w:t>
      </w:r>
    </w:p>
    <w:p>
      <w:pPr>
        <w:spacing w:after="0"/>
        <w:rPr>
          <w:sz w:val="20"/>
          <w:szCs w:val="20"/>
          <w:color w:val="auto"/>
        </w:rPr>
      </w:pPr>
      <w:r>
        <w:rPr>
          <w:rFonts w:ascii="Arial" w:cs="Arial" w:eastAsia="Arial" w:hAnsi="Arial"/>
          <w:sz w:val="14"/>
          <w:szCs w:val="14"/>
          <w:color w:val="auto"/>
        </w:rPr>
        <w:t>CTG-0828 N=3-10/group. NSCLC = non-small cell lung cancer. RVMD preclinical research as of 07/28/21.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RMC-9805</w:t>
      </w:r>
    </w:p>
    <w:p>
      <w:pPr>
        <w:spacing w:after="0" w:line="189"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RMC-9805 is designed as a first-in-class, potent, oral and selective tri-complex inhibitor of KRAS</w:t>
      </w:r>
      <w:r>
        <w:rPr>
          <w:rFonts w:ascii="Arial" w:cs="Arial" w:eastAsia="Arial" w:hAnsi="Arial"/>
          <w:sz w:val="22"/>
          <w:szCs w:val="22"/>
          <w:color w:val="auto"/>
          <w:vertAlign w:val="superscript"/>
        </w:rPr>
        <w:t>G12D</w:t>
      </w:r>
      <w:r>
        <w:rPr>
          <w:rFonts w:ascii="Arial" w:cs="Arial" w:eastAsia="Arial" w:hAnsi="Arial"/>
          <w:sz w:val="17"/>
          <w:szCs w:val="17"/>
          <w:color w:val="auto"/>
        </w:rPr>
        <w:t>(ON). It is designed to exhibit low nanomolar potency for suppressing RAS pathway signaling and growth of KRAS</w:t>
      </w:r>
      <w:r>
        <w:rPr>
          <w:rFonts w:ascii="Arial" w:cs="Arial" w:eastAsia="Arial" w:hAnsi="Arial"/>
          <w:sz w:val="22"/>
          <w:szCs w:val="22"/>
          <w:color w:val="auto"/>
          <w:vertAlign w:val="superscript"/>
        </w:rPr>
        <w:t>G12D</w:t>
      </w:r>
      <w:r>
        <w:rPr>
          <w:rFonts w:ascii="Arial" w:cs="Arial" w:eastAsia="Arial" w:hAnsi="Arial"/>
          <w:sz w:val="17"/>
          <w:szCs w:val="17"/>
          <w:color w:val="auto"/>
        </w:rPr>
        <w:t>-bearing cancer cells and is engineered to covalently inactivate KRAS</w:t>
      </w:r>
      <w:r>
        <w:rPr>
          <w:rFonts w:ascii="Arial" w:cs="Arial" w:eastAsia="Arial" w:hAnsi="Arial"/>
          <w:sz w:val="22"/>
          <w:szCs w:val="22"/>
          <w:color w:val="auto"/>
          <w:vertAlign w:val="superscript"/>
        </w:rPr>
        <w:t>G12D</w:t>
      </w:r>
      <w:r>
        <w:rPr>
          <w:rFonts w:ascii="Arial" w:cs="Arial" w:eastAsia="Arial" w:hAnsi="Arial"/>
          <w:sz w:val="17"/>
          <w:szCs w:val="17"/>
          <w:color w:val="auto"/>
        </w:rPr>
        <w:t xml:space="preserve"> for irreversible inhibition. To our knowledge, RMC-9805 is the first ever drug candidate that covalently modified an aspartic acid residue in preclinical studies. RMC-9805 is in the IND-enabling stage of preclinical development, and is part of the first wave of RAS(ON) Inhibitors we are advancing.</w:t>
      </w:r>
    </w:p>
    <w:p>
      <w:pPr>
        <w:spacing w:after="0" w:line="206" w:lineRule="exact"/>
        <w:rPr>
          <w:sz w:val="20"/>
          <w:szCs w:val="20"/>
          <w:color w:val="auto"/>
        </w:rPr>
      </w:pPr>
    </w:p>
    <w:p>
      <w:pPr>
        <w:jc w:val="both"/>
        <w:ind w:right="260"/>
        <w:spacing w:after="0" w:line="233" w:lineRule="auto"/>
        <w:rPr>
          <w:sz w:val="20"/>
          <w:szCs w:val="20"/>
          <w:color w:val="auto"/>
        </w:rPr>
      </w:pPr>
      <w:r>
        <w:rPr>
          <w:rFonts w:ascii="Arial" w:cs="Arial" w:eastAsia="Arial" w:hAnsi="Arial"/>
          <w:sz w:val="18"/>
          <w:szCs w:val="18"/>
          <w:color w:val="auto"/>
        </w:rPr>
        <w:t xml:space="preserve">In a series of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tumor xenograft studies, RMC-9805 was highly active against lung, pancreatic and colorectal cancers bearing the KRAS</w:t>
      </w:r>
      <w:r>
        <w:rPr>
          <w:rFonts w:ascii="Arial" w:cs="Arial" w:eastAsia="Arial" w:hAnsi="Arial"/>
          <w:sz w:val="24"/>
          <w:szCs w:val="24"/>
          <w:color w:val="auto"/>
          <w:vertAlign w:val="superscript"/>
        </w:rPr>
        <w:t>G12D</w:t>
      </w:r>
      <w:r>
        <w:rPr>
          <w:rFonts w:ascii="Arial" w:cs="Arial" w:eastAsia="Arial" w:hAnsi="Arial"/>
          <w:sz w:val="18"/>
          <w:szCs w:val="18"/>
          <w:color w:val="auto"/>
        </w:rPr>
        <w:t xml:space="preserve"> driver mutation (Figure 7). Across cancer types, RMC-9805 drove deep tumor regressions, including complete responses, and established preclinical response rates, which we believe support advancement into clinical development.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Figure 7. RMC-9805 was highly active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across KRAS</w:t>
      </w:r>
      <w:r>
        <w:rPr>
          <w:rFonts w:ascii="Arial" w:cs="Arial" w:eastAsia="Arial" w:hAnsi="Arial"/>
          <w:sz w:val="24"/>
          <w:szCs w:val="24"/>
          <w:color w:val="auto"/>
          <w:vertAlign w:val="superscript"/>
        </w:rPr>
        <w:t>G12D</w:t>
      </w:r>
      <w:r>
        <w:rPr>
          <w:rFonts w:ascii="Arial" w:cs="Arial" w:eastAsia="Arial" w:hAnsi="Arial"/>
          <w:sz w:val="18"/>
          <w:szCs w:val="18"/>
          <w:color w:val="auto"/>
        </w:rPr>
        <w:t xml:space="preserve"> cancer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113665</wp:posOffset>
            </wp:positionV>
            <wp:extent cx="6172200" cy="1946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17220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40"/>
        <w:spacing w:after="0" w:line="222" w:lineRule="auto"/>
        <w:rPr>
          <w:sz w:val="20"/>
          <w:szCs w:val="20"/>
          <w:color w:val="auto"/>
        </w:rPr>
      </w:pPr>
      <w:r>
        <w:rPr>
          <w:rFonts w:ascii="Arial" w:cs="Arial" w:eastAsia="Arial" w:hAnsi="Arial"/>
          <w:sz w:val="14"/>
          <w:szCs w:val="14"/>
          <w:i w:val="1"/>
          <w:iCs w:val="1"/>
          <w:color w:val="auto"/>
        </w:rPr>
        <w:t xml:space="preserve">In vivo </w:t>
      </w:r>
      <w:r>
        <w:rPr>
          <w:rFonts w:ascii="Arial" w:cs="Arial" w:eastAsia="Arial" w:hAnsi="Arial"/>
          <w:sz w:val="14"/>
          <w:szCs w:val="14"/>
          <w:color w:val="auto"/>
        </w:rPr>
        <w:t>characterization of the effect of RMC-9805 on the growth of KRAS</w:t>
      </w:r>
      <w:r>
        <w:rPr>
          <w:rFonts w:ascii="Arial" w:cs="Arial" w:eastAsia="Arial" w:hAnsi="Arial"/>
          <w:sz w:val="19"/>
          <w:szCs w:val="19"/>
          <w:color w:val="auto"/>
          <w:vertAlign w:val="superscript"/>
        </w:rPr>
        <w:t>G12D</w:t>
      </w:r>
      <w:r>
        <w:rPr>
          <w:rFonts w:ascii="Arial" w:cs="Arial" w:eastAsia="Arial" w:hAnsi="Arial"/>
          <w:sz w:val="14"/>
          <w:szCs w:val="14"/>
          <w:i w:val="1"/>
          <w:iCs w:val="1"/>
          <w:color w:val="auto"/>
        </w:rPr>
        <w:t xml:space="preserve"> </w:t>
      </w:r>
      <w:r>
        <w:rPr>
          <w:rFonts w:ascii="Arial" w:cs="Arial" w:eastAsia="Arial" w:hAnsi="Arial"/>
          <w:sz w:val="14"/>
          <w:szCs w:val="14"/>
          <w:color w:val="auto"/>
        </w:rPr>
        <w:t>cancers. RMC-9805 was dosed at 100 mg/kg po qd. N=2-8/group. NSCLC = non-small cell lung cancer; PDAC =</w:t>
      </w:r>
      <w:r>
        <w:rPr>
          <w:rFonts w:ascii="Arial" w:cs="Arial" w:eastAsia="Arial" w:hAnsi="Arial"/>
          <w:sz w:val="14"/>
          <w:szCs w:val="14"/>
          <w:i w:val="1"/>
          <w:iCs w:val="1"/>
          <w:color w:val="auto"/>
        </w:rPr>
        <w:t xml:space="preserve"> </w:t>
      </w:r>
      <w:r>
        <w:rPr>
          <w:rFonts w:ascii="Arial" w:cs="Arial" w:eastAsia="Arial" w:hAnsi="Arial"/>
          <w:sz w:val="14"/>
          <w:szCs w:val="14"/>
          <w:color w:val="auto"/>
        </w:rPr>
        <w:t>pancreatic ductal adenocarcinoma; CRC = colorectal cancer. Responses assigned according to mRECIST (modified from Gao et al. Nat Med. 2015). ORR = objective response rate; DCR = disease control rate. RVMD preclinical research as of 11/02/22.</w:t>
      </w:r>
    </w:p>
    <w:p>
      <w:pPr>
        <w:spacing w:after="0" w:line="192" w:lineRule="exact"/>
        <w:rPr>
          <w:sz w:val="20"/>
          <w:szCs w:val="20"/>
          <w:color w:val="auto"/>
        </w:rPr>
      </w:pPr>
    </w:p>
    <w:p>
      <w:pPr>
        <w:ind w:right="280"/>
        <w:spacing w:after="0" w:line="226" w:lineRule="auto"/>
        <w:rPr>
          <w:sz w:val="20"/>
          <w:szCs w:val="20"/>
          <w:color w:val="auto"/>
        </w:rPr>
      </w:pPr>
      <w:r>
        <w:rPr>
          <w:rFonts w:ascii="Arial" w:cs="Arial" w:eastAsia="Arial" w:hAnsi="Arial"/>
          <w:sz w:val="18"/>
          <w:szCs w:val="18"/>
          <w:color w:val="auto"/>
        </w:rPr>
        <w:t>In the initial clinical development of RMC-9805, we plan to pursue best-in-class activity against KRAS</w:t>
      </w:r>
      <w:r>
        <w:rPr>
          <w:rFonts w:ascii="Arial" w:cs="Arial" w:eastAsia="Arial" w:hAnsi="Arial"/>
          <w:sz w:val="24"/>
          <w:szCs w:val="24"/>
          <w:color w:val="auto"/>
          <w:vertAlign w:val="superscript"/>
        </w:rPr>
        <w:t>G12D</w:t>
      </w:r>
      <w:r>
        <w:rPr>
          <w:rFonts w:ascii="Arial" w:cs="Arial" w:eastAsia="Arial" w:hAnsi="Arial"/>
          <w:sz w:val="18"/>
          <w:szCs w:val="18"/>
          <w:color w:val="auto"/>
        </w:rPr>
        <w:t xml:space="preserve"> tumors, focused on NSCLC, pancreatic and colorectal cancers.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RMC-8839</w:t>
      </w:r>
    </w:p>
    <w:p>
      <w:pPr>
        <w:spacing w:after="0" w:line="203" w:lineRule="exact"/>
        <w:rPr>
          <w:sz w:val="20"/>
          <w:szCs w:val="20"/>
          <w:color w:val="auto"/>
        </w:rPr>
      </w:pPr>
    </w:p>
    <w:p>
      <w:pPr>
        <w:ind w:right="40"/>
        <w:spacing w:after="0" w:line="208" w:lineRule="auto"/>
        <w:rPr>
          <w:sz w:val="20"/>
          <w:szCs w:val="20"/>
          <w:color w:val="auto"/>
        </w:rPr>
      </w:pPr>
      <w:r>
        <w:rPr>
          <w:rFonts w:ascii="Arial" w:cs="Arial" w:eastAsia="Arial" w:hAnsi="Arial"/>
          <w:sz w:val="18"/>
          <w:szCs w:val="18"/>
          <w:color w:val="auto"/>
        </w:rPr>
        <w:t>RMC-8839 is designed as a first-in-class, potent, oral and selective tri-complex inhibitor of KRAS</w:t>
      </w:r>
      <w:r>
        <w:rPr>
          <w:rFonts w:ascii="Arial" w:cs="Arial" w:eastAsia="Arial" w:hAnsi="Arial"/>
          <w:sz w:val="24"/>
          <w:szCs w:val="24"/>
          <w:color w:val="auto"/>
          <w:vertAlign w:val="superscript"/>
        </w:rPr>
        <w:t>G13C</w:t>
      </w:r>
      <w:r>
        <w:rPr>
          <w:rFonts w:ascii="Arial" w:cs="Arial" w:eastAsia="Arial" w:hAnsi="Arial"/>
          <w:sz w:val="18"/>
          <w:szCs w:val="18"/>
          <w:color w:val="auto"/>
        </w:rPr>
        <w:t>(ON). It is designed to exhibit picomolar potency for suppressing RAS pathway signaling and growth of KRAS</w:t>
      </w:r>
      <w:r>
        <w:rPr>
          <w:rFonts w:ascii="Arial" w:cs="Arial" w:eastAsia="Arial" w:hAnsi="Arial"/>
          <w:sz w:val="24"/>
          <w:szCs w:val="24"/>
          <w:color w:val="auto"/>
          <w:vertAlign w:val="superscript"/>
        </w:rPr>
        <w:t>G13C</w:t>
      </w:r>
      <w:r>
        <w:rPr>
          <w:rFonts w:ascii="Arial" w:cs="Arial" w:eastAsia="Arial" w:hAnsi="Arial"/>
          <w:sz w:val="18"/>
          <w:szCs w:val="18"/>
          <w:color w:val="auto"/>
        </w:rPr>
        <w:t>-bearing cancer cells and is engineered to covalently inactivate KRAS</w:t>
      </w:r>
      <w:r>
        <w:rPr>
          <w:rFonts w:ascii="Arial" w:cs="Arial" w:eastAsia="Arial" w:hAnsi="Arial"/>
          <w:sz w:val="24"/>
          <w:szCs w:val="24"/>
          <w:color w:val="auto"/>
          <w:vertAlign w:val="superscript"/>
        </w:rPr>
        <w:t>G13C</w:t>
      </w:r>
      <w:r>
        <w:rPr>
          <w:rFonts w:ascii="Arial" w:cs="Arial" w:eastAsia="Arial" w:hAnsi="Arial"/>
          <w:sz w:val="18"/>
          <w:szCs w:val="18"/>
          <w:color w:val="auto"/>
        </w:rPr>
        <w:t xml:space="preserve"> for irreversible inhibition. We believe RMC-8839 is ready for preparation of an IND based on our preclinical development, however we have deferred active development of this compound.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RMC-0708</w:t>
      </w:r>
    </w:p>
    <w:p>
      <w:pPr>
        <w:spacing w:after="0" w:line="189" w:lineRule="exact"/>
        <w:rPr>
          <w:sz w:val="20"/>
          <w:szCs w:val="20"/>
          <w:color w:val="auto"/>
        </w:rPr>
      </w:pPr>
    </w:p>
    <w:p>
      <w:pPr>
        <w:jc w:val="both"/>
        <w:ind w:right="20"/>
        <w:spacing w:after="0" w:line="207" w:lineRule="auto"/>
        <w:rPr>
          <w:sz w:val="20"/>
          <w:szCs w:val="20"/>
          <w:color w:val="auto"/>
        </w:rPr>
      </w:pPr>
      <w:r>
        <w:rPr>
          <w:rFonts w:ascii="Arial" w:cs="Arial" w:eastAsia="Arial" w:hAnsi="Arial"/>
          <w:sz w:val="17"/>
          <w:szCs w:val="17"/>
          <w:color w:val="auto"/>
        </w:rPr>
        <w:t>RMC-0708 is designed as a first-in-class, potent, oral and selective tri-complex inhibitor of KRAS</w:t>
      </w:r>
      <w:r>
        <w:rPr>
          <w:rFonts w:ascii="Arial" w:cs="Arial" w:eastAsia="Arial" w:hAnsi="Arial"/>
          <w:sz w:val="23"/>
          <w:szCs w:val="23"/>
          <w:color w:val="auto"/>
          <w:vertAlign w:val="superscript"/>
        </w:rPr>
        <w:t>Q61H</w:t>
      </w:r>
      <w:r>
        <w:rPr>
          <w:rFonts w:ascii="Arial" w:cs="Arial" w:eastAsia="Arial" w:hAnsi="Arial"/>
          <w:sz w:val="17"/>
          <w:szCs w:val="17"/>
          <w:color w:val="auto"/>
        </w:rPr>
        <w:t>(ON). It is designed to exhibit picomolar potency for suppressing RAS pathway signaling and growth of KRAS</w:t>
      </w:r>
      <w:r>
        <w:rPr>
          <w:rFonts w:ascii="Arial" w:cs="Arial" w:eastAsia="Arial" w:hAnsi="Arial"/>
          <w:sz w:val="23"/>
          <w:szCs w:val="23"/>
          <w:color w:val="auto"/>
          <w:vertAlign w:val="superscript"/>
        </w:rPr>
        <w:t>Q61H</w:t>
      </w:r>
      <w:r>
        <w:rPr>
          <w:rFonts w:ascii="Arial" w:cs="Arial" w:eastAsia="Arial" w:hAnsi="Arial"/>
          <w:sz w:val="17"/>
          <w:szCs w:val="17"/>
          <w:color w:val="auto"/>
        </w:rPr>
        <w:t>-bearing cancer cells and is engineered for selective inhibition of KRAS</w:t>
      </w:r>
      <w:r>
        <w:rPr>
          <w:rFonts w:ascii="Arial" w:cs="Arial" w:eastAsia="Arial" w:hAnsi="Arial"/>
          <w:sz w:val="23"/>
          <w:szCs w:val="23"/>
          <w:color w:val="auto"/>
          <w:vertAlign w:val="superscript"/>
        </w:rPr>
        <w:t>Q61H</w:t>
      </w:r>
      <w:r>
        <w:rPr>
          <w:rFonts w:ascii="Arial" w:cs="Arial" w:eastAsia="Arial" w:hAnsi="Arial"/>
          <w:sz w:val="17"/>
          <w:szCs w:val="17"/>
          <w:color w:val="auto"/>
        </w:rPr>
        <w:t xml:space="preserve"> over other RAS isoforms via non-covalent binding interactions. RMC-0708 is in the IND-enabling stage of preclinical development.</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RAS Companion Inhibitors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185"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Our RAS Companion Inhibitors are designed to suppress cooperating targets and pathways that sustain RAS-addicted cancers. Each of our RAS Companion Inhibitors, when administered in combination with a RAS inhibitor, may provide deeper and more durable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1" w:right="359" w:bottom="1440" w:gutter="0" w:footer="0" w:header="0"/>
        </w:sectPr>
      </w:pPr>
    </w:p>
    <w:bookmarkStart w:id="17" w:name="page18"/>
    <w:bookmarkEnd w:id="17"/>
    <w:p>
      <w:pPr>
        <w:ind w:right="20"/>
        <w:spacing w:after="0" w:line="296" w:lineRule="auto"/>
        <w:rPr>
          <w:sz w:val="20"/>
          <w:szCs w:val="20"/>
          <w:color w:val="auto"/>
        </w:rPr>
      </w:pPr>
      <w:r>
        <w:rPr>
          <w:rFonts w:ascii="Arial" w:cs="Arial" w:eastAsia="Arial" w:hAnsi="Arial"/>
          <w:sz w:val="16"/>
          <w:szCs w:val="16"/>
          <w:color w:val="auto"/>
        </w:rPr>
        <w:t>suppression of RAS cancer signaling, helping to maximize clinical benefit for patients with RAS cancers. RMC-4630, our most advanced RAS Companion Inhibitor, is designed to be a potent and selective inhibitor of SHP2 and to suppress resistance to RAS inhibition through inhibition of cooperating RAS pathway signaling. RMC-5552 is designed to be a potent and selective inhibitor of mTORC1/4EBP1 and to suppress resistance to RAS inhibition through inhibition of cooperating mTORC1 pathway signaling. RMC-5845, our investigational SOS1 inhibitor, is designed to suppress resistance to RAS inhibition through inhibition of cooperating RAS pathway signaling. RMC-5552 is under clinical evaluation in a Phase 1 dose escalation program.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RMC-4630</w:t>
      </w:r>
    </w:p>
    <w:p>
      <w:pPr>
        <w:spacing w:after="0" w:line="19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Our RAS Companion Inhibitor RMC-4630 is designed as a potent and selective inhibitor of SHP2, a central node in the RAS signaling pathway. RMC-4630 is being evaluated in a multi-cohort Phase 1/2 clinical program. In 2018, we entered into the Sanofi Agreement with respect to SHP2 inhibitors, including RMC-4630. In December 2022, the Sanofi Agreement was terminated effective as of June 2023 and following the effectiveness of termination, we will regain all global rights granted under the Sanofi Agreement (except as necessary to permit Sanofi to perform any surviving obligations under the Sanofi Agreement), including decision-making regarding research and development, and the rights to all commercial proceeds, from RMC-4630.</w:t>
      </w:r>
    </w:p>
    <w:p>
      <w:pPr>
        <w:spacing w:after="0" w:line="16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 our monotherapy dose escalation study (RMC-4630-01), we have observed that RMC-4630 was a clinically active SHP2 inhibitor, with broad anti-tumor effects, including a confirmed partial response in a patient with NSCLC bearing a KRAS</w:t>
      </w:r>
      <w:r>
        <w:rPr>
          <w:rFonts w:ascii="Arial" w:cs="Arial" w:eastAsia="Arial" w:hAnsi="Arial"/>
          <w:sz w:val="21"/>
          <w:szCs w:val="21"/>
          <w:color w:val="auto"/>
          <w:vertAlign w:val="superscript"/>
        </w:rPr>
        <w:t>G12C</w:t>
      </w:r>
      <w:r>
        <w:rPr>
          <w:rFonts w:ascii="Arial" w:cs="Arial" w:eastAsia="Arial" w:hAnsi="Arial"/>
          <w:sz w:val="16"/>
          <w:szCs w:val="16"/>
          <w:color w:val="auto"/>
        </w:rPr>
        <w:t xml:space="preserve"> mutation and a complete response in a patient with uterine cancer bearing an NF1</w:t>
      </w:r>
      <w:r>
        <w:rPr>
          <w:rFonts w:ascii="Arial" w:cs="Arial" w:eastAsia="Arial" w:hAnsi="Arial"/>
          <w:sz w:val="21"/>
          <w:szCs w:val="21"/>
          <w:color w:val="auto"/>
          <w:vertAlign w:val="superscript"/>
        </w:rPr>
        <w:t>LOF</w:t>
      </w:r>
      <w:r>
        <w:rPr>
          <w:rFonts w:ascii="Arial" w:cs="Arial" w:eastAsia="Arial" w:hAnsi="Arial"/>
          <w:sz w:val="16"/>
          <w:szCs w:val="16"/>
          <w:color w:val="auto"/>
        </w:rPr>
        <w:t>mutation. The anti-tumor activity of RMC-4630 observed in this study was enabled by a unique intermittent dosing paradigm (200 mg D1D2 weekly) designed to maximize dose intensity without compromising safety and tolerability. Accordingly, and consistent with the highly selective profile of RMC 4630, all dose-limiting toxicities observed in the RMC-4630-01 study have been linked to on-target SHP2 inhibition. We continue to evaluate RMC-4630 monotherapy at the RP2DS in an expansion cohort of the RMC-4630-01 study, consisting of patients with gynecologic tumors harboring NF1</w:t>
      </w:r>
      <w:r>
        <w:rPr>
          <w:rFonts w:ascii="Arial" w:cs="Arial" w:eastAsia="Arial" w:hAnsi="Arial"/>
          <w:sz w:val="21"/>
          <w:szCs w:val="21"/>
          <w:color w:val="auto"/>
          <w:vertAlign w:val="superscript"/>
        </w:rPr>
        <w:t>LOF</w:t>
      </w:r>
      <w:r>
        <w:rPr>
          <w:rFonts w:ascii="Arial" w:cs="Arial" w:eastAsia="Arial" w:hAnsi="Arial"/>
          <w:sz w:val="16"/>
          <w:szCs w:val="16"/>
          <w:color w:val="auto"/>
        </w:rPr>
        <w:t xml:space="preserve"> mutations, in addition to a small safety/tolerability cohort representing a broader set of histotypes and RAS pathway genotypes.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Our highest priority hypothesis regarding RMC-4630 is that it can deliver additional clinical benefit to patients with RAS-addicted tumors treated with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RAS inhibitor. Below is a list of the clinical studies of RMC-4630 in combination with RAS inhibitors:</w:t>
      </w:r>
    </w:p>
    <w:p>
      <w:pPr>
        <w:spacing w:after="0" w:line="108" w:lineRule="exact"/>
        <w:rPr>
          <w:sz w:val="20"/>
          <w:szCs w:val="20"/>
          <w:color w:val="auto"/>
        </w:rPr>
      </w:pPr>
    </w:p>
    <w:p>
      <w:pPr>
        <w:ind w:left="1020" w:hanging="503"/>
        <w:spacing w:after="0"/>
        <w:tabs>
          <w:tab w:leader="none" w:pos="10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an Amgen-sponsored Phase 1b study of RMC-4630 in combination with Amgen’s KRAS</w:t>
      </w:r>
      <w:r>
        <w:rPr>
          <w:rFonts w:ascii="Arial" w:cs="Arial" w:eastAsia="Arial" w:hAnsi="Arial"/>
          <w:sz w:val="21"/>
          <w:szCs w:val="21"/>
          <w:color w:val="auto"/>
          <w:vertAlign w:val="superscript"/>
        </w:rPr>
        <w:t>G12C</w:t>
      </w:r>
      <w:r>
        <w:rPr>
          <w:rFonts w:ascii="Arial" w:cs="Arial" w:eastAsia="Arial" w:hAnsi="Arial"/>
          <w:sz w:val="16"/>
          <w:szCs w:val="16"/>
          <w:color w:val="auto"/>
        </w:rPr>
        <w:t>(OFF) inhibitor, sotorasib (LUMAKRAS</w:t>
      </w:r>
      <w:r>
        <w:rPr>
          <w:rFonts w:ascii="Arial" w:cs="Arial" w:eastAsia="Arial" w:hAnsi="Arial"/>
          <w:sz w:val="21"/>
          <w:szCs w:val="21"/>
          <w:color w:val="auto"/>
          <w:vertAlign w:val="superscript"/>
        </w:rPr>
        <w:t>(R)</w:t>
      </w:r>
      <w:r>
        <w:rPr>
          <w:rFonts w:ascii="Arial" w:cs="Arial" w:eastAsia="Arial" w:hAnsi="Arial"/>
          <w:sz w:val="16"/>
          <w:szCs w:val="16"/>
          <w:color w:val="auto"/>
        </w:rPr>
        <w:t>);</w:t>
      </w:r>
    </w:p>
    <w:p>
      <w:pPr>
        <w:spacing w:after="0" w:line="104" w:lineRule="exact"/>
        <w:rPr>
          <w:rFonts w:ascii="Arial" w:cs="Arial" w:eastAsia="Arial" w:hAnsi="Arial"/>
          <w:sz w:val="16"/>
          <w:szCs w:val="16"/>
          <w:color w:val="auto"/>
        </w:rPr>
      </w:pPr>
    </w:p>
    <w:p>
      <w:pPr>
        <w:ind w:left="1020" w:right="220" w:hanging="503"/>
        <w:spacing w:after="0" w:line="277"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RMC-4630-03, a Phase 2 study of RMC-4630 in combination with sotorasib that we are sponsoring under a clinical trial collaboration and supply agreement with Amgen; and</w:t>
      </w:r>
    </w:p>
    <w:p>
      <w:pPr>
        <w:spacing w:after="0" w:line="67" w:lineRule="exact"/>
        <w:rPr>
          <w:rFonts w:ascii="Arial" w:cs="Arial" w:eastAsia="Arial" w:hAnsi="Arial"/>
          <w:sz w:val="18"/>
          <w:szCs w:val="18"/>
          <w:color w:val="auto"/>
        </w:rPr>
      </w:pPr>
    </w:p>
    <w:p>
      <w:pPr>
        <w:ind w:left="1020" w:right="860" w:hanging="503"/>
        <w:spacing w:after="0" w:line="244" w:lineRule="auto"/>
        <w:tabs>
          <w:tab w:leader="none" w:pos="10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Sanofi-sponsored Phase 1/2 study of RMC-4630 in combination with Mirati Therapeutics’ KRAS</w:t>
      </w:r>
      <w:r>
        <w:rPr>
          <w:rFonts w:ascii="Arial" w:cs="Arial" w:eastAsia="Arial" w:hAnsi="Arial"/>
          <w:sz w:val="24"/>
          <w:szCs w:val="24"/>
          <w:color w:val="auto"/>
          <w:vertAlign w:val="superscript"/>
        </w:rPr>
        <w:t>G12C</w:t>
      </w:r>
      <w:r>
        <w:rPr>
          <w:rFonts w:ascii="Arial" w:cs="Arial" w:eastAsia="Arial" w:hAnsi="Arial"/>
          <w:sz w:val="18"/>
          <w:szCs w:val="18"/>
          <w:color w:val="auto"/>
        </w:rPr>
        <w:t>(OFF) inhibitor, adagrasib (KRAZATI</w:t>
      </w:r>
      <w:r>
        <w:rPr>
          <w:rFonts w:ascii="Arial" w:cs="Arial" w:eastAsia="Arial" w:hAnsi="Arial"/>
          <w:sz w:val="24"/>
          <w:szCs w:val="24"/>
          <w:color w:val="auto"/>
          <w:vertAlign w:val="superscript"/>
        </w:rPr>
        <w:t>(R)</w:t>
      </w:r>
      <w:r>
        <w:rPr>
          <w:rFonts w:ascii="Arial" w:cs="Arial" w:eastAsia="Arial" w:hAnsi="Arial"/>
          <w:sz w:val="18"/>
          <w:szCs w:val="18"/>
          <w:color w:val="auto"/>
        </w:rPr>
        <w:t>).</w:t>
      </w:r>
    </w:p>
    <w:p>
      <w:pPr>
        <w:spacing w:after="0" w:line="141" w:lineRule="exact"/>
        <w:rPr>
          <w:sz w:val="20"/>
          <w:szCs w:val="20"/>
          <w:color w:val="auto"/>
        </w:rPr>
      </w:pPr>
    </w:p>
    <w:p>
      <w:pPr>
        <w:ind w:right="700"/>
        <w:spacing w:after="0" w:line="237" w:lineRule="auto"/>
        <w:rPr>
          <w:sz w:val="20"/>
          <w:szCs w:val="20"/>
          <w:color w:val="auto"/>
        </w:rPr>
      </w:pPr>
      <w:r>
        <w:rPr>
          <w:rFonts w:ascii="Arial" w:cs="Arial" w:eastAsia="Arial" w:hAnsi="Arial"/>
          <w:sz w:val="17"/>
          <w:szCs w:val="17"/>
          <w:color w:val="auto"/>
        </w:rPr>
        <w:t>Amgen is currently evaluating RMC-4630 in an active Phase 1b study in combination with Amgen’s KRAS</w:t>
      </w:r>
      <w:r>
        <w:rPr>
          <w:rFonts w:ascii="Arial" w:cs="Arial" w:eastAsia="Arial" w:hAnsi="Arial"/>
          <w:sz w:val="23"/>
          <w:szCs w:val="23"/>
          <w:color w:val="auto"/>
          <w:vertAlign w:val="superscript"/>
        </w:rPr>
        <w:t>G12C</w:t>
      </w:r>
      <w:r>
        <w:rPr>
          <w:rFonts w:ascii="Arial" w:cs="Arial" w:eastAsia="Arial" w:hAnsi="Arial"/>
          <w:sz w:val="17"/>
          <w:szCs w:val="17"/>
          <w:color w:val="auto"/>
        </w:rPr>
        <w:t>(OFF) agent sotorasib in Amgen’s CodeBreaK 101c study. In August 2022, Amgen reported results from this study at the 2022 World Conference on Lung Cancer.</w:t>
      </w:r>
    </w:p>
    <w:p>
      <w:pPr>
        <w:spacing w:after="0" w:line="202"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As a complement to the CodeBreaK 101c study, we are sponsoring RMC-4630-03, which is an additional global Phase 2 study of RMC-4630 in combination with sotorasib for patients with NSCLC carrying a KRAS</w:t>
      </w:r>
      <w:r>
        <w:rPr>
          <w:rFonts w:ascii="Arial" w:cs="Arial" w:eastAsia="Arial" w:hAnsi="Arial"/>
          <w:sz w:val="23"/>
          <w:szCs w:val="23"/>
          <w:color w:val="auto"/>
          <w:vertAlign w:val="superscript"/>
        </w:rPr>
        <w:t>G12C</w:t>
      </w:r>
      <w:r>
        <w:rPr>
          <w:rFonts w:ascii="Arial" w:cs="Arial" w:eastAsia="Arial" w:hAnsi="Arial"/>
          <w:sz w:val="17"/>
          <w:szCs w:val="17"/>
          <w:color w:val="auto"/>
        </w:rPr>
        <w:t xml:space="preserve"> mutation who have failed prior standard therapy and who have not previously been treated with a RAS inhibitor. We are sponsoring the RMC-4630-03 study under our global partnership with Sanofi and conducting the trial in collaboration with Amgen, which is supplying sotorasib globally under a clinical collaboration and supply agreement.</w:t>
      </w:r>
    </w:p>
    <w:p>
      <w:pPr>
        <w:spacing w:after="0" w:line="19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Sanofi sponsored a combination study under the Sanofi Agreement and under a clinical trial collaboration and supply agreement between Sanofi and Mirati to evaluate RMC-4630 (also known as SAR442720) in combination with Mirati’s KRAS</w:t>
      </w:r>
      <w:r>
        <w:rPr>
          <w:rFonts w:ascii="Arial" w:cs="Arial" w:eastAsia="Arial" w:hAnsi="Arial"/>
          <w:sz w:val="24"/>
          <w:szCs w:val="24"/>
          <w:color w:val="auto"/>
          <w:vertAlign w:val="superscript"/>
        </w:rPr>
        <w:t>G12C</w:t>
      </w:r>
      <w:r>
        <w:rPr>
          <w:rFonts w:ascii="Arial" w:cs="Arial" w:eastAsia="Arial" w:hAnsi="Arial"/>
          <w:sz w:val="18"/>
          <w:szCs w:val="18"/>
          <w:color w:val="auto"/>
        </w:rPr>
        <w:t>(OFF) inhibitor, adagrasib. We expect that this study will be wound down in connection with the termination of the Sanofi Agreement.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are also several clinical studies of RMC-4630 that do not involve combinations with RAS inhibitors:</w:t>
      </w:r>
    </w:p>
    <w:p>
      <w:pPr>
        <w:spacing w:after="0" w:line="117" w:lineRule="exact"/>
        <w:rPr>
          <w:sz w:val="20"/>
          <w:szCs w:val="20"/>
          <w:color w:val="auto"/>
        </w:rPr>
      </w:pPr>
    </w:p>
    <w:p>
      <w:pPr>
        <w:ind w:left="1020" w:hanging="503"/>
        <w:spacing w:after="0"/>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RMC-4630-01, a Phase 1 study of RMC-4630 as monotherapy;</w:t>
      </w:r>
    </w:p>
    <w:p>
      <w:pPr>
        <w:spacing w:after="0" w:line="121" w:lineRule="exact"/>
        <w:rPr>
          <w:rFonts w:ascii="Arial" w:cs="Arial" w:eastAsia="Arial" w:hAnsi="Arial"/>
          <w:sz w:val="18"/>
          <w:szCs w:val="18"/>
          <w:color w:val="auto"/>
        </w:rPr>
      </w:pPr>
    </w:p>
    <w:p>
      <w:pPr>
        <w:ind w:left="1020" w:right="40" w:hanging="503"/>
        <w:spacing w:after="0" w:line="232" w:lineRule="auto"/>
        <w:tabs>
          <w:tab w:leader="none" w:pos="10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Sanofi-sponsored Phase 1/2 study of RMC-4630 in combination with the PD-1 inhibitor pembrolizumab (Keytruda</w:t>
      </w:r>
      <w:r>
        <w:rPr>
          <w:rFonts w:ascii="Arial" w:cs="Arial" w:eastAsia="Arial" w:hAnsi="Arial"/>
          <w:sz w:val="24"/>
          <w:szCs w:val="24"/>
          <w:color w:val="auto"/>
          <w:vertAlign w:val="superscript"/>
        </w:rPr>
        <w:t>®</w:t>
      </w:r>
      <w:r>
        <w:rPr>
          <w:rFonts w:ascii="Arial" w:cs="Arial" w:eastAsia="Arial" w:hAnsi="Arial"/>
          <w:sz w:val="18"/>
          <w:szCs w:val="18"/>
          <w:color w:val="auto"/>
        </w:rPr>
        <w:t>) which we expect will be wound down in connection with the termination of the Sanofi Agreement; and</w:t>
      </w:r>
    </w:p>
    <w:p>
      <w:pPr>
        <w:spacing w:after="0" w:line="95" w:lineRule="exact"/>
        <w:rPr>
          <w:rFonts w:ascii="Arial" w:cs="Arial" w:eastAsia="Arial" w:hAnsi="Arial"/>
          <w:sz w:val="18"/>
          <w:szCs w:val="18"/>
          <w:color w:val="auto"/>
        </w:rPr>
      </w:pPr>
    </w:p>
    <w:p>
      <w:pPr>
        <w:ind w:left="1020" w:hanging="503"/>
        <w:spacing w:after="0"/>
        <w:tabs>
          <w:tab w:leader="none" w:pos="10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combination of RMC-4630 with an ERK inhibitor in patients as part of an investigator-sponsored study by Netherlands Cancer Institute.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RMC-5552</w:t>
      </w:r>
    </w:p>
    <w:p>
      <w:pPr>
        <w:spacing w:after="0" w:line="198"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Our RAS Companion Inhibitor RMC-5552 is designed as a selective inhibitor of hyperactivated mTORC1 signaling in tumors. We are evaluating RMC-5552 first as a monotherapy in a Phase 1 study (RMC-5552-001), and plan to evaluate RMC-5552 in combination with RAS inhibitors for patients with cancers harboring a RAS mutation and co-occurring mutations in the mTOR signaling pathway.</w:t>
      </w:r>
    </w:p>
    <w:p>
      <w:pPr>
        <w:spacing w:after="0" w:line="184"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mTORC1 is a critical regulator of metabolism, growth and proliferation within cells, including cancer cells. The abnormal activation of mTORC1, and subsequent inactivation of the tumor suppressor 4EBP1, is a mechanism that is frequently harnessed by cancer cells to gain a growth and proliferation advantage over normal cells. RMC-5552 is designed to selectively and deeply inhibit mTORC1, thereby preventing phosphorylation and inactivation of 4EBP1, a downstream protein in the mTOR signaling pathway that normally suppresses expression of certain oncogenes such as C-MYC. RMC-5552 has been shown to have combinatorial activity with KRAS</w:t>
      </w:r>
      <w:r>
        <w:rPr>
          <w:rFonts w:ascii="Arial" w:cs="Arial" w:eastAsia="Arial" w:hAnsi="Arial"/>
          <w:sz w:val="23"/>
          <w:szCs w:val="23"/>
          <w:color w:val="auto"/>
          <w:vertAlign w:val="superscript"/>
        </w:rPr>
        <w:t>G12C</w:t>
      </w:r>
      <w:r>
        <w:rPr>
          <w:rFonts w:ascii="Arial" w:cs="Arial" w:eastAsia="Arial" w:hAnsi="Arial"/>
          <w:sz w:val="17"/>
          <w:szCs w:val="17"/>
          <w:color w:val="auto"/>
        </w:rPr>
        <w:t xml:space="preserve"> inhibitors in preclinical models of KRAS</w:t>
      </w:r>
      <w:r>
        <w:rPr>
          <w:rFonts w:ascii="Arial" w:cs="Arial" w:eastAsia="Arial" w:hAnsi="Arial"/>
          <w:sz w:val="23"/>
          <w:szCs w:val="23"/>
          <w:color w:val="auto"/>
          <w:vertAlign w:val="superscript"/>
        </w:rPr>
        <w:t>G12C</w:t>
      </w:r>
      <w:r>
        <w:rPr>
          <w:rFonts w:ascii="Arial" w:cs="Arial" w:eastAsia="Arial" w:hAnsi="Arial"/>
          <w:sz w:val="17"/>
          <w:szCs w:val="17"/>
          <w:color w:val="auto"/>
        </w:rPr>
        <w:t xml:space="preserve"> lung and colon cancer, suggesting that RMC-5552 may be a meaningful and rational addition to our portfolio of RAS Companion Inhibitors.</w:t>
      </w:r>
    </w:p>
    <w:p>
      <w:pPr>
        <w:spacing w:after="0" w:line="180"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In interim data from our ongoing clinical trial with a December 19, 2022 data cut-off date, we have observed preliminary evidence of clinical activity at tolerable doses, including a confirmed partial response in a patient with head and neck cancer bearing an mTOR pathway mutation and a disease control rate of 71% in efficacy-evaluable patients treated at majority doses of 6 mg or 8 mg IV weekly (Figure 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Figure 8. Best Tumor Change in Efficacy Evaluable Patients Treated at 6 mg or 8 mg IV Weekly.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220345</wp:posOffset>
            </wp:positionV>
            <wp:extent cx="4834890" cy="31889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3489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80" w:firstLine="8"/>
        <w:spacing w:after="0" w:line="233" w:lineRule="auto"/>
        <w:tabs>
          <w:tab w:leader="none" w:pos="204" w:val="left"/>
        </w:tabs>
        <w:numPr>
          <w:ilvl w:val="0"/>
          <w:numId w:val="18"/>
        </w:numPr>
        <w:rPr>
          <w:rFonts w:ascii="Arial" w:cs="Arial" w:eastAsia="Arial" w:hAnsi="Arial"/>
          <w:sz w:val="14"/>
          <w:szCs w:val="14"/>
          <w:color w:val="auto"/>
        </w:rPr>
      </w:pPr>
      <w:r>
        <w:rPr>
          <w:rFonts w:ascii="Arial" w:cs="Arial" w:eastAsia="Arial" w:hAnsi="Arial"/>
          <w:sz w:val="14"/>
          <w:szCs w:val="14"/>
          <w:color w:val="auto"/>
        </w:rPr>
        <w:t>n = 28 efficacy evaluable subjects. *Patient received one dose of 12 mg, followed by weekly doses of 6 mg, had complete loss of oncogenic PTEN variant by ctDNA and has been on RMC-5552 for &gt;12 months. #Patient received one dose of 10 mg, followed by weekly doses of 6 mg. Both patients were on RMC-5552 for &gt;24 weeks. 6 mg weekly was well tolerated. Further enrollment at doses above 6 mg is ongoing to define the recommended Phase 2 dose and schedule. Data as of 12/19/2022. PD = progressive disease, SD = stable disease, PR = partial response, DCR=disease control rate. mo = months.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RMC-5845</w:t>
      </w:r>
    </w:p>
    <w:p>
      <w:pPr>
        <w:spacing w:after="0" w:line="185"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RMC-5845 targets SOS1, a protein that plays a key role in converting RAS(OFF) to RAS(ON) in cells. RMC-5845 is intended for select combination therapies for certain genetically-defined tumors. This compound is ready for preparation of an IND based on our preclinical development. We continue evaluating whether to advance RMC-5845 into clinical development in the context of other assets in our portfolio.</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Commercial plan</w:t>
      </w:r>
    </w:p>
    <w:p>
      <w:pPr>
        <w:spacing w:after="0" w:line="202"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We intend to retain significant development and commercialization rights to our product candidates and, if marketing approval is obtained, to commercialize our product candidates on our own, or potentially with a partner, in the United States and other regions. We currently have no sales, marketing or commercial product distribution capabilities. We intend to build the necessary infrastructure and capabilities over time for the United States, and potentially other regions, in connection with the advancement of our product candidates. Clinical data, the size of the addressable patient population, the size of the commercial infrastructure and manufacturing needs, and the status of our pipeline, may all influence or alter our commercialization plans.</w:t>
      </w:r>
    </w:p>
    <w:p>
      <w:pPr>
        <w:spacing w:after="0" w:line="16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most advanced product candidate, RMC-4630, is the subject of a global collaboration with Sanofi, which has been terminated effective as of June 2023. The terms of this collaboration give Sanofi certain rights with respect to SHP2-related commercialization decisions and to economics from commercial activities, as well as commercial manufacturing obligations, however all of these rights and obligations will revert to us upon effectiveness of termination of the collaboration agreement.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 with Sanofi</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June 2018, we entered into the Sanofi Agreement with Aventis, Inc. (an affiliate of Sanofi) to research and develop SHP2 inhibitors, including RMC-4630, for any indications. The Sanofi Agreement was assigned to Genzyme Corporation, a Sanofi affiliate, in December 2018. For the purposes of this discussion, we refer to Genzyme Corporation as Sanofi. In December 2022, the Sanofi Agreement was terminated effective as of June 2023, and all rights and obligations described below will terminate and revert to us upon effectiveness of this termination, except as necessary to permit Sanofi to perform any surviving obligations under the Sanofi Agreement.</w:t>
      </w:r>
    </w:p>
    <w:p>
      <w:pPr>
        <w:spacing w:after="0" w:line="161"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Pursuant to the Sanofi Agreement, we granted Sanofi a worldwide, exclusive, sublicensable (subject to our consent in certain circumstances) license under certain of our patents and know-how to research, develop, manufacture, use, sell, offer for sale, import and otherwise commercialize SHP2 inhibitors, including RMC-4630, for any and all uses, subject to our exercise of rights and performance of obligations under the Sanofi Agreement. Such intellectual property exclusively licensed to Sanofi includes our interest under any of our solely-owned or jointly-owned inventions arising out of activities undertaken pursuant to the development of SHP2 inhibitor product candidates under the Sanofi Agreement.</w:t>
      </w:r>
    </w:p>
    <w:p>
      <w:pPr>
        <w:spacing w:after="0" w:line="13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Under the Sanofi Agreement, we have primary responsibility for early clinical development of RMC-4630 pursuant to an approved development plan. Sanofi is responsible to reimburse us for all internal and external costs and expenses to perform our activities under approved development plans, except for costs and expenses related to studies designated in the Sanofi Agreement as RevMed Studies, for which we will bear all costs and expenses, and for the RMC-4630-03 study, for which we have agreed that Sanofi will reimburse us for 50% of the costs and expenses. There currently are no active RevMed Studies.</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responsible for the manufacture of SHP2 inhibitors for Phase 1 and non-registrational Phase 2 clinical trials pursuant to an approved development plan, while Sanofi is responsible for manufacturing SHP2 inhibitors for all other clinical trials and commercial supply. Sanofi has the sole right and responsibility to perform all regulatory activities under the Sanofi Agreement, except with respect to certain trials conducted by us or otherwise conducted under our IND, including our current clinical trials evaluating RMC-4630.</w:t>
      </w:r>
    </w:p>
    <w:p>
      <w:pPr>
        <w:spacing w:after="0" w:line="16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Unless otherwise delegated to us by the joint commercialization committee, during the term of the Sanofi Agreement, Sanofi also has the sole right and responsibility for all aspects of the commercialization of SHP2 inhibitors in the world for any and all uses, at its expense, subject to our right to elect to co-promote SHP2 inhibitors in the United States. Sanofi agrees to provide us, and we agree to provide Sanofi, with research, development and commercialization updates through the joint committees.</w:t>
      </w:r>
    </w:p>
    <w:p>
      <w:pPr>
        <w:spacing w:after="0" w:line="14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During the term of the Sanofi Agreement, we may not, alone or with any affiliate or third party, conduct certain research activities with respect to, or develop or commercialize, any product that contains a SHP2 inhibitor outside of the Sanofi Agreement.</w:t>
      </w:r>
    </w:p>
    <w:p>
      <w:pPr>
        <w:spacing w:after="0" w:line="130"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Pursuant to the Sanofi Agreement, we received an upfront payment of $50 million from Sanofi in July 2018. The Sanofi Agreement includes obligations for Sanofi to make certain milestone payments and royalty payments, all of which will expire upon effectiveness of termination of the Sanofi Agreement.</w:t>
      </w:r>
    </w:p>
    <w:p>
      <w:pPr>
        <w:spacing w:after="0" w:line="9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During the term of the Sanofi Agreement, Sanofi has the sole and exclusive right to file, prosecute and maintain any patents licensed to it pursuant to the Sanofi Agreement, as well as to enforce infringement of or defend claims against such patents that relate to SHP2 inhibitor products.</w:t>
      </w:r>
    </w:p>
    <w:p>
      <w:pPr>
        <w:spacing w:after="0" w:line="10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Upon effectiveness of the termination of the Sanofi Agreement, the licenses granted to Sanofi thereunder shall become fully paid-up, royalty-free, perpetual and irrevocable and all rights and obligations of Sanofi under the Sanofi Agreement will revert to 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0" w:name="page21"/>
    <w:bookmarkEnd w:id="20"/>
    <w:p>
      <w:pPr>
        <w:ind w:right="140"/>
        <w:spacing w:after="0" w:line="277" w:lineRule="auto"/>
        <w:rPr>
          <w:sz w:val="20"/>
          <w:szCs w:val="20"/>
          <w:color w:val="auto"/>
        </w:rPr>
      </w:pPr>
      <w:r>
        <w:rPr>
          <w:rFonts w:ascii="Arial" w:cs="Arial" w:eastAsia="Arial" w:hAnsi="Arial"/>
          <w:sz w:val="18"/>
          <w:szCs w:val="18"/>
          <w:color w:val="auto"/>
        </w:rPr>
        <w:t>Through December 31, 2022, we have received an aggregate of $176.9 million from Sanofi, including the upfront payment and research and development expense reimbursements.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rely on and will continue to rely on our contract manufacturing organizations, or CMOs, for both drug substance and drug product. Currently, all of our manufacturing is outsourced to well-established third-party manufacturers. We have entered into contracts with CMOs for production of drug substance and drug product for our clinical trials and IND-enabling development studies, and plan to enter into additional contracts with these or other manufacturers for additional supply.</w:t>
      </w:r>
    </w:p>
    <w:p>
      <w:pPr>
        <w:spacing w:after="0" w:line="14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outsourced approach to manufacturing relies on CMOs to first develop manufacturing processes that are compliant with current Good Manufacturing Practice, or cGMP, then produce material for preclinical and clinical studies. Our agreements with CMOs may obligate them to develop and qualify upstream and downstream processes, develop drug product process, validate (and in some cases develop) suitable analytical methods for test and release as well as stability testing, produce drug substance for preclinical testing, produce cGMP-compliant drug substance, or produce cGMP-compliant drug product. We conduct audits of CMOs prior to initiation of activities under these agreements and monitor operations to ensure compliance with the mutually agreed process descriptions and to cGMP regulations.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8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biotechnology and pharmaceutical industries, and the oncology sector, are characterized by rapid evolution of technologies, fierce competition and strong defense of intellectual property rights. While we believe that our discovery programs, technology, knowledge, experience, and scientific resources provide us with competitive advantages, we face competition from major pharmaceutical and biotechnology companies, academic institutions, governmental agencies and public and private research institutions, among others.</w:t>
      </w:r>
    </w:p>
    <w:p>
      <w:pPr>
        <w:spacing w:after="0" w:line="14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Any product candidates that we successfully develop and commercialize will compete with currently approved therapies and new therapies that may become available in the future. Key product features that would affect our ability to effectively compete with other therapeutics include the efficacy, safety and convenience of our products and the ease of use and effectiveness of any complementary diagnostics and/or companion diagnostics.</w:t>
      </w:r>
    </w:p>
    <w:p>
      <w:pPr>
        <w:spacing w:after="0" w:line="13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There are a number of companies developing or marketing treatments for cancer, including many major pharmaceutical and biotechnology companies. These treatments consist of small molecule drug products, biologics, cell-based therapies and traditional chemotherapy. Smaller and other early-stage companies may also prove to be significant competitors. In addition, academic research departments and public and private research institutions may be conducting research on compounds that could prove to be competitive.</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There are several programs in clinical development targeting SHP2, including those being conducted by Betta Pharmaceuticals Co., Ltd., Erasca, Inc., Etern BioPharma (Shanghai) Co. Ltd., Genhouse Bio Co. Ltd., HUYA Bioscience, InnoCare Pharma Ltd., Jacobio Pharmaceuticals Co. Ltd. (licensed to AbbVie Inc.), Nanjing Sanhome Pharmaceutical, Navire Pharma, Inc., a BridgeBio company (licensed to Bristol-Myers Squibb Company, Inc.), Novartis AG, Pfizer, Inc., and Relay Therapeutics Inc. (licensed to Roche).</w:t>
      </w:r>
    </w:p>
    <w:p>
      <w:pPr>
        <w:spacing w:after="0" w:line="191"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There are several programs in clinical development targeting KRAS</w:t>
      </w:r>
      <w:r>
        <w:rPr>
          <w:rFonts w:ascii="Arial" w:cs="Arial" w:eastAsia="Arial" w:hAnsi="Arial"/>
          <w:sz w:val="21"/>
          <w:szCs w:val="21"/>
          <w:color w:val="auto"/>
          <w:vertAlign w:val="superscript"/>
        </w:rPr>
        <w:t>G12C</w:t>
      </w:r>
      <w:r>
        <w:rPr>
          <w:rFonts w:ascii="Arial" w:cs="Arial" w:eastAsia="Arial" w:hAnsi="Arial"/>
          <w:sz w:val="16"/>
          <w:szCs w:val="16"/>
          <w:color w:val="auto"/>
        </w:rPr>
        <w:t>, including programs directed at KRAS</w:t>
      </w:r>
      <w:r>
        <w:rPr>
          <w:rFonts w:ascii="Arial" w:cs="Arial" w:eastAsia="Arial" w:hAnsi="Arial"/>
          <w:sz w:val="21"/>
          <w:szCs w:val="21"/>
          <w:color w:val="auto"/>
          <w:vertAlign w:val="superscript"/>
        </w:rPr>
        <w:t>G12C</w:t>
      </w:r>
      <w:r>
        <w:rPr>
          <w:rFonts w:ascii="Arial" w:cs="Arial" w:eastAsia="Arial" w:hAnsi="Arial"/>
          <w:sz w:val="16"/>
          <w:szCs w:val="16"/>
          <w:color w:val="auto"/>
        </w:rPr>
        <w:t xml:space="preserve"> (OFF) being conducted by Amgen Inc., Betta Pharmaceuticals Co., Ltd., Boehringer Ingelheim, D3 BIO, Inc., Eli Lilly, Genhouse Bio Co. Ltd., HUYA Bioscience, InnoCare Pharma Ltd., Innovent Biologics, Inc., InventisBio, Jacobio Pharmaceuticals Co. Ltd., Merck, Sharpe &amp; Dohme LLC, Mirati Therapeutics, Inc., Novartis AG, Roche, Shanghai YingLi Pharmaceutical, Suzhou Genhouse Bio and Suzhou Zelgen Biopharmaceuticals. There are also several clinical programs directed at KRAS</w:t>
      </w:r>
      <w:r>
        <w:rPr>
          <w:rFonts w:ascii="Arial" w:cs="Arial" w:eastAsia="Arial" w:hAnsi="Arial"/>
          <w:sz w:val="21"/>
          <w:szCs w:val="21"/>
          <w:color w:val="auto"/>
          <w:vertAlign w:val="superscript"/>
        </w:rPr>
        <w:t>G12D</w:t>
      </w:r>
      <w:r>
        <w:rPr>
          <w:rFonts w:ascii="Arial" w:cs="Arial" w:eastAsia="Arial" w:hAnsi="Arial"/>
          <w:sz w:val="16"/>
          <w:szCs w:val="16"/>
          <w:color w:val="auto"/>
        </w:rPr>
        <w:t>, including those being conducted by Astellas Pharma Inc., Jiangsu Hengrui Pharmaceuticals Company Ltd. and Mirati Therapeutics, Inc. Other clinical programs directed at mutant RAS are being conducted, including those by Alaunos Therapeutics, Inc., Elicio Therapeutics, Gritstone bio, Inc., Moderna, Inc., Silenseed Ltd. and Targovax ASA. The above list includes corporate competitors that we are currently aware of and that are currently conducting clinical trials or marketing in geographies where we currently anticipate conducting clinical trials for our product candidates. However, companies operating in other geographies and smaller and other early-stage companies may also prove to be significant competitors. In addition, academic research departments and public and private research institutions may be conducting research on compounds that could prove to be competitive.</w:t>
      </w:r>
    </w:p>
    <w:p>
      <w:pPr>
        <w:spacing w:after="0" w:line="142"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The availability of coverage and reimbursement from government and other third-party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1" w:name="page22"/>
    <w:bookmarkEnd w:id="21"/>
    <w:p>
      <w:pPr>
        <w:ind w:right="20"/>
        <w:spacing w:after="0" w:line="275" w:lineRule="auto"/>
        <w:rPr>
          <w:sz w:val="20"/>
          <w:szCs w:val="20"/>
          <w:color w:val="auto"/>
        </w:rPr>
      </w:pPr>
      <w:r>
        <w:rPr>
          <w:rFonts w:ascii="Arial" w:cs="Arial" w:eastAsia="Arial" w:hAnsi="Arial"/>
          <w:sz w:val="17"/>
          <w:szCs w:val="17"/>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success depends in part on our ability and the ability of our collaborators to obtain and maintain proprietary protection for our technology, programs, and know-how related to our business, defend and enforce our intellectual property rights, in particular, our patent rights, preserve the confidentiality of our trade secrets, and operate without infringing valid and enforceable intellectual property rights of others. We endeavor to establish, maintain and enforce intellectual property rights that protect our business interests.</w:t>
      </w:r>
    </w:p>
    <w:p>
      <w:pPr>
        <w:spacing w:after="0" w:line="14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term of individual patents depends upon the legal term of patents in the countries in which they are obtained. In most countries in which we file, including the United States, the patent term is generally 20 years from the earliest date of filing a non-provisional patent application, assuming the patent has not been terminally disclaimed over a commonly-owned patent or a patent naming a common inventor, or over a patent not commonly owned but that was disqualified as prior art as the result of activities undertaken within the scope of a joint research agreement. In the United States, the term of a patent may also be eligible for patent term adjustment for delays within the United States Patent and Trademark Office, or USPTO. In addition, for patents that cover an FDA-approved drug, the Drug Price Competition and Patent Term Restoration Act of 1984, or the Hatch-Waxman Act, may permit a patent term extension of up to five years beyond the expiration of the patent. While the length of such patent term extension is related to the length of time the drug is under regulatory review, patent term extension cannot extend the remaining term of a patent beyond a total of 14 years from the date of product approval, only one patent per approved drug may be extended and only those claims covering the approved drug product, a method for using it or a method for manufacturing it may be extended. Similar provisions are available in Europe and certain other foreign jurisdictions to extend the term of a patent that covers an approved drug. In the future, if and when our products receive FDA approval, we expect to apply for patent term extensions on patents covering those products. We plan to seek any available patent term extension to any issued patents we may be granted in any jurisdiction where such extensions are available; however, there is no guarantee that the applicable authorities, including the FDA in the United States, will agree with our assessment of whether such extensions should be granted, and if granted, the length of such extensions.</w:t>
      </w:r>
    </w:p>
    <w:p>
      <w:pPr>
        <w:spacing w:after="0" w:line="14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also rely on trade secrets, know-how, and confidential information relating to our programs to develop and maintain our proprietary position, and seek to protect and maintain the confidentiality of such items to protect aspects of our business that are not amenable to, or that we do not presently consider appropriate for, patent protection. Our trade secrets include, for example, certain program specific syntheses, manufacturing schema, formulations, biomarkers, patient selection strategies, and certain aspects of our proprietary tri-complex technology platform. It is our policy to require our employees, consultants, contractors, outside scientific collaborators, sponsored researchers and other advisors to execute confidentiality agreements prior to the commencement of employment or consulting relationships with us, and for employees, contractors and consultants to enter into invention assignment agreements with us. These agreements generally provide that all confidential information developed or made known to the individual during the course of the individual’s relationship with us is to be kept confidential and not disclosed to third parties except in specific circumstances. Where applicable, the agreements provide that all inventions to which the individual contributed as an inventor shall be assigned to us, and as such, will become our property. There can be no assurance, however, that these agreements will be self-executing or otherwise provide meaningful protection or adequate remedies for our trade secrets or other proprietary information, including in the event of unauthorized use or disclosure of such information. We also seek to preserve the integrity and confidentiality of our trade secrets and confidential information by maintaining physical security of our premises and physical and electronic security of our information technology systems. While we have confidence in the measures we take to protect and preserve our trade secrets, such measures can be breached, and we may not have adequate remedies for any such breach. In addition, our trade secrets may otherwise become known or be independently discovered by competitors. For more information regarding the risks related to intellectual property, please see “Risk factors—Risks related to intellectual property.”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program-specific patent portfolio</w:t>
      </w:r>
    </w:p>
    <w:p>
      <w:pPr>
        <w:spacing w:after="0" w:line="18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Our patent portfolio is directed to small molecules, platform methodologies, and related technology. We seek patent protection for product candidates, development programs, and related alternatives by filing and prosecuting patent applications in the United States and other countries, as appropriate.</w:t>
      </w:r>
    </w:p>
    <w:p>
      <w:pPr>
        <w:spacing w:after="0" w:line="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own and co-own patents and patent applications related to our SHP2 development program. Our patent portfolio related to this program consists of ownership or co-ownership rights to several patent families that include filings covering compositions of matter or methods of using our development candidate, RMC-4630, alone or in combination with certain other therapeutic agents. The single co-owned patent family is co-owned with The University of California, San Francisco, or UCSF. The issued patents have, and 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2" w:name="page23"/>
    <w:bookmarkEnd w:id="22"/>
    <w:p>
      <w:pPr>
        <w:ind w:right="340"/>
        <w:spacing w:after="0" w:line="277" w:lineRule="auto"/>
        <w:rPr>
          <w:sz w:val="20"/>
          <w:szCs w:val="20"/>
          <w:color w:val="auto"/>
        </w:rPr>
      </w:pPr>
      <w:r>
        <w:rPr>
          <w:rFonts w:ascii="Arial" w:cs="Arial" w:eastAsia="Arial" w:hAnsi="Arial"/>
          <w:sz w:val="18"/>
          <w:szCs w:val="18"/>
          <w:color w:val="auto"/>
        </w:rPr>
        <w:t>patents issuing from these patent applications would have, nominal expiration dates ranging from 2037 to 2041, without accounting for any applicable patent term adjustments or extensions.</w:t>
      </w:r>
    </w:p>
    <w:p>
      <w:pPr>
        <w:spacing w:after="0" w:line="143"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We own or exclusively license patents and patent applications related to our mTORC1 development program. Our patent portfolio related to this program consists of ownership or the exclusive license of rights to several patent families that include filings covering compositions of matter or methods of using our development candidate, RMC-5552, alone or in combination with certain other therapeutic agents. The single exclusively licensed patent family is licensed from UCSF. The issued patents have, and any patents issuing from these patent applications would have, nominal expiration dates ranging from 2035 to 2042, without accounting for any applicable patent term adjustments or extensions.</w:t>
      </w:r>
    </w:p>
    <w:p>
      <w:pPr>
        <w:spacing w:after="0" w:line="136"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own patent applications related to our SOS1 development program. Our patent portfolio related to this program consists of ownership of several patent families that include filings covering compositions of matter or methods of using our development candidate, RMC-5845, alone or in combination with certain other therapeutic agents. The issued patents have, and any patents issuing from these patent applications would have, nominal expiration dates ranging from 2040 to 2042, without accounting for any applicable patent term adjustments or extensions.</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own patents and patent applications related to our RAS tri-complex inhibitors and related platform technology. Our patent portfolio related to this program consists of ownership rights to several patent families that include filings covering compositions of matter or methods of using our development candidates alone or in combination with certain other therapeutic agents, or aspects pertaining to our tri-complex approach to RAS inhibition. The issued patents have, and any patents issuing from these patent applications would have, nominal expiration dates ranging from 2031 (for patents originating from the Warp Drive Bio portfolio) to 2042 (for patents originating from the Company’s portfolio), without accounting for any applicable patent term adjustments or extensions.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8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storage, recordkeeping, approval, labeling, marketing and promotion, distribution, post-approval monitoring and reporting, sampling, and import and export of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drug regulation</w:t>
      </w:r>
    </w:p>
    <w:p>
      <w:pPr>
        <w:spacing w:after="0" w:line="19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 FDA approval is required before any new unapproved drug can be marketed in the United States. Drugs are also subject to other federal, state and local statutes and regulations. Failure to comply with applicable FDA or other requirements may subject a company to a variety of administrative or judicial sanctions, such as FDA clinical holds, refusal to approve pending applications, withdrawal of an approval, warning or untitled letters, product recalls, product seizures, total or partial suspension of production or distribution, injunctions, fines, civil penalties and criminal prosecution.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117" w:lineRule="exact"/>
        <w:rPr>
          <w:sz w:val="20"/>
          <w:szCs w:val="20"/>
          <w:color w:val="auto"/>
        </w:rPr>
      </w:pPr>
    </w:p>
    <w:p>
      <w:pPr>
        <w:ind w:left="1020" w:right="36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animal studies, where all supporting safety and toxicity studies are performed in accordance with applicable regulations, including the FDA’s Good Laboratory Practice, or GLP, regulations;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manufacture of clinical drug supply in accordance with FDA’s current Good Manufacturing Practice, or cGMP, regulations, when required;</w:t>
      </w:r>
    </w:p>
    <w:p>
      <w:pPr>
        <w:spacing w:after="0" w:line="140" w:lineRule="exact"/>
        <w:rPr>
          <w:rFonts w:ascii="Arial" w:cs="Arial" w:eastAsia="Arial" w:hAnsi="Arial"/>
          <w:sz w:val="16"/>
          <w:szCs w:val="16"/>
          <w:color w:val="auto"/>
        </w:rPr>
      </w:pPr>
    </w:p>
    <w:p>
      <w:pPr>
        <w:ind w:left="1020" w:right="10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or IND, which must become effective before human clinical studies may begin and must be updated annually or when significant changes are made;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approval by an independent institutional review board, or IRB, representing each clinical site before a clinical study may be initiated;</w:t>
      </w:r>
    </w:p>
    <w:p>
      <w:pPr>
        <w:spacing w:after="0" w:line="128" w:lineRule="exact"/>
        <w:rPr>
          <w:rFonts w:ascii="Arial" w:cs="Arial" w:eastAsia="Arial" w:hAnsi="Arial"/>
          <w:sz w:val="17"/>
          <w:szCs w:val="17"/>
          <w:color w:val="auto"/>
        </w:rPr>
      </w:pPr>
    </w:p>
    <w:p>
      <w:pPr>
        <w:ind w:left="1020" w:right="40" w:hanging="503"/>
        <w:spacing w:after="0" w:line="277" w:lineRule="auto"/>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regulations to establish the safety and efficacy of the product candidate for each proposed indication;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preparation of and submission to the FDA of an NDA after completion of all pivotal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23" w:name="page24"/>
    <w:bookmarkEnd w:id="23"/>
    <w:p>
      <w:pPr>
        <w:ind w:left="1020" w:right="300" w:hanging="503"/>
        <w:spacing w:after="0" w:line="308"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satisfactory completion of an FDA pre-approval inspection of the manufacturing facility(ies) where the product is manufactured to assess compliance with cGMP regulations, and of selected clinical investigation sites to assess compliance with GCP;</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payment of users fees for FDA review of the NDA;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FDA review and approval of an NDA to permit commercial marketing of the product for its particular labeled uses in the United States.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Preclinical and clinical studies</w:t>
      </w:r>
    </w:p>
    <w:p>
      <w:pPr>
        <w:spacing w:after="0" w:line="19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preclinical and clinical testing and approval process can take many years and the actual time required to obtain approval, if any, may vary substantially based upon the type, complexity and novelty of the product or condition being treated.</w:t>
      </w:r>
    </w:p>
    <w:p>
      <w:pPr>
        <w:spacing w:after="0" w:line="13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Preclinical tests include laboratory (in vitro) evaluation of product chemistry, formulation and toxicity, as well as animal (in vivo) studies to assess the characteristics and potential safety and efficacy of the product. The conduct of preclinical tests that provide safety and toxicological information must comply with federal regulations and requirements, including GLP. The results of preclinical testing are submitted to the FDA as part of an IND along with other information, including information about product chemistry, manufacturing and controls (CMC) and any available human data or literature to support use of the product in humans. An IND is a request for authorization from the FDA to administer an investigational product to humans and must become effective before clinical trials may begin. Long-term preclinical tests, such as animal tests of reproductive toxicity and carcinogenicity, may continue after the IND is submitted.</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central focus of an IND submission is on the general investigational plan and the protocol(s) for human studies. An IND must become effective before human clinical trials may begin. An IND will automatically become effective 30 days after receipt by the FDA, unless before that time the FDA raises concerns or questions related to the proposed clinical studies. In such a case, the IND may be placed on clinical hold and the IND sponsor and the FDA must resolve any outstanding concerns or questions before clinical studies can begin.</w:t>
      </w:r>
    </w:p>
    <w:p>
      <w:pPr>
        <w:spacing w:after="0" w:line="16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each successive clinical trial conducted with the investigational drug, a separate, new protocol submission to an existing IND must be made, along with any subsequent changes to the investigational plan. Sponsors are also subject to ongoing reporting requirements, including submission of IND safety reports for any serious adverse experiences associated with use of the investigational drug or findings from preclinical studies suggesting a significant risk for human subjects, as well as IND annual reports on the progress of the investigations conducted under the IND.</w:t>
      </w:r>
    </w:p>
    <w:p>
      <w:pPr>
        <w:spacing w:after="0" w:line="13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Clinical studies involve the administration of the investigational new drug to human subjects under the supervision of qualified investigators in accordance with GCPs, which include the requirement that all research subjects provide their informed consent for participation in each clinical study. Clinical studies are conducted under protocols detailing, among other things, the objectives of the study, the parameters to be used in monitoring safety and the efficacy criteria to be evaluated. A protocol for each clinical study and any subsequent protocol amendments must be submitted to the FDA as part of the IND. Additionally, approval must also be obtained from each clinical study site’s IRB before a study may be initiated at the site, and the IRB must monitor the study until completed. Sponsors of clinical trials generally must register and report ongoing clinical studies and clinical study results to public registries, including the website maintained by the U.S. National Institutes of Health, ClinicalTrials.gov.</w:t>
      </w:r>
    </w:p>
    <w:p>
      <w:pPr>
        <w:spacing w:after="0" w:line="13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Human clinical trials are typically divided into three or four phases. Although the phases are usually conducted sequentially, they may overlap or be combined.</w:t>
      </w:r>
    </w:p>
    <w:p>
      <w:pPr>
        <w:spacing w:after="0" w:line="62" w:lineRule="exact"/>
        <w:rPr>
          <w:sz w:val="20"/>
          <w:szCs w:val="20"/>
          <w:color w:val="auto"/>
        </w:rPr>
      </w:pPr>
    </w:p>
    <w:p>
      <w:pPr>
        <w:ind w:left="520" w:hanging="512"/>
        <w:spacing w:after="0" w:line="257"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Phase 1. The drug is initially introduced into healthy human subjects or into patients with the target disease or condition. These studies are designed to evaluate the safety, dosage tolerance, metabolism and pharmacologic actions of the drug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79" w:lineRule="exact"/>
        <w:rPr>
          <w:rFonts w:ascii="Arial" w:cs="Arial" w:eastAsia="Arial" w:hAnsi="Arial"/>
          <w:sz w:val="18"/>
          <w:szCs w:val="18"/>
          <w:color w:val="auto"/>
        </w:rPr>
      </w:pPr>
    </w:p>
    <w:p>
      <w:pPr>
        <w:ind w:left="520" w:right="40" w:hanging="512"/>
        <w:spacing w:after="0" w:line="342" w:lineRule="auto"/>
        <w:tabs>
          <w:tab w:leader="none" w:pos="5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Phase 2. The drug is administered to a limited patient population to evaluate tolerance and optimal dose, identify possible adverse side effects and safety risks, and preliminarily evaluate efficacy. Multiple Phase 2 trials may be conducted to obtain additional data prior to beginning Phase 3 trials.</w:t>
      </w:r>
    </w:p>
    <w:p>
      <w:pPr>
        <w:spacing w:after="0" w:line="15" w:lineRule="exact"/>
        <w:rPr>
          <w:rFonts w:ascii="Arial" w:cs="Arial" w:eastAsia="Arial" w:hAnsi="Arial"/>
          <w:sz w:val="16"/>
          <w:szCs w:val="16"/>
          <w:color w:val="auto"/>
        </w:rPr>
      </w:pPr>
    </w:p>
    <w:p>
      <w:pPr>
        <w:jc w:val="both"/>
        <w:ind w:left="520" w:right="120" w:hanging="512"/>
        <w:spacing w:after="0" w:line="263"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Phase 3. The drug is administered to an expanded patient population, generally at geographically dispersed clinical study sites to generate enough data to statistically evaluate dosage, clinical effectiveness and safety, to establish the overall benefit-risk relationship of the investigational product and to provide an adequate basis for product approval.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4" w:name="page25"/>
    <w:bookmarkEnd w:id="24"/>
    <w:p>
      <w:pPr>
        <w:ind w:left="520" w:right="160" w:hanging="512"/>
        <w:spacing w:after="0" w:line="263"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Phase 4. In some cases, the FDA may condition approval of an NDA for a product candidate on the sponsor’s agreement to conduct additional clinical studies after approval. In other cases, a sponsor may voluntarily conduct additional clinical studies after approval to gain more information about the drug. Such post-approval studies are typically referred to as Phase 4 clinical studies.</w:t>
      </w:r>
    </w:p>
    <w:p>
      <w:pPr>
        <w:spacing w:after="0" w:line="14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FDA, the IRB, other regulatory authorities or the clinical study sponsor may suspend or terminate a clinical study at any time on various grounds, including a finding that the research subjects are being exposed to an unacceptable health risk. The sponsor may also suspend or terminate a clinical study based on evolving business objectives and/or competitive climate.</w:t>
      </w:r>
    </w:p>
    <w:p>
      <w:pPr>
        <w:spacing w:after="0" w:line="15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Concurrent with clinical trials, companies may complete additional in vivo studies and develop additional information about the characteristics of the product candidate. Companies must also finalize a process for manufacturing the product in commercially applicable quantities in accordance with cGMP requirements. The manufacturing process must be capable of consistently producing quality batches of the product and, among other things, must use validated methods for testing the product against specifications to confirm its identity, strength, quality and purity. Additionally, appropriate packaging must be selected and tested and stability studies must be conducted to demonstrate that the product does not undergo unacceptable deterioration over its shelf life.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review and approval process</w:t>
      </w:r>
    </w:p>
    <w:p>
      <w:pPr>
        <w:spacing w:after="0" w:line="18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the results of preclinical studies and other non-clinical studies and clinical trials, together with detailed information relating to the product’s chemistry, manufacture, controls, and proposed labeling, among other things, are submitted to the FDA in the form of an NDA requesting approval to market the product for one or more indications. The submission of an NDA requires payment of a substantial application user fee to the FDA, unless a waiver or exemption applies.</w:t>
      </w:r>
    </w:p>
    <w:p>
      <w:pPr>
        <w:spacing w:after="0" w:line="14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An NDA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product to the satisfaction of the FDA.</w:t>
      </w:r>
    </w:p>
    <w:p>
      <w:pPr>
        <w:spacing w:after="0" w:line="13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FDA reviews all submitted NDAs before it accepts them for filing. 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application for filing. In this event, the application must be resubmitted with the additional information and is subject to payment of additional user fees. The resubmitted application is also subject to review before the FDA accepts it for filing. Once the submission is accepted for filing, the FDA begins an in-depth substantive review. Under applicable Prescription Drug User Fee Act, or PDUFA, performance goals, the FDA endeavors to review applications subject to standard review within ten to twelve months, and to review applications subject to priority review within six to eight months, depending on whether the drug is a new molecular entity.</w:t>
      </w:r>
    </w:p>
    <w:p>
      <w:pPr>
        <w:spacing w:after="0" w:line="13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FDA may refer applications for novel drug products or drug products which present difficult questions of safety or efficacy to an advisory committee for review, evaluation and recommendation as to whether the application should be approved and under what conditions.</w:t>
      </w:r>
    </w:p>
    <w:p>
      <w:pPr>
        <w:spacing w:after="0" w:line="11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the FDA will typically inspect one or more clinical sites to assure that relevant study data was obtained in compliance with GCP requirements.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5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After the FDA evaluates the NDA and conducts inspections of manufacturing facilities,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will not be approved in its present form. A complete response letter generally outlines the deficiencies in the submission and may require substantial additional testing or information, including additional clinical trials or other significant and time-consuming requirements related to the clinical trials, in order for the FDA to reconsider the application. Even with submission of this additional information, the FDA may ultimately decide that an application does not satisfy the regulatory criteria for approval.</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right="20"/>
        <w:spacing w:after="0" w:line="290" w:lineRule="auto"/>
        <w:rPr>
          <w:sz w:val="20"/>
          <w:szCs w:val="20"/>
          <w:color w:val="auto"/>
        </w:rPr>
      </w:pPr>
      <w:r>
        <w:rPr>
          <w:rFonts w:ascii="Arial" w:cs="Arial" w:eastAsia="Arial" w:hAnsi="Arial"/>
          <w:sz w:val="16"/>
          <w:szCs w:val="16"/>
          <w:color w:val="auto"/>
        </w:rPr>
        <w:t>If regulatory approval of a product is granted, such approval will be granted for particular indications and may entail limitations on the indicated uses for which such product may be marketed. For example, as a condition of NDA approval, the FDA may require a Risk Evaluation and Mitigation Strategy, or REMS, program to help ensure that the benefits of the drug outweigh its risks. If the FDA determines a REMS program is necessary during review of the application, the drug sponsor must agree to the REMS plan at the time of approval. A REMS program may be required to include various elements, such as a medication guide or patient package insert, a communication plan to educate healthcare providers of the drug’s risks, or other elements to assure safe use, such as limitations on who may prescribe or dispense the drug, dispensing only under certain circumstances, special monitoring and the use of patient registries. In addition, all REMS programs must include a timetable to periodically assess the strategy following implementation. The FDA also may condition approval on, among other things, changes to proposed labeling or the development of adequate controls and specifications.</w:t>
      </w:r>
    </w:p>
    <w:p>
      <w:pPr>
        <w:spacing w:after="0" w:line="13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Further, product approval may require substantial post-approval testing and surveillance to monitor the drug’s safety and efficacy, and the FDA has the authority to prevent or limit further marketing of a product based on the results of these post-marketing programs. Once granted, product approvals may be withdrawn if compliance with regulatory standards is not maintained or problems are identified following initial marketing. Moreover, changes to the conditions established in an approved application, including changes in indications, labeling or manufacturing processes or facilities may require submission and FDA approval of a new NDA or NDA supplement before the changes can be implemented. An NDA supplement for a new indication typically requires clinical data similar to that supporting the original approval, and the FDA uses similar procedures in reviewing supplements as it does in reviewing original applications.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development and review programs</w:t>
      </w:r>
    </w:p>
    <w:p>
      <w:pPr>
        <w:spacing w:after="0" w:line="18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FDA offers a number of expedited development and review programs for qualifying product candidates, and we may seek one or more of these programs for our current or future products.</w:t>
      </w:r>
    </w:p>
    <w:p>
      <w:pPr>
        <w:spacing w:after="0" w:line="14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New drug products may be eligible for fast track designation if they are intended to treat a serious or life-threatening disease or condition and demonstrate the potential to address unmet medical needs for the disease or condition. Fast track designation applies to the combination of the product and the specific indication for which it is being studied. The sponsor of a fast track product has opportunities for frequent interactions with the review team during product development and, once an NDA is submitted, the product may be eligible for priority review. A fast track product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3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 product intended to treat a serious or life-threatening disease or condition may also be eligible for breakthrough therapy designation to expedite its development and review. A product can receive breakthrough therapy designation if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including involvement of senior managers.</w:t>
      </w:r>
    </w:p>
    <w:p>
      <w:pPr>
        <w:spacing w:after="0" w:line="15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After an NDA is submitted for a product, including a product with a fast track designation and/or breakthrough therapy designation, the NDA may be eligible for priority review. A product is eligible for priority review if it has the potential to provide a significant improvement in the treatment, diagnosis or prevention of a serious disease or condition compared to marketed products. Depending on whether a drug contains a new molecular entity, priority review designation means the FDA’s goal is to take an action on the marketing application within six to eight months of the 60-day filing date, compared with ten to twelve months under standard review.</w:t>
      </w:r>
    </w:p>
    <w:p>
      <w:pPr>
        <w:spacing w:after="0" w:line="16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The FDA may withdraw approval of a drug or an indication approved under accelerated approval if, for example, sponsor fails to conduct the confirmatory trial in a timely manner, or if the confirmatory trial fails to verify the predicted clinical benefit of the product. In addition, the FDA currently requires as a condition for accelerated approval pre-approval of promotional materials, which could adversely impact the timing of the commercial launch of the product.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26" w:name="page27"/>
    <w:bookmarkEnd w:id="26"/>
    <w:p>
      <w:pPr>
        <w:ind w:right="20"/>
        <w:spacing w:after="0" w:line="259" w:lineRule="auto"/>
        <w:rPr>
          <w:sz w:val="20"/>
          <w:szCs w:val="20"/>
          <w:color w:val="auto"/>
        </w:rPr>
      </w:pPr>
      <w:r>
        <w:rPr>
          <w:rFonts w:ascii="Arial" w:cs="Arial" w:eastAsia="Arial" w:hAnsi="Arial"/>
          <w:sz w:val="18"/>
          <w:szCs w:val="18"/>
          <w:color w:val="auto"/>
        </w:rPr>
        <w:t>Fast track designation, breakthrough therapy designation, priority review and accelerated approval do not change the scientific or medical standards for approval or the quality of evidence necessary to support approval, though they may expedite the development or review process. Even if a product qualifies for one or more of these programs, the FDA may later decide that the product no longer meets the conditions for qualification or the time period for FDA review or approval may not be shortened.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drug designation</w:t>
      </w:r>
    </w:p>
    <w:p>
      <w:pPr>
        <w:spacing w:after="0" w:line="18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intend to pursue orphan drug designation for one or more of our product candidates with respect to certain oncology indications, as appropriate, with the potential to obtain orphan drug exclusivity for our products, if approved.</w:t>
      </w:r>
    </w:p>
    <w:p>
      <w:pPr>
        <w:spacing w:after="0" w:line="13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Under the Orphan Drug Act, the FDA may grant orphan designation to a drug intended to treat a rare disease or condition, which is a disease or condition that affects fewer than 200,000 individuals in the United States, or more than 200,000 individuals in the United States for which there is no reasonable expectation that the cost of developing and making available in the United States a drug for this type of disease or condition will be recovered from sales in the United States for that drug. Orphan drug designation must be requested before submitting an NDA. After the FDA grants orphan drug designation, the generic identity of the therapeutic agent and its potential orphan use are disclosed publicly by the FDA. The orphan drug designation does not convey any advantage in, or shorten the duration of, the regulatory review or approval process.</w:t>
      </w:r>
    </w:p>
    <w:p>
      <w:pPr>
        <w:spacing w:after="0" w:line="15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If a product that has orphan drug designation subsequently receives the first FDA approval for the disease for which it has such designation, the product is entitled to orphan drug exclusive approval (or exclusivity), which means that the FDA may not approve any other applications, including a full NDA, to market the same drug for the same disease or condition for seven years, except in limited circumstances, such as a showing of clinical superiority to the product with orphan drug exclusivity. Orphan drug exclusivity does not prevent the FDA from approving a different drug for the same disease or condition, or the same drug for a different disease or condition. Orphan product exclusivity also could block the approval of one of our products for seven years if a competitor obtains approval of the same drug as defined by the FDA or if our product candidate is determined to be contained within the competitor’s product for the same disease or condition. Among the other benefits of orphan drug designation are tax credits for certain research and a waiver of the application user fee.</w:t>
      </w:r>
    </w:p>
    <w:p>
      <w:pPr>
        <w:spacing w:after="0" w:line="15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information and pediatric exclusivity</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the Pediatric Research Equity Act, or PREA, certain NDAs and certain supplements to an NDA must contain data to assess the safety and efficacy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Food and Drug Administration Safety and Innovation Act, or FDASIA, amended the FDCA to require that a sponsor who is planning to submit a marketing application for a drug that includes a new active ingredient, new indication, new dosage form, new dosing regimen or new route of administration submit an initial Pediatric Study Plan, or iPSP, within 60 days of an end-of-Phase 2 meeting or, if there is no such meeting, as early as practicable before the initiation of a Phase 3 or Phase 2/3 study. The iPSP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iPSP. A sponsor can submit amendments to an agreed-upon iPSP at any time if changes to the pediatric plan need to be considered based on data collected from preclinical studies, early phase clinical trials and/or other clinical development programs.</w:t>
      </w:r>
    </w:p>
    <w:p>
      <w:pPr>
        <w:spacing w:after="0" w:line="131"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A drug product can also obtain pediatric market exclusivity in the United States. Pediatric exclusivity, if granted, adds six months to existing exclusivity periods and patent terms. This six-month exclusivity, which runs from the end of other exclusivity protection or patent term, may be granted based on the voluntary completion of a pediatric study in accordance with an FDA-issued “Written Request” for such a study.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19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Once an NDA is approved, a product will be subject to pervasive and continuing regulation by the FDA, including, among other things, requirements relating to drug listing and registration, recordkeeping, periodic reporting, product sampling and distribution, adverse event reporting and advertising, marketing and promotion. Drugs may be marketed only for the approved indications and in accordance with the provisions of the approved labeling. While physicians may prescribe for off-label uses, manufacturers may only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7" w:name="page28"/>
    <w:bookmarkEnd w:id="27"/>
    <w:p>
      <w:pPr>
        <w:ind w:right="260"/>
        <w:spacing w:after="0" w:line="259" w:lineRule="auto"/>
        <w:rPr>
          <w:sz w:val="20"/>
          <w:szCs w:val="20"/>
          <w:color w:val="auto"/>
        </w:rPr>
      </w:pPr>
      <w:r>
        <w:rPr>
          <w:rFonts w:ascii="Arial" w:cs="Arial" w:eastAsia="Arial" w:hAnsi="Arial"/>
          <w:sz w:val="18"/>
          <w:szCs w:val="18"/>
          <w:color w:val="auto"/>
        </w:rPr>
        <w:t>promote for the approved indications and in accordance with the provisions of the approved label. However, companies may share truthful and not misleading information that is otherwise consistent with a product’s FDA approved labeling. The FDA and other agencies actively enforce the laws and regulations prohibiting the promotion of off-label uses, and a company that is found to have improperly promoted off-label uses may be subject to significant liability.</w:t>
      </w:r>
    </w:p>
    <w:p>
      <w:pPr>
        <w:spacing w:after="0" w:line="16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NDA. In addition, quality-control, drug manufacture, packaging and labeling procedures must continue to conform to cGMPs after approval. Drug manufacturers and certain of their subcontractors are required to register their establishments with the FDA and certain state agencies. Registration with the FDA subjects entities to periodic unannounced and announced inspections by the FDA and these state agencies, during which the agency inspects manufacturing facilities to assess compliance with cGMP requirements and other laws.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The FDA may withdraw approval of a product if compliance with regulatory requirements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66" w:lineRule="exact"/>
        <w:rPr>
          <w:sz w:val="20"/>
          <w:szCs w:val="20"/>
          <w:color w:val="auto"/>
        </w:rPr>
      </w:pPr>
    </w:p>
    <w:p>
      <w:pPr>
        <w:ind w:left="1020" w:hanging="503"/>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a product, complete withdrawal of the product from the market or product recalls;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studies;</w:t>
      </w:r>
    </w:p>
    <w:p>
      <w:pPr>
        <w:spacing w:after="0" w:line="117" w:lineRule="exact"/>
        <w:rPr>
          <w:rFonts w:ascii="Arial" w:cs="Arial" w:eastAsia="Arial" w:hAnsi="Arial"/>
          <w:sz w:val="18"/>
          <w:szCs w:val="18"/>
          <w:color w:val="auto"/>
        </w:rPr>
      </w:pPr>
    </w:p>
    <w:p>
      <w:pPr>
        <w:ind w:left="1020" w:right="4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existing product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 or detention, or refusal of the FDA to permit the import or export of products;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mandated modifications of promotional materials and labeling and the issuance of corrective information;</w:t>
      </w:r>
    </w:p>
    <w:p>
      <w:pPr>
        <w:spacing w:after="0" w:line="117"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or other communications containing warnings or other safety information about the product; 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8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 educational activities, and promotional activities involving the internet.</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FDA may also require post-approval studies and clinical trials if the FDA finds that scientific data, including information regarding related drugs, deem it appropriate. The purpose of such studies would be to assess a known serious risk or signals of serious risk related to the drug or to identify an unexpected serious risk when available data indicate the potential for a serious risk. The FDA may also require a labeling change if it becomes aware of new safety information that it believes should be included in the labeling of a drug.</w:t>
      </w:r>
    </w:p>
    <w:p>
      <w:pPr>
        <w:spacing w:after="0" w:line="160"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Failure to comply with the applicable regulatory requirements at any time during the product development process, approval process or after approval may subject an applicant or manufacturer to, among other things, adverse publicity, warning letters, corrective advertising and potential civil and criminal penalties. FDA sanctions could include refusal to approve pending applications, withdrawal of an approval,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to regulations in the United States, we could become subject to a variety of foreign regulations regarding development, approval, commercial sales and distribution of our products if we seek to market our product candidates in other jurisdictions. Whether or not we obtain FDA approval for a product, we must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review periods, and the time may be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28" w:name="page29"/>
    <w:bookmarkEnd w:id="28"/>
    <w:p>
      <w:pPr>
        <w:ind w:right="160"/>
        <w:spacing w:after="0" w:line="257" w:lineRule="auto"/>
        <w:rPr>
          <w:sz w:val="20"/>
          <w:szCs w:val="20"/>
          <w:color w:val="auto"/>
        </w:rPr>
      </w:pPr>
      <w:r>
        <w:rPr>
          <w:rFonts w:ascii="Arial" w:cs="Arial" w:eastAsia="Arial" w:hAnsi="Arial"/>
          <w:sz w:val="18"/>
          <w:szCs w:val="18"/>
          <w:color w:val="auto"/>
        </w:rPr>
        <w:t>longer or shorter than that required to obtain FDA approval. The requirements governing, among other things,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product recalls, seizure of products, operating restrictions and criminal prosecution.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8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Pharmaceutical companies are subject to additional healthcare regulation and enforcement by the federal government and by authorities in the states and foreign jurisdictions in which they conduct their business. Such laws include, without limitation, U.S. federal and state anti-kickback, fraud and abuse, false claims, consumer fraud, pricing reporting, and transparency laws and regulations as well as similar foreign laws in jurisdictions outside the U.S.</w:t>
      </w:r>
    </w:p>
    <w:p>
      <w:pPr>
        <w:spacing w:after="0" w:line="108"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For example, the federal Anti-Kickback Statute prohibits, among other things, individuals or entities from knowingly and willfully offering, paying, soliciting or receiving remuneration,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entity does not need to have actual knowledge of this statute or specific intent to violate it in order to have committed a violation.</w:t>
      </w:r>
    </w:p>
    <w:p>
      <w:pPr>
        <w:spacing w:after="0" w:line="13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federal civil and criminal false claims laws, including the civil False Claims Act, prohibit, among other things, any individual or entity from knowingly presenting, or causing to be presented, a false claim for payment to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civil False Claims Act.</w:t>
      </w:r>
    </w:p>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federal Health Insurance Portability and Accountability Act of 1996, or HIPAA, created additional federal civil and criminal statutes that prohibit, among other things, knowingly and willfully executing a scheme to defraud any healthcare benefit program. Similar to the U.S. federal Anti-Kickback Statute, a person or entity does not need to have actual knowledge of the healthcare fraud statute implemented under HIPAA or specific intent to violate it in order to have committed a violation.</w:t>
      </w:r>
    </w:p>
    <w:p>
      <w:pPr>
        <w:spacing w:after="0" w:line="14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(defined to include doctors, dentists, optometrists, podiatrists and chiropractors), certain non-physician practitioners (physician assistants, nurse practitioners, clinical nurse specialists, certified nurse anesthetists, anesthesiology assistants and certified nurse midwives) and teaching hospitals, and applicable manufacturers and applicable group purchasing organizations to report annually to CMS ownership and investment interests held by physicians and their immediate family members.</w:t>
      </w:r>
    </w:p>
    <w:p>
      <w:pPr>
        <w:spacing w:after="0" w:line="15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or which require tracking gifts and other remuneration and items of value provided to physicians, other healthcare providers and entities; and state and local laws that require the registration of pharmaceutical sales representatives.</w:t>
      </w:r>
    </w:p>
    <w:p>
      <w:pPr>
        <w:spacing w:after="0" w:line="138" w:lineRule="exact"/>
        <w:rPr>
          <w:sz w:val="20"/>
          <w:szCs w:val="20"/>
          <w:color w:val="auto"/>
        </w:rPr>
      </w:pPr>
    </w:p>
    <w:p>
      <w:pPr>
        <w:jc w:val="both"/>
        <w:ind w:right="380"/>
        <w:spacing w:after="0" w:line="263" w:lineRule="auto"/>
        <w:rPr>
          <w:sz w:val="20"/>
          <w:szCs w:val="20"/>
          <w:color w:val="auto"/>
        </w:rPr>
      </w:pPr>
      <w:r>
        <w:rPr>
          <w:rFonts w:ascii="Arial" w:cs="Arial" w:eastAsia="Arial" w:hAnsi="Arial"/>
          <w:sz w:val="18"/>
          <w:szCs w:val="18"/>
          <w:color w:val="auto"/>
        </w:rPr>
        <w:t>Violation of any of such laws or any other governmental regulations that apply may result in penalties, including, without limitation, civil and criminal penalties, damages, fines, additional reporting obligations, the curtailment or restructuring of operations, exclusion from participation in governmental healthcare programs and individual imprisonment.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Data privacy and security</w:t>
      </w:r>
    </w:p>
    <w:p>
      <w:pPr>
        <w:spacing w:after="0" w:line="19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Pharmaceutical companies may be subject to numerous federal, state and foreign laws, regulations that govern the collection, use, disclosure and protection of health-related and other personal information.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and clinical support for the use of a product to each payor separately and can be a time-consuming process, with no assurance that coverage and adequate reimbursement will be applied consistently or obtained in the first instance.</w:t>
      </w:r>
    </w:p>
    <w:p>
      <w:pPr>
        <w:spacing w:after="0" w:line="1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addition, third-party payors are increasingly reducing reimbursements for pharmaceutical products and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Decreases in third-party reimbursement for any product or a decision by a third-party payor not to cover a product could reduce physician usage and patient demand for the product.</w:t>
      </w:r>
    </w:p>
    <w:p>
      <w:pPr>
        <w:spacing w:after="0" w:line="1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98"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In the United States and certain foreign jurisdictions, there have been, and we expect there will continue to be, a number of legislative and regulatory changes to the healthcare system. In March 2010, the Patient Protection and Affordable Care Act, as amended by the Health Care and Education Reconciliation Act, or collectively the ACA, was signed into law, which substantially changed the way healthcare is financed by both governmental and private insurers in the United States. The ACA contains a number of provisions, including those governing enrollment in federal healthcare programs, reimbursement adjustments and fraud and abuse changes. Additionally,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expanded eligibility criteria for Medicaid programs; created a new Patient-Centered Outcomes Research Institute to oversee, identify priorities in, and conduct comparative clinical effectiveness research, along with funding for such research; and established a Center for Medicare and Medicaid Innovation at CMS to test innovative payment and service delivery models to lower Medicare and Medicaid spending, potentially including prescription drug spending.</w:t>
      </w:r>
    </w:p>
    <w:p>
      <w:pPr>
        <w:spacing w:after="0" w:line="1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its enactment, there have been judicial, executive and Congressional challenges to certain aspects of the ACA. In June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0" w:name="page31"/>
    <w:bookmarkEnd w:id="30"/>
    <w:p>
      <w:pPr>
        <w:ind w:right="240"/>
        <w:spacing w:after="0" w:line="286" w:lineRule="auto"/>
        <w:rPr>
          <w:sz w:val="20"/>
          <w:szCs w:val="20"/>
          <w:color w:val="auto"/>
        </w:rPr>
      </w:pPr>
      <w:r>
        <w:rPr>
          <w:rFonts w:ascii="Arial" w:cs="Arial" w:eastAsia="Arial" w:hAnsi="Arial"/>
          <w:sz w:val="17"/>
          <w:szCs w:val="17"/>
          <w:color w:val="auto"/>
        </w:rPr>
        <w:t>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w:t>
      </w:r>
    </w:p>
    <w:p>
      <w:pPr>
        <w:spacing w:after="0" w:line="13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Other legislative changes have been proposed and adopted since the ACA was enacted, including aggregate reductions of Medicare payments to providers, which will remain in effect through 2032, with the exception of a temporary suspension from May 1, 2020 through March 31, 2022 absent additional congressional action. 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On August 16, 2022, the Inflation Reduction Act of 2022, or the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w:t>
      </w:r>
    </w:p>
    <w:p>
      <w:pPr>
        <w:spacing w:after="0" w:line="182"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 party payors and governmental authorities in reference pricing systems and publication of discounts and list prices.</w:t>
      </w:r>
    </w:p>
    <w:p>
      <w:pPr>
        <w:spacing w:after="0" w:line="157"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 candidates and services, which could result in reduced demand for our product candidates once approved or additional pricing pressures.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189"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As of December 31, 2022, we had 246 full-time employees, including 105 employees who have M.D. or Ph.D. degrees. Within our workforce, as of December 31, 2022, 202 employees were engaged in research and development. None of our employees are represented by labor unions or covered by collective bargaining agreements. We consider our relationship with our employees to be good.</w:t>
      </w:r>
    </w:p>
    <w:p>
      <w:pPr>
        <w:spacing w:after="0" w:line="16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Our human capital resources objectives include meeting hiring goals, deepening our oncology and public company expertise, integrating new employees, and retaining, incentivizing and developing our existing employees. We provide competitive compensation and benefit programs, including competitive salaries, incentive programs, equity awards, and employee stock purchase plan, healthcare and insurance benefits. The principal purposes of our equity incentive programs are to attract, retain and motivate selected employees, consultants and directors through the granting of stock-based compensation awards and to align the interests of these individuals with those of our stockholders. We regularly review our compensation practices to support our employees, including evaluating innovative health and wellness programs to continue to respond to employee needs.</w:t>
      </w:r>
    </w:p>
    <w:p>
      <w:pPr>
        <w:spacing w:after="0" w:line="1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committed to creating an environment where diverse perspectives are encouraged and supported. This commitment is memorialized as one of our corporate core values (Inclusiveness and Fairness) and is brought to life for every employee during our cultural integration sessions for new hires and through an informal network of cultural champions that we foster. As of December 31, 2022, females represented 56% of our full-time employees and 207 of our employees as of this date self-identified their race, of which 57% self-identified as an “underrepresented minority,” as this term is defined by Nasdaq rules.</w:t>
      </w:r>
    </w:p>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We are equally committed to the development of our employees and one of our corporate core values (Exceptional Together) captures this commitment. We offer our employees career-specific training and resources and support development opportunities through company-sponsored programs, including learning, mentoring, and coaching opportunities. We host regular company-wide sessions where our employees discuss ideas related to corporate initiatives and scientific breakthroughs and recognize each other’s contributions. In addition, we conduct an anonymous all-employee engagement survey at least annually, and take the results of this survey into account in management of our employees and business.</w:t>
      </w:r>
    </w:p>
    <w:p>
      <w:pPr>
        <w:spacing w:after="0" w:line="1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health and safety of our employees is a top priority. We continue to monitor and adjust our comprehensive plan related to the COVID-19 pandemic, which includes COVID-19 policies, safety protocols and employee communications.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Corporate Information</w:t>
      </w:r>
    </w:p>
    <w:p>
      <w:pPr>
        <w:spacing w:after="0" w:line="18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were founded in October 2014 as a Delaware corporation. Our principal executive offices are located at 700 Saginaw Drive, Redwood City, California 94063, and our telephone number is (650) 481-6801.</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website address is www.revmed.com. We make available on or through our website certain reports and amendments to those reports that we file with or furnish to the SEC in accordance with the Securities Exchange Act of 1934, as amended, or the Exchange Act. These include our annual reports on Form 10-K, our quarterly reports on Form 10-Q, and our current reports on Form 8-K, and amendments to those reports filed or furnished pursuant to Section 13(a) or 15(d) of the Exchange Act. We make this information available on or through our website free of charge as soon as reasonably practicable after we electronically file the information with, or furnish it to, the SEC. References to our website address do not constitute incorporation by reference of the information contained on the website, and the information contained on the website is not part of this document or any other document that we file with or furnish to the SEC. The SEC maintains a site on the worldwide web that contains reports, proxy and information statements and other information regarding our filings at www.sec.gov.</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Annual Report on Form 10-K, including our financial statements and the related notes and the section titled “Management’s Discussion and Analysis of Financial Condition and Results of Operations” before deciding whether to invest in our common stock. The occurrence of any of the events or developments described below or other risks we face could materially and adversely affect our business, competitive position, financial condition, results of operations, cash flows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limited operating history, financial position and need for additional capital</w:t>
      </w:r>
    </w:p>
    <w:p>
      <w:pPr>
        <w:spacing w:after="0" w:line="229"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We are a clinical-stage precision oncology company with a limited operating history and no products approved for commercial sale. We have incurred significant losses since inception. We expect to incur losses for at least the next several years and may never achieve or maintain profitability, which, together with our limited operating history, makes it difficult to assess our future viability.</w:t>
      </w:r>
    </w:p>
    <w:p>
      <w:pPr>
        <w:spacing w:after="0" w:line="165"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Biopharmaceutical product development is a highly speculative undertaking and involves a substantial degree of risk. We are a clinical-stage precision oncology company, and we have only a limited operating history upon which you can evaluate our business and prospects. We currently have no products approved for commercial sale, have not generated any revenue from sales of products and have incurred losses in each year since our inception in October 2014. In addition, we have limited experience as a company and have not yet demonstrated an ability to successfully overcome many of the risks and uncertainties frequently encountered by companies in new and rapidly evolving fields, particularly in the biopharmaceutical industry.</w:t>
      </w:r>
    </w:p>
    <w:p>
      <w:pPr>
        <w:spacing w:after="0" w:line="16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Since inception, we have incurred significant net losses. Our net losses were $248.7 million, $187.1 million and $108.2 million, for the years ended December 31, 2022, 2021 and 2020, respectively. As of December 31, 2022, we had an accumulated deficit of $701.3 million. We have funded our operations to date primarily with proceeds from the sale of common stock and preferred stock and upfront payments and research and development cost reimbursement received under our collaboration agreement with Genzyme Corporation, an affiliate of Sanofi (the Sanofi Agreement). The Sanofi Agreement has been terminated effective as of June 2023, and Sanofi will have no further reimbursement obligations post this termination. To date, we have devoted substantially all of our resources to organizing and staffing our company, business planning, raising capital, acquiring and discovering development programs, securing intellectual property rights and conducting discovery, research and development activities for our programs. We have not yet demonstrated our ability to successfully complete any clinical trials, including pivotal clinical trials, obtain marketing approvals, manufacture a commercial-scale product, or arrange for a third party to do so on our behalf, or conduct sales and marketing activities necessary for successful product commercialization. Our product candidates will require substantial additional development time and resources before we will be able to apply for or receive regulatory approvals and, if approved, begin generating revenue from product sales. We expect to continue to incur significant expenses and operating losses for the foreseeable future.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ability to generate revenue from product sales and achieve profitability depends on our ability, alone or with our collaboration partners, to successfully complete the development of, and obtain the regulatory approvals necessary to commercialize, our development programs. We do not anticipate generating revenue from product sales for the next several years, if ever. Our ability to generate future revenue from product sales depends heavily on our, and any potential future collaborators’, success in:</w:t>
      </w:r>
    </w:p>
    <w:p>
      <w:pPr>
        <w:spacing w:after="0" w:line="79" w:lineRule="exact"/>
        <w:rPr>
          <w:sz w:val="20"/>
          <w:szCs w:val="20"/>
          <w:color w:val="auto"/>
        </w:rPr>
      </w:pPr>
    </w:p>
    <w:p>
      <w:pPr>
        <w:ind w:left="1020" w:hanging="503"/>
        <w:spacing w:after="0"/>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completing clinical and preclinical development of product candidates and programs and identifying and developing new product candidates;</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seeking and obtaining marketing approvals for any product candidates that we develop;</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achieving adequate coverage and reimbursement by third-party payors for product candidates that we develop;</w:t>
      </w:r>
    </w:p>
    <w:p>
      <w:pPr>
        <w:spacing w:after="0" w:line="117" w:lineRule="exact"/>
        <w:rPr>
          <w:rFonts w:ascii="Arial" w:cs="Arial" w:eastAsia="Arial" w:hAnsi="Arial"/>
          <w:sz w:val="18"/>
          <w:szCs w:val="18"/>
          <w:color w:val="auto"/>
        </w:rPr>
      </w:pPr>
    </w:p>
    <w:p>
      <w:pPr>
        <w:ind w:left="1020" w:right="40" w:hanging="503"/>
        <w:spacing w:after="0" w:line="342"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15" w:lineRule="exact"/>
        <w:rPr>
          <w:rFonts w:ascii="Arial" w:cs="Arial" w:eastAsia="Arial" w:hAnsi="Arial"/>
          <w:sz w:val="16"/>
          <w:szCs w:val="16"/>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market acceptance of product candidates that we develop as viable treatment options;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1020" w:right="80" w:hanging="503"/>
        <w:spacing w:after="0" w:line="277" w:lineRule="auto"/>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 and performing our obligations in such collaborations;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maintaining, protecting, enforcing and expanding our portfolio of intellectual property rights, including patents, trade secrets and know-how;</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defending against third-party interference, infringement or other intellectual property-related claims, if any;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including prior to a potential launch of any approved product candidate. Our expenses could increase beyond expectations if we are required by the U.S. Food and Drug Administration (the FDA), the European Medicines Agency (the EMA) or other regulatory agencies to perform clinical trials or studies in addition to those that we currently anticipate. Even if we are able to generate revenue from the sale of any approved products, we may not become profitable and may need to obtain additional funding to continue operations.</w:t>
      </w:r>
    </w:p>
    <w:p>
      <w:pPr>
        <w:spacing w:after="0" w:line="16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b w:val="1"/>
          <w:bCs w:val="1"/>
          <w:i w:val="1"/>
          <w:iCs w:val="1"/>
          <w:color w:val="auto"/>
        </w:rPr>
        <w:t>We will require substantial additional financing to achieve our goals, which may not be available on acceptable terms, or at all. A failure to obtain this necessary capital when needed could force us to delay, limit, reduce or terminate our product development or commercialization efforts.</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operations have consumed substantial amounts of cash since inception. Since our inception, we have invested a significant portion of our efforts and financial resources in research and development activities for our initial preclinical and clinical product candidates.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Preclinical studies and clinical trials and additional research and development activities will require substantial funds to complete. As of December 31, 2022, we had cash, cash equivalents and marketable securities of $644.9 million. In February 2020, we raised $250.7 million upon the completion of our initial public offering (IPO), net of underwriting discounts and commissions and offering expenses. In July 2020, we raised $167.8 million upon the completion of an underwritten public offering, net of underwriting discounts and commissions and offering expenses. In February 2021, we raised $281.1 million upon the completion of an underwritten public offering, net of underwriting discounts and commissions and offering expenses. In July 2022, we raised $248.1 million upon the completion of an underwritten public offering, net of underwriting discounts and commissions and offering expenses. As of December 31, 2022, we have completed sales totaling $61.7 million in gross proceeds pursuant to our at-the-market equity offering program with Cowen and Company, LLC (Cowen). After deducting commissions and expenses of $1.7 million, net proceeds to us were $60.0 million. We expect to continue to spend substantial amounts to continue the preclinical and clinical development of our current and future programs and to prepare for their potential commercialization. If we are able to gain marketing approval for product candidates that we develop, we will require significant additional amounts of cash in order to launch and commercialize our product candidates to the extent that their launch and commercialization are not the responsibility of another collaborator that we may contract with in the future. In addition, other unanticipated costs may arise. Because the design and outcome of our current, planned and potential future clinical trials is highly uncertain, we cannot reasonably estimate the actual amounts necessary to successfully complete the development and commercialization of any product candidate we develop.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amount of our future funding requirements depends on many factors, including:</w:t>
      </w:r>
    </w:p>
    <w:p>
      <w:pPr>
        <w:spacing w:after="0" w:line="117" w:lineRule="exact"/>
        <w:rPr>
          <w:sz w:val="20"/>
          <w:szCs w:val="20"/>
          <w:color w:val="auto"/>
        </w:rPr>
      </w:pPr>
    </w:p>
    <w:p>
      <w:pPr>
        <w:ind w:left="1020" w:right="4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programs, and of conducting preclinical studies and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product candidates we develop if clinical trials are successful;</w:t>
      </w:r>
    </w:p>
    <w:p>
      <w:pPr>
        <w:spacing w:after="0" w:line="128" w:lineRule="exact"/>
        <w:rPr>
          <w:rFonts w:ascii="Arial" w:cs="Arial" w:eastAsia="Arial" w:hAnsi="Arial"/>
          <w:sz w:val="17"/>
          <w:szCs w:val="17"/>
          <w:color w:val="auto"/>
        </w:rPr>
      </w:pPr>
    </w:p>
    <w:p>
      <w:pPr>
        <w:ind w:left="1020" w:right="40" w:hanging="503"/>
        <w:spacing w:after="0" w:line="263"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successful wind-up of our collaboration with Sanofi, which has been terminated effective as of June 2023, including the continued reimbursement by Sanofi of our research and development costs for our SHP2 program in accordance with the Sanofi Agreement prior to the effectiveness of termination;</w:t>
      </w:r>
    </w:p>
    <w:p>
      <w:pPr>
        <w:spacing w:after="0" w:line="75"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commercialization activities for any product candidates we develop, whether alone or in collaboration, including marketing, sales and distribution costs if any product candidate we develop is approved for sale;</w:t>
      </w:r>
    </w:p>
    <w:p>
      <w:pPr>
        <w:spacing w:after="0" w:line="62"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 of manufacturing our current and future product candidates for clinical trials in preparation for marketing approval and in preparation for commercialization;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timing, receipt and amount of sales of, profit share or royalties on, our future products, if 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4" w:name="page35"/>
    <w:bookmarkEnd w:id="34"/>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emergence of competing cancer therapies or other adverse market developments;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plans to acquire or in-license other programs or technologies.</w:t>
      </w:r>
    </w:p>
    <w:p>
      <w:pPr>
        <w:spacing w:after="0" w:line="225"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We do not have any committed external source of funds or other support for our development efforts. We expect to finance our cash needs through a combination of public or private equity offerings, debt financings, credit or loan facilities, collaborations, strategic alliances, licensing arrangements and other marketing or distribution arrangements. In addition, we may seek additional capital due to favorable market conditions or strategic considerations even if we believe we have sufficient funds for our current or future operating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raise additional funds will depend on financial, economic and other factors, many of which are beyond our control.</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Additional funds may not be available when we need them, on terms that are acceptable to us, or at all. If adequate funds are not available to us on a timely basis, we may be required to:</w:t>
      </w:r>
    </w:p>
    <w:p>
      <w:pPr>
        <w:spacing w:after="0" w:line="62" w:lineRule="exact"/>
        <w:rPr>
          <w:sz w:val="20"/>
          <w:szCs w:val="20"/>
          <w:color w:val="auto"/>
        </w:rPr>
      </w:pPr>
    </w:p>
    <w:p>
      <w:pPr>
        <w:ind w:left="1020" w:hanging="503"/>
        <w:spacing w:after="0" w:line="277"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limit, reduce or terminate preclinical studies, clinical trials or other research and development activities or eliminate one or more of our development programs altogether; or</w:t>
      </w:r>
    </w:p>
    <w:p>
      <w:pPr>
        <w:spacing w:after="0" w:line="62" w:lineRule="exact"/>
        <w:rPr>
          <w:rFonts w:ascii="Arial" w:cs="Arial" w:eastAsia="Arial" w:hAnsi="Arial"/>
          <w:sz w:val="18"/>
          <w:szCs w:val="18"/>
          <w:color w:val="auto"/>
        </w:rPr>
      </w:pPr>
    </w:p>
    <w:p>
      <w:pPr>
        <w:jc w:val="both"/>
        <w:ind w:left="1020" w:right="320" w:hanging="503"/>
        <w:spacing w:after="0" w:line="263"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delay, limit, reduce or terminate our efforts to establish manufacturing and sales and marketing capabilities or other activities that may be necessary to commercialize any future approved products, or reduce our flexibility in developing or maintaining our sales and marketing strategy.</w:t>
      </w:r>
    </w:p>
    <w:p>
      <w:pPr>
        <w:spacing w:after="0" w:line="18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which will make our future results difficult to predict and could cause our results to fall below expectations.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Our quarterly and annual operating results may fluctuate significantly, which will make it difficult for us to predict our future results. These fluctuations may occur due to a variety of factors, many of which are outside of our control and may be difficult to predict, including:</w:t>
      </w:r>
    </w:p>
    <w:p>
      <w:pPr>
        <w:spacing w:after="0" w:line="62" w:lineRule="exact"/>
        <w:rPr>
          <w:sz w:val="20"/>
          <w:szCs w:val="20"/>
          <w:color w:val="auto"/>
        </w:rPr>
      </w:pPr>
    </w:p>
    <w:p>
      <w:pPr>
        <w:ind w:left="1020" w:right="20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development and commercialization activities, which may change from time to time;</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status of enrollment for our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regulatory approvals, if any, in the United States and internationally;</w:t>
      </w:r>
    </w:p>
    <w:p>
      <w:pPr>
        <w:spacing w:after="0" w:line="117" w:lineRule="exact"/>
        <w:rPr>
          <w:rFonts w:ascii="Arial" w:cs="Arial" w:eastAsia="Arial" w:hAnsi="Arial"/>
          <w:sz w:val="18"/>
          <w:szCs w:val="18"/>
          <w:color w:val="auto"/>
        </w:rPr>
      </w:pPr>
    </w:p>
    <w:p>
      <w:pPr>
        <w:ind w:left="1020" w:right="540" w:hanging="503"/>
        <w:spacing w:after="0" w:line="308" w:lineRule="auto"/>
        <w:tabs>
          <w:tab w:leader="none" w:pos="10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timing of expanding our operational, financial and management systems and personnel, including personnel to support our clinical development, quality control, manufacturing and commercialization efforts and our operations as a public company;</w:t>
      </w:r>
    </w:p>
    <w:p>
      <w:pPr>
        <w:spacing w:after="0" w:line="38" w:lineRule="exact"/>
        <w:rPr>
          <w:rFonts w:ascii="Arial" w:cs="Arial" w:eastAsia="Arial" w:hAnsi="Arial"/>
          <w:sz w:val="17"/>
          <w:szCs w:val="17"/>
          <w:color w:val="auto"/>
        </w:rPr>
      </w:pPr>
    </w:p>
    <w:p>
      <w:pPr>
        <w:ind w:left="1020" w:right="8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manufacturing, as well as building out our supply chain, which may vary depending on the quantity of productions, and the terms of any agreements we enter into with third-party suppliers;</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timing and amount of any milestone, royalty or other payments due under any current or future collaboration or license agreement, including the Sanofi Agreement prior to effectiveness of termination;</w:t>
      </w:r>
    </w:p>
    <w:p>
      <w:pPr>
        <w:spacing w:after="0" w:line="62" w:lineRule="exact"/>
        <w:rPr>
          <w:rFonts w:ascii="Arial" w:cs="Arial" w:eastAsia="Arial" w:hAnsi="Arial"/>
          <w:sz w:val="18"/>
          <w:szCs w:val="18"/>
          <w:color w:val="auto"/>
        </w:rPr>
      </w:pPr>
    </w:p>
    <w:p>
      <w:pPr>
        <w:ind w:left="1020" w:right="68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coverage and reimbursement policies with respect to any future approved products, and potential future drugs that compete with our products;</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and cost to establish a sales, marketing, medical affairs and distribution infrastructure to commercialize any products for which we may obtain marketing approval and intend to commercialize on our own or jointly with a collaborator;</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expenditures that we may incur to acquire, develop or commercialize additional products and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level of demand for any future approved products, which may vary significantly over time;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1020" w:right="160" w:hanging="503"/>
        <w:spacing w:after="0" w:line="342" w:lineRule="auto"/>
        <w:tabs>
          <w:tab w:leader="none" w:pos="10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timing and success or failure of preclinical studies and clinical trials for our product candidates or competing product candidates, or any other change in the competitive landscape of our industry, including consolidation among our competitors or collaboration partners.</w:t>
      </w:r>
    </w:p>
    <w:p>
      <w:pPr>
        <w:spacing w:after="0" w:line="124"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5" w:name="page36"/>
    <w:bookmarkEnd w:id="35"/>
    <w:p>
      <w:pPr>
        <w:ind w:right="40"/>
        <w:spacing w:after="0" w:line="279" w:lineRule="auto"/>
        <w:rPr>
          <w:sz w:val="20"/>
          <w:szCs w:val="20"/>
          <w:color w:val="auto"/>
        </w:rPr>
      </w:pPr>
      <w:r>
        <w:rPr>
          <w:rFonts w:ascii="Arial" w:cs="Arial" w:eastAsia="Arial" w:hAnsi="Arial"/>
          <w:sz w:val="17"/>
          <w:szCs w:val="17"/>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operating guidance we may provide.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regulatory process</w:t>
      </w:r>
    </w:p>
    <w:p>
      <w:pPr>
        <w:spacing w:after="0" w:line="229"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b w:val="1"/>
          <w:bCs w:val="1"/>
          <w:i w:val="1"/>
          <w:iCs w:val="1"/>
          <w:color w:val="auto"/>
        </w:rPr>
        <w:t>We are early in our development efforts. Our business is dependent on the successful development of our current and future product candidates. If we are unable to advance our current or future product candidates through clinical trials, obtain marketing approval and ultimately commercialize any product candidates we develop, or experience significant delays in doing so, our business will be materially harmed.</w:t>
      </w:r>
    </w:p>
    <w:p>
      <w:pPr>
        <w:spacing w:after="0" w:line="14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are early in our development efforts. Only certain of our product candidates are being evaluated in clinical trials whereas our other programs are in the preclinical stage. We have invested substantially all of our efforts and financial resources in the identification of targets and preclinical development of small molecules to treat cancer. 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effectiveness to pricing and reimbursement authorities, obtaining sufficient manufacturing supply for both clinical development and commercial production, building of a commercial organization, and substantial investment and significant marketing efforts before we generate any revenues from product sales.</w:t>
      </w:r>
    </w:p>
    <w:p>
      <w:pPr>
        <w:spacing w:after="0" w:line="18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have not previously submitted a new drug application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as well as the availability of competitive products, whether there is sufficient third-party reimbursement and adoption by physicians.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plan to seek regulatory approval to commercialize our product candidates both in the United States and in select foreign countries. While the scope of regulatory approval generally is similar in other countries, in order to obtain separate regulatory approval in other countries we must comply with numerous and varying regulatory requirements of such countries regarding safety and efficacy. Other countries also have their own regulations governing, among other things, clinical trials and commercial sales, as well as pricing and distribution of drugs, and we may be required to expend significant resources to obtain regulatory approval and to comply with ongoing regulations in these jurisdictions.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success of our current and future product candidates will depend on several factors, including the following:</w:t>
      </w:r>
    </w:p>
    <w:p>
      <w:pPr>
        <w:spacing w:after="0" w:line="117" w:lineRule="exact"/>
        <w:rPr>
          <w:sz w:val="20"/>
          <w:szCs w:val="20"/>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 completion of clinical trials and preclinical studies;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acceptance of investigational new drug applications (INDs) for our planned clinical trials or future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successful enrollment and completion of clinical trials, particularly where competitors may also be recruiting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data from our clinical programs that supports an acceptable risk-benefit profile of our product candidates in the intended populations;</w:t>
      </w:r>
    </w:p>
    <w:p>
      <w:pPr>
        <w:spacing w:after="0" w:line="128" w:lineRule="exact"/>
        <w:rPr>
          <w:rFonts w:ascii="Arial" w:cs="Arial" w:eastAsia="Arial" w:hAnsi="Arial"/>
          <w:sz w:val="17"/>
          <w:szCs w:val="17"/>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receipt and maintenance of marketing approvals from applicable regulatory authorities;</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establishing agreements with third-party manufacturers for clinical supply for our clinical trials and commercial manufacturing, if one of our product candidates is approved;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entry into collaborations to further the development of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and maintaining our portfolio of intellectual property rights, including patents, trade secrets and know-how;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enforcing and defending intellectual property rights and claims;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and maintaining regulatory exclusivity for our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successfully launching commercial sales of our product candidates, if approved;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acceptance of the product candidate’s benefits and uses, if approved, by patients, the medical community and third-party payors;</w:t>
      </w:r>
    </w:p>
    <w:p>
      <w:pPr>
        <w:spacing w:after="0" w:line="128" w:lineRule="exact"/>
        <w:rPr>
          <w:rFonts w:ascii="Arial" w:cs="Arial" w:eastAsia="Arial" w:hAnsi="Arial"/>
          <w:sz w:val="17"/>
          <w:szCs w:val="17"/>
          <w:color w:val="auto"/>
        </w:rPr>
      </w:pPr>
    </w:p>
    <w:p>
      <w:pPr>
        <w:ind w:left="1020" w:right="540" w:hanging="503"/>
        <w:spacing w:after="0" w:line="277" w:lineRule="auto"/>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following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effectively competing with other therapies;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from third-party payors.</w:t>
      </w:r>
    </w:p>
    <w:p>
      <w:pPr>
        <w:spacing w:after="0" w:line="22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any product candidate we develop, we may not be able to continue our operations.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ability to obtain regulatory approvals or commercialize our product candidates on a timely basis or at all, which would have an adverse effect on our business.</w:t>
      </w:r>
    </w:p>
    <w:p>
      <w:pPr>
        <w:spacing w:after="0" w:line="18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order to obtain approval from the FDA or comparable foreign authorities to market a new small molecule product, we must demonstrate proof of safety and efficacy in humans. To meet these requirements, we will have to conduct adequate and well-controlled clinical trials. Before we can commence clinical trials for a product candidate, we must complete extensive preclinical studies that support our planned INDs in the United States. We cannot be certain of the timely completion or outcome of our preclinical studies and cannot predict if the FDA or foreign authorities will accept our proposed clinical programs or if the outcome of our preclinical studies will ultimately support further development of our programs. As a result, we cannot be sure that we will be able to submit INDs or similar applications on the timelines we expect, if at all, and we cannot be sure that submission of INDs or similar applications will result in the FDA or other regulatory authorities allowing additional clinical trials to begin.</w:t>
      </w:r>
    </w:p>
    <w:p>
      <w:pPr>
        <w:spacing w:after="0" w:line="17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Moreover, we may be affected by delays or decisions to discontinue development associated with the studies of certain programs that are the responsibility of our current or potential future partners over which we have no control. The commencement and rate of completion of preclinical studies and clinical trials for a product candidate may be delayed by many factors, including, for example:</w:t>
      </w:r>
    </w:p>
    <w:p>
      <w:pPr>
        <w:spacing w:after="0" w:line="75" w:lineRule="exact"/>
        <w:rPr>
          <w:sz w:val="20"/>
          <w:szCs w:val="20"/>
          <w:color w:val="auto"/>
        </w:rPr>
      </w:pPr>
    </w:p>
    <w:p>
      <w:pPr>
        <w:ind w:left="1020" w:hanging="503"/>
        <w:spacing w:after="0"/>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delays in reaching a consensus with regulatory agencies on study design and obtaining regulatory authorization to commence clinical trials;</w:t>
      </w:r>
    </w:p>
    <w:p>
      <w:pPr>
        <w:spacing w:after="0" w:line="140" w:lineRule="exact"/>
        <w:rPr>
          <w:rFonts w:ascii="Arial" w:cs="Arial" w:eastAsia="Arial" w:hAnsi="Arial"/>
          <w:sz w:val="16"/>
          <w:szCs w:val="16"/>
          <w:color w:val="auto"/>
        </w:rPr>
      </w:pPr>
    </w:p>
    <w:p>
      <w:pPr>
        <w:ind w:left="1020" w:right="500" w:hanging="503"/>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sufficient quantities of starting materials, intermediate materials and our product candidates for use in preclinical studies and clinical trials from third-party suppliers on a timely basis; and</w:t>
      </w:r>
    </w:p>
    <w:p>
      <w:pPr>
        <w:spacing w:after="0" w:line="62" w:lineRule="exact"/>
        <w:rPr>
          <w:rFonts w:ascii="Arial" w:cs="Arial" w:eastAsia="Arial" w:hAnsi="Arial"/>
          <w:sz w:val="18"/>
          <w:szCs w:val="18"/>
          <w:color w:val="auto"/>
        </w:rPr>
      </w:pPr>
    </w:p>
    <w:p>
      <w:pPr>
        <w:ind w:left="1020" w:right="40" w:hanging="503"/>
        <w:spacing w:after="0" w:line="263"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due to the COVID-19 pandemic, including the implementation of remote work policies, or reduced workforce resulting from illness, or delays at our third-party contract research organizations (CROs) throughout the world, due to similar restrictions imposed by governments or reduced workforce resulting from illness.</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Moreover, even if clinical trials do begin for our preclinical programs, our development efforts may not be successful, and clinical trials that we conduct or that third parties conduct on our behalf may not demonstrate sufficient safety or efficacy to obtain the requisite regulatory approvals for any product candidates we develop. Even if we obtain positive results from preclinical studies or initial clinical trials, we may not achieve the same success in future trials.</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Some of our programs focus on the discovery and development of “Beyond Rule of 5” small molecules. Such molecules can be associated with longer development timelines and greater costs compared to traditional small molecule drugs. Our “Beyond Rule of 5” product candidates may take longer to develop and/or manufacture relative to traditional small molecules, and we may not be able to formulate “Beyond Rule of 5” candidates for certain routes of administration.</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enlist various technologies and capabilities that give us chemical access to challenging sites on target proteins that generally are not accessible using conventional small molecule drug discovery approaches. For each target, we consider the specific structural,</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37" w:name="page38"/>
    <w:bookmarkEnd w:id="37"/>
    <w:p>
      <w:pPr>
        <w:ind w:right="80"/>
        <w:spacing w:after="0" w:line="273" w:lineRule="auto"/>
        <w:rPr>
          <w:sz w:val="20"/>
          <w:szCs w:val="20"/>
          <w:color w:val="auto"/>
        </w:rPr>
      </w:pPr>
      <w:r>
        <w:rPr>
          <w:rFonts w:ascii="Arial" w:cs="Arial" w:eastAsia="Arial" w:hAnsi="Arial"/>
          <w:sz w:val="17"/>
          <w:szCs w:val="17"/>
          <w:color w:val="auto"/>
        </w:rPr>
        <w:t>physico-chemical, functional and dynamic properties of the target and deploy the approach or approaches that appear most likely to yield viable development candidates. The “Rule of 5” is a set of criteria used in pharmaceutical drug development to determine whether chemical compounds have certain physico-chemical properties that make them likely to be orally active drugs in humans. In some instances, the compounds we discover and develop are traditional small molecules (i.e., less than 500 daltons) with properties that generally satisfy conventional pharmaceutical “Rule of 5” criteria, while in other cases, they are larger (i.e., more than 500 daltons) “Beyond Rule of 5” (BRo5) compounds that do not satisfy these criteria. For example, our mTORC1 program and our RAS(ON) Inhibitors each include pursuit of BRo5 compounds.</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BRo5 compounds have been successfully pursued by many pharmaceutical companies. Examples of BRo5 compounds include natural products and semi-synthetic derivatives, peptidomimetics, macrocycles and degraders. However, larger molecular weight small molecules often cannot be formulated into orally absorbed drugs and also often face solubility, potency, bioavailability and stability challenges, among others. In addition, many of the commonly used predictive and other drug development tools are designed specifically for traditional Rule of 5 small molecule drugs rather than BRo5 molecules, contributing to the difficulty and uncertainty of development of BRo5 compounds.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Due to their size and complexity, drug development of our BRo5 compounds may be slower and/or more expensive than drug development of traditional “Rule of 5” compounds, resulting in program delays, increased costs or failure to obtain regulatory approval in a commercially reasonable timeframe, if at all. Our competitors developing traditional small molecules in areas where we are developing BRo5 compounds could obtain regulatory approval and reach the market before we do. Even if we succeed in generating an approved drug from a BRo5 compound, it may be less convenient to administer, have higher grade and/or more frequent side effects or be more costly to manufacture and formulate than competing products on the market. The discovery and development of BRo5 small molecules may pose risks to us such as:</w:t>
      </w:r>
    </w:p>
    <w:p>
      <w:pPr>
        <w:spacing w:after="0" w:line="70" w:lineRule="exact"/>
        <w:rPr>
          <w:sz w:val="20"/>
          <w:szCs w:val="20"/>
          <w:color w:val="auto"/>
        </w:rPr>
      </w:pPr>
    </w:p>
    <w:p>
      <w:pPr>
        <w:ind w:left="1020" w:right="22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BRo5 small molecules may present difficult synthetic chemistry and manufacturing challenges, including with any scale-up of our product candidates in sufficient quality and quantity;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BRo5 small molecules may be challenging to purify, including with any scale-up of our product candidates in sufficient quality and quantity;</w:t>
      </w:r>
    </w:p>
    <w:p>
      <w:pPr>
        <w:spacing w:after="0" w:line="140" w:lineRule="exact"/>
        <w:rPr>
          <w:rFonts w:ascii="Arial" w:cs="Arial" w:eastAsia="Arial" w:hAnsi="Arial"/>
          <w:sz w:val="16"/>
          <w:szCs w:val="16"/>
          <w:color w:val="auto"/>
        </w:rPr>
      </w:pPr>
    </w:p>
    <w:p>
      <w:pPr>
        <w:ind w:left="1020" w:hanging="503"/>
        <w:spacing w:after="0"/>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BRo5 small molecules may present solubility challenges;</w:t>
      </w:r>
    </w:p>
    <w:p>
      <w:pPr>
        <w:spacing w:after="0" w:line="117" w:lineRule="exact"/>
        <w:rPr>
          <w:rFonts w:ascii="Arial" w:cs="Arial" w:eastAsia="Arial" w:hAnsi="Arial"/>
          <w:sz w:val="18"/>
          <w:szCs w:val="18"/>
          <w:color w:val="auto"/>
        </w:rPr>
      </w:pPr>
    </w:p>
    <w:p>
      <w:pPr>
        <w:ind w:left="1020" w:right="680" w:hanging="503"/>
        <w:spacing w:after="0" w:line="308"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BRo5 small molecules may present oral absorption challenges due to low passive permeability, and may not achieve acceptable oral bioavailability for development and may result in poor pharmaceutical properties for formulation development;</w:t>
      </w:r>
    </w:p>
    <w:p>
      <w:pPr>
        <w:spacing w:after="0" w:line="38" w:lineRule="exact"/>
        <w:rPr>
          <w:rFonts w:ascii="Arial" w:cs="Arial" w:eastAsia="Arial" w:hAnsi="Arial"/>
          <w:sz w:val="17"/>
          <w:szCs w:val="17"/>
          <w:color w:val="auto"/>
        </w:rPr>
      </w:pPr>
    </w:p>
    <w:p>
      <w:pPr>
        <w:ind w:left="1020" w:right="12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BRo5 small molecules may present cell permeability challenges, especially with regards to lipophilicity, hydrogen bond donor and rotatable bond count, and high topological polar surface area;</w:t>
      </w:r>
    </w:p>
    <w:p>
      <w:pPr>
        <w:spacing w:after="0" w:line="62" w:lineRule="exact"/>
        <w:rPr>
          <w:rFonts w:ascii="Arial" w:cs="Arial" w:eastAsia="Arial" w:hAnsi="Arial"/>
          <w:sz w:val="18"/>
          <w:szCs w:val="18"/>
          <w:color w:val="auto"/>
        </w:rPr>
      </w:pPr>
    </w:p>
    <w:p>
      <w:pPr>
        <w:ind w:left="1020" w:right="140" w:hanging="503"/>
        <w:spacing w:after="0" w:line="296"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BRo5 small molecules may have a propensity to be substrates for efflux proteins such as the adenosine triphosphate (ATP) binding cassette (ABC) transporter protein family, including multidrug resistance protein 1. Cancer cells may overexpress these transporter proteins causing an increase in expulsion of BRo5 small molecules from the cell. For example, as the site of action of our RAS(ON) Inhibitors is inside the cell, expulsion by these transporter proteins may decrease the effective concentration in the cell sufficiently to reduce target inhibition and thereby render a RAS-dependent tumor less susceptible to the inhibitory activity of a BRo5 small molecule, such as our product candidates;</w:t>
      </w:r>
    </w:p>
    <w:p>
      <w:pPr>
        <w:spacing w:after="0" w:line="53" w:lineRule="exact"/>
        <w:rPr>
          <w:rFonts w:ascii="Arial" w:cs="Arial" w:eastAsia="Arial" w:hAnsi="Arial"/>
          <w:sz w:val="16"/>
          <w:szCs w:val="16"/>
          <w:color w:val="auto"/>
        </w:rPr>
      </w:pPr>
    </w:p>
    <w:p>
      <w:pPr>
        <w:ind w:left="1020" w:right="120" w:hanging="503"/>
        <w:spacing w:after="0" w:line="308" w:lineRule="auto"/>
        <w:tabs>
          <w:tab w:leader="none" w:pos="10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BRo5 small molecules may present central nervous system (CNS) penetration challenges due to low passive permeability and/or interaction with efflux transporters at the blood-brain barrier and this could limit sensitivity of CNS tumors to BRo5 small molecules;</w:t>
      </w:r>
    </w:p>
    <w:p>
      <w:pPr>
        <w:spacing w:after="0" w:line="38" w:lineRule="exact"/>
        <w:rPr>
          <w:rFonts w:ascii="Arial" w:cs="Arial" w:eastAsia="Arial" w:hAnsi="Arial"/>
          <w:sz w:val="17"/>
          <w:szCs w:val="17"/>
          <w:color w:val="auto"/>
        </w:rPr>
      </w:pPr>
    </w:p>
    <w:p>
      <w:pPr>
        <w:ind w:left="1020" w:right="100" w:hanging="503"/>
        <w:spacing w:after="0" w:line="277"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BRo5 small molecules may present formulation vehicle challenges for administration, such as intravenous and subcutaneous administration, due to aspects such as solubility and hydrophobicity;</w:t>
      </w:r>
    </w:p>
    <w:p>
      <w:pPr>
        <w:spacing w:after="0" w:line="62" w:lineRule="exact"/>
        <w:rPr>
          <w:rFonts w:ascii="Arial" w:cs="Arial" w:eastAsia="Arial" w:hAnsi="Arial"/>
          <w:sz w:val="18"/>
          <w:szCs w:val="18"/>
          <w:color w:val="auto"/>
        </w:rPr>
      </w:pPr>
    </w:p>
    <w:p>
      <w:pPr>
        <w:ind w:left="1020" w:right="540" w:hanging="503"/>
        <w:spacing w:after="0" w:line="342" w:lineRule="auto"/>
        <w:tabs>
          <w:tab w:leader="none" w:pos="10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BRo5 small molecules may present stability and shelf-life limitations due to the incorporation of labile functionality in their scaffolds, including for example in the development of RMC-5552 which currently requires a cold chain storage of zero degrees Celsius; and</w:t>
      </w:r>
    </w:p>
    <w:p>
      <w:pPr>
        <w:spacing w:after="0" w:line="15" w:lineRule="exact"/>
        <w:rPr>
          <w:rFonts w:ascii="Arial" w:cs="Arial" w:eastAsia="Arial" w:hAnsi="Arial"/>
          <w:sz w:val="16"/>
          <w:szCs w:val="16"/>
          <w:color w:val="auto"/>
        </w:rPr>
      </w:pPr>
    </w:p>
    <w:p>
      <w:pPr>
        <w:ind w:left="1020" w:right="80" w:hanging="503"/>
        <w:spacing w:after="0" w:line="263" w:lineRule="auto"/>
        <w:tabs>
          <w:tab w:leader="none" w:pos="10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BRo5 small molecules may present off-target toxicities due to physico-chemical properties such as lipophilicity, which is the ability to dissolve fats, oils and lipids, the presence of off-target pharmacophores in the molecule that can interact with other cellular proteins, or other characteristics that have not been fully characterized within a novel chemical scaffold or platform.</w:t>
      </w:r>
    </w:p>
    <w:p>
      <w:pPr>
        <w:spacing w:after="0" w:line="184"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These and other risks related to our research and development of BRo5 small molecules may result in delays in development, an increase in development costs and/or the failure to develop any BRo5 small molecule to approval. As a result, our competitors may develop products more rapidly and cost effectively than we do if they are able to target the same indications as our product candidates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ind w:right="80"/>
        <w:spacing w:after="0" w:line="277" w:lineRule="auto"/>
        <w:rPr>
          <w:sz w:val="20"/>
          <w:szCs w:val="20"/>
          <w:color w:val="auto"/>
        </w:rPr>
      </w:pPr>
      <w:r>
        <w:rPr>
          <w:rFonts w:ascii="Arial" w:cs="Arial" w:eastAsia="Arial" w:hAnsi="Arial"/>
          <w:sz w:val="18"/>
          <w:szCs w:val="18"/>
          <w:color w:val="auto"/>
        </w:rPr>
        <w:t>using conventional small molecules. In particular, competitors may develop and commercialize a product that competes with a RAS(ON) Inhibitor product candidate we may develop.</w:t>
      </w:r>
    </w:p>
    <w:p>
      <w:pPr>
        <w:spacing w:after="0" w:line="170" w:lineRule="exact"/>
        <w:rPr>
          <w:sz w:val="20"/>
          <w:szCs w:val="20"/>
          <w:color w:val="auto"/>
        </w:rPr>
      </w:pPr>
    </w:p>
    <w:p>
      <w:pPr>
        <w:ind w:right="400"/>
        <w:spacing w:after="0" w:line="381" w:lineRule="auto"/>
        <w:rPr>
          <w:sz w:val="20"/>
          <w:szCs w:val="20"/>
          <w:color w:val="auto"/>
        </w:rPr>
      </w:pPr>
      <w:r>
        <w:rPr>
          <w:rFonts w:ascii="Arial" w:cs="Arial" w:eastAsia="Arial" w:hAnsi="Arial"/>
          <w:sz w:val="15"/>
          <w:szCs w:val="15"/>
          <w:b w:val="1"/>
          <w:bCs w:val="1"/>
          <w:i w:val="1"/>
          <w:iCs w:val="1"/>
          <w:color w:val="auto"/>
        </w:rPr>
        <w:t>The regulatory approval processes of the FDA, the EMA and comparable foreign authorities are lengthy, time-consuming and inherently unpredictable, and if we are ultimately unable to obtain regulatory approval for our product candidates, our business will be substantially harmed.</w:t>
      </w:r>
    </w:p>
    <w:p>
      <w:pPr>
        <w:spacing w:after="0" w:line="100"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time required to obtain approval by the FDA, the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none of our current or future product candidates will ever obtain regulatory approval.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Our current and future product candidates could fail to receive regulatory approval for many reasons, including the following:</w:t>
      </w:r>
    </w:p>
    <w:p>
      <w:pPr>
        <w:spacing w:after="0" w:line="117" w:lineRule="exact"/>
        <w:rPr>
          <w:sz w:val="20"/>
          <w:szCs w:val="20"/>
          <w:color w:val="auto"/>
        </w:rPr>
      </w:pPr>
    </w:p>
    <w:p>
      <w:pPr>
        <w:ind w:left="1020" w:hanging="503"/>
        <w:spacing w:after="0"/>
        <w:tabs>
          <w:tab w:leader="none" w:pos="10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FDA, the EMA or comparable foreign regulatory authorities may disagree with the design or implementation of our clinical trials;</w:t>
      </w:r>
    </w:p>
    <w:p>
      <w:pPr>
        <w:spacing w:after="0" w:line="128" w:lineRule="exact"/>
        <w:rPr>
          <w:rFonts w:ascii="Arial" w:cs="Arial" w:eastAsia="Arial" w:hAnsi="Arial"/>
          <w:sz w:val="17"/>
          <w:szCs w:val="17"/>
          <w:color w:val="auto"/>
        </w:rPr>
      </w:pPr>
    </w:p>
    <w:p>
      <w:pPr>
        <w:ind w:left="1020" w:right="60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the EMA or comparable foreign regulatory authorities that a product candidate is safe or effective for its proposed indication or indications;</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comparable foreign regulatory authorities for approval;</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disagree with our interpretation of data from clinical trials or preclinical studies;</w:t>
      </w:r>
    </w:p>
    <w:p>
      <w:pPr>
        <w:spacing w:after="0" w:line="62" w:lineRule="exact"/>
        <w:rPr>
          <w:rFonts w:ascii="Arial" w:cs="Arial" w:eastAsia="Arial" w:hAnsi="Arial"/>
          <w:sz w:val="18"/>
          <w:szCs w:val="18"/>
          <w:color w:val="auto"/>
        </w:rPr>
      </w:pPr>
    </w:p>
    <w:p>
      <w:pPr>
        <w:ind w:left="1020" w:right="36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to the FDA or other submission or to obtain regulatory approval in the United States, the European Union or elsewhere;</w:t>
      </w:r>
    </w:p>
    <w:p>
      <w:pPr>
        <w:spacing w:after="0" w:line="62"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the EMA or comparable foreign regulatory authorities may find deficiencies with or fail to approve the manufacturing processes or facilities of third-party manufacturers with which we contract for clinical and commercial supplies; and</w:t>
      </w:r>
    </w:p>
    <w:p>
      <w:pPr>
        <w:spacing w:after="0" w:line="62"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comparable foreign regulatory authorities may significantly change in a manner rendering our clinical data insufficient for approval.</w:t>
      </w:r>
    </w:p>
    <w:p>
      <w:pPr>
        <w:spacing w:after="0" w:line="17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This lengthy approval process as well as the unpredictability of clinical trial results may result in our failing to obtain regulatory approval to market any product candidate we develop. The FDA, the EMA and other comparable foreign authorities have substantial discretion in the approval process, and determining when or whether regulatory approval will be obtained for any product candidate that we develop. Even if we believe the data collected from future clinical trials of our product candidates are promising, this data may not be sufficient to support approval by the FDA, the EMA or any other regulatory authority.</w:t>
      </w:r>
    </w:p>
    <w:p>
      <w:pPr>
        <w:spacing w:after="0" w:line="188"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In addition, even if we were to obtain approval, regulatory authorities may approve any of our product candidates for fewer or more limited indications than we request, may not approve the price we may desire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prospects for our product candidates.</w:t>
      </w:r>
    </w:p>
    <w:p>
      <w:pPr>
        <w:spacing w:after="0" w:line="15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Further, we have not previously submitted an NDA to the FDA, or a Marketing Authorization Application (MAA) to the EMA. We cannot be certain that any of our programs will be successful in clinical trials or receive regulatory approval. Further, product candidates we develop may not receive regulatory approval even if they are successful in clinical trials. If we do not receive regulatory approvals for our product candidates, we may not be able to continue our operations.</w:t>
      </w:r>
    </w:p>
    <w:p>
      <w:pPr>
        <w:spacing w:after="0" w:line="187" w:lineRule="exact"/>
        <w:rPr>
          <w:sz w:val="20"/>
          <w:szCs w:val="20"/>
          <w:color w:val="auto"/>
        </w:rPr>
      </w:pPr>
    </w:p>
    <w:p>
      <w:pPr>
        <w:ind w:right="740"/>
        <w:spacing w:after="0" w:line="342" w:lineRule="auto"/>
        <w:rPr>
          <w:sz w:val="20"/>
          <w:szCs w:val="20"/>
          <w:color w:val="auto"/>
        </w:rPr>
      </w:pPr>
      <w:r>
        <w:rPr>
          <w:rFonts w:ascii="Arial" w:cs="Arial" w:eastAsia="Arial" w:hAnsi="Arial"/>
          <w:sz w:val="16"/>
          <w:szCs w:val="16"/>
          <w:b w:val="1"/>
          <w:bCs w:val="1"/>
          <w:i w:val="1"/>
          <w:iCs w:val="1"/>
          <w:color w:val="auto"/>
        </w:rPr>
        <w:t>Clinical product development involves a lengthy and expensive process, with uncertain outcomes. We may experience delays in completing, or ultimately be unable to complete, the development and commercialization of our current and future product candidates.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obtain the requisite regulatory approvals to commercialize any of our product candidates, we must demonstrate through extensive preclinical studies and clinical trials that our products are safe or effective in humans. Clinical testing is expensive and can take many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ind w:right="100"/>
        <w:spacing w:after="0" w:line="277" w:lineRule="auto"/>
        <w:rPr>
          <w:sz w:val="20"/>
          <w:szCs w:val="20"/>
          <w:color w:val="auto"/>
        </w:rPr>
      </w:pPr>
      <w:r>
        <w:rPr>
          <w:rFonts w:ascii="Arial" w:cs="Arial" w:eastAsia="Arial" w:hAnsi="Arial"/>
          <w:sz w:val="18"/>
          <w:szCs w:val="18"/>
          <w:color w:val="auto"/>
        </w:rPr>
        <w:t>years to complete, and its outcome is inherently uncertain. Failure can occur at any time during the clinical trial process and our future clinical trial results may not be successful.</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may experience delays in completing our clinical trials or preclinical studies and initiating or completing additional clinical trials. We may also experience numerous unforeseen events during our clinical trials that could delay or prevent our ability to receive marketing approval or commercialize the product candidates we develop, including:</w:t>
      </w:r>
    </w:p>
    <w:p>
      <w:pPr>
        <w:spacing w:after="0" w:line="76" w:lineRule="exact"/>
        <w:rPr>
          <w:sz w:val="20"/>
          <w:szCs w:val="20"/>
          <w:color w:val="auto"/>
        </w:rPr>
      </w:pPr>
    </w:p>
    <w:p>
      <w:pPr>
        <w:ind w:left="1020" w:right="40" w:hanging="503"/>
        <w:spacing w:after="0" w:line="308" w:lineRule="auto"/>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actions by regulators, Institutional Review Boards (IRBs) or ethics committees, which may cause us or our investigators to not commence or conduct a clinical trial at a prospective trial site or at all sites and cause us to pause or stop an in-process clinical trial;</w:t>
      </w:r>
    </w:p>
    <w:p>
      <w:pPr>
        <w:spacing w:after="0" w:line="38" w:lineRule="exact"/>
        <w:rPr>
          <w:rFonts w:ascii="Arial" w:cs="Arial" w:eastAsia="Arial" w:hAnsi="Arial"/>
          <w:sz w:val="17"/>
          <w:szCs w:val="17"/>
          <w:color w:val="auto"/>
        </w:rPr>
      </w:pPr>
    </w:p>
    <w:p>
      <w:pPr>
        <w:ind w:left="1020" w:right="80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delays in reaching, or failing to reach, agreement on acceptable terms with prospective trial sites and prospective contract research organizations (CROs);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being larger than we anticipate;</w:t>
      </w:r>
    </w:p>
    <w:p>
      <w:pPr>
        <w:spacing w:after="0" w:line="117" w:lineRule="exact"/>
        <w:rPr>
          <w:rFonts w:ascii="Arial" w:cs="Arial" w:eastAsia="Arial" w:hAnsi="Arial"/>
          <w:sz w:val="18"/>
          <w:szCs w:val="18"/>
          <w:color w:val="auto"/>
        </w:rPr>
      </w:pPr>
    </w:p>
    <w:p>
      <w:pPr>
        <w:ind w:left="1020" w:right="20" w:hanging="503"/>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difficulty enrolling a sufficient number of patients for our clinical trials or enrollment in these clinical trials being slower than we anticipate, including in both cases because appropriate patients must have the relevant mutations in the signaling pathways our therapies are designed to target;</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participants dropping out of these clinical trials or failing to return for post-treatment follow-up at a higher rate than we anticipate;</w:t>
      </w:r>
    </w:p>
    <w:p>
      <w:pPr>
        <w:spacing w:after="0" w:line="128" w:lineRule="exact"/>
        <w:rPr>
          <w:rFonts w:ascii="Arial" w:cs="Arial" w:eastAsia="Arial" w:hAnsi="Arial"/>
          <w:sz w:val="17"/>
          <w:szCs w:val="17"/>
          <w:color w:val="auto"/>
        </w:rPr>
      </w:pPr>
    </w:p>
    <w:p>
      <w:pPr>
        <w:ind w:left="1020" w:right="44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patients not complying with our clinical trial protocols, particularly with respect to intermittent dosing, which we are evaluating for our product candidates;</w:t>
      </w:r>
    </w:p>
    <w:p>
      <w:pPr>
        <w:spacing w:after="0" w:line="62" w:lineRule="exact"/>
        <w:rPr>
          <w:rFonts w:ascii="Arial" w:cs="Arial" w:eastAsia="Arial" w:hAnsi="Arial"/>
          <w:sz w:val="18"/>
          <w:szCs w:val="18"/>
          <w:color w:val="auto"/>
        </w:rPr>
      </w:pPr>
    </w:p>
    <w:p>
      <w:pPr>
        <w:ind w:left="1020" w:right="60" w:hanging="503"/>
        <w:spacing w:after="0" w:line="263"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75"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supply or quality of materials for product candidates we develop or other materials necessary to conduct clinical trials may be insufficient or inadequate;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collaborators may delay the development process by waiting to take action or focusing on other priorities.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could encounter delays if a clinical trial is suspended or terminated by us, by the IRBs or ethics committees of the institutions in which any such trial is being conducted, by the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marketing approval of our product candidates.</w:t>
      </w:r>
    </w:p>
    <w:p>
      <w:pPr>
        <w:spacing w:after="0" w:line="17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If we experience delays in the completion of, or termination of, any clinical trial of our product candidates, the commercial prospects of our product candidates will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Clinical trial delays could also allow our competitors to bring products to market before we do or shorten any periods during which we have the exclusive right to commercialize our product candidates and impair our ability to commercialize our product candidates.</w:t>
      </w:r>
    </w:p>
    <w:p>
      <w:pPr>
        <w:spacing w:after="0" w:line="192"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clinical trial sites may be affected by the COVID-19 pandemic due to prioritization of hospital resources toward the COVID-19 pandemic, travel or quarantine restrictions imposed by governments, and the inability to access sites for initiation and patient monitoring and enrollment. As a result, patient screening, new patient enrollment, monitoring and data collection may be affected or delayed. We are aware that several clinical sites involved in our clinical studies temporarily stopped or delayed enrolling new patients, with exemptions if appropriate, and it is possible that these or other clinical sites may be similarly affected in the future.</w:t>
      </w:r>
    </w:p>
    <w:p>
      <w:pPr>
        <w:spacing w:after="0" w:line="188" w:lineRule="exact"/>
        <w:rPr>
          <w:sz w:val="20"/>
          <w:szCs w:val="20"/>
          <w:color w:val="auto"/>
        </w:rPr>
      </w:pPr>
    </w:p>
    <w:p>
      <w:pPr>
        <w:jc w:val="both"/>
        <w:ind w:right="300"/>
        <w:spacing w:after="0" w:line="311" w:lineRule="auto"/>
        <w:rPr>
          <w:sz w:val="20"/>
          <w:szCs w:val="20"/>
          <w:color w:val="auto"/>
        </w:rPr>
      </w:pPr>
      <w:r>
        <w:rPr>
          <w:rFonts w:ascii="Arial" w:cs="Arial" w:eastAsia="Arial" w:hAnsi="Arial"/>
          <w:sz w:val="16"/>
          <w:szCs w:val="16"/>
          <w:color w:val="auto"/>
        </w:rPr>
        <w:t>These developments may delay our clinical trial timelines. Our clinical trials currently permit patients to receive COVID-19 vaccines while they are on study. The potential impact of our candidates on the safety and efficacy of COVID-19 vaccines, and the potential impact of COVID-19 vaccines on the safety and efficacy of our candidates is unknown at this time, but it is possible that adverse impacts will negatively affect our clinical trials.</w:t>
      </w:r>
    </w:p>
    <w:p>
      <w:pPr>
        <w:spacing w:after="0" w:line="1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Some of our third-party manufacturers which we use for the supply of materials for product candidates or other materials necessary to manufacture product to conduct clinical trials and CROs that we may utilize may be impacted by COVID-19, and should they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experience disruptions, such as temporary closures or suspension of services, we would likely experience delays in advancing these trials.</w:t>
      </w:r>
    </w:p>
    <w:p>
      <w:pPr>
        <w:spacing w:after="0" w:line="225"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Many of the factors described above that cause, or lead to, a delay in the commencement or completion of clinical trials may also ultimately lead to the denial of regulatory approval of our product candidates or result in the development of our product candidates being stopped early.</w:t>
      </w:r>
    </w:p>
    <w:p>
      <w:pPr>
        <w:spacing w:after="0" w:line="14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Historically, direct inhibition of any RAS protein has been challenging due to a lack of tractable, or “druggable,” binding pockets. Given this approach is unproven, it may not be successful.</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Historically, direct inhibition of any RAS protein has been challenging due to a lack of tractable, or “druggable,” binding pockets. Our tri-complex technology has enabled us to design potent, cell-active inhibitors of multiple mutant RAS(ON) proteins. We cannot be certain that our approach will lead to the development of approvable or marketable products, alone or in combination with other therapies.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results of preclinical studies and early-stage clinical trials may not be predictive of future results.</w:t>
      </w:r>
    </w:p>
    <w:p>
      <w:pPr>
        <w:spacing w:after="0" w:line="225"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The results of preclinical studies may not be predictive of the results of clinical trials, and the results of any early-stage clinical trials we commence may not be predictive of the results of the later-stage clinical trials. Product candidates in later stages of clinical trials may fail to show the desired safety and efficacy despite having progressed through preclinical studies and initial clinical trials. For example, historically, targeted therapies have been susceptible to resistance mutations in cancer cells that facilitate escape from anti-tumor response. Should such resistance mutations arise in patients being treated with our product candidates, the clinical benefit associated with those candidates may be compromised.</w:t>
      </w:r>
    </w:p>
    <w:p>
      <w:pPr>
        <w:spacing w:after="0" w:line="17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There can be no assurance that any of our current or future clinical trials will ultimately be successful or support further clinical development of any of our product candidates. There is a high failure rate for drugs proceeding through clinical trials. A number of companies in the pharmaceutical and biotechnology industries have suffered significant setbacks in clinical development even after achieving promising results in earlier studies. Even if our clinical trials are completed, the results may not be sufficient to obtain regulatory approval of any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Interim, “topline” and preliminary data from our clinical trials may differ materially from the final data.</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time to time, we may disclose interim data from our clinical trials. For example, we have reported interim Phase 1 single agent clinical data for RMC-6236, RMC-5552 and RMC-4630. In each case, this interim data included a limited number of patients and time of exposure to the study drug. Interim data from clinical trials are subject to the risk that one or more of the clinical outcomes may materially change as patient enrollment continues and more data on existing patients become available. Our clinical trial program is ongoing, and the final results may be materially different from those reflected in any interim data we report.</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From time to time, we may also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clinical trials, or different conclusions or considerations may qualify such topline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77"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the value of our company in general. In addition, the information we choose to publicly disclose regarding a particular study or clinical trial is typically a summary of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topline data that we report differ from actual results, or if others, including regulatory authorities, disagree with the conclusions reached, our ability to obtain approval for, and commercialize, our product candidates may be harmed.</w:t>
      </w:r>
    </w:p>
    <w:p>
      <w:pPr>
        <w:spacing w:after="0" w:line="17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If we encounter difficulties enrolling patients in our clinical trials, our clinical development activities could be delayed or otherwise be adversely affected.</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ind w:right="180"/>
        <w:spacing w:after="0" w:line="263" w:lineRule="auto"/>
        <w:rPr>
          <w:sz w:val="20"/>
          <w:szCs w:val="20"/>
          <w:color w:val="auto"/>
        </w:rPr>
      </w:pPr>
      <w:r>
        <w:rPr>
          <w:rFonts w:ascii="Arial" w:cs="Arial" w:eastAsia="Arial" w:hAnsi="Arial"/>
          <w:sz w:val="18"/>
          <w:szCs w:val="18"/>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The enrollment of patients depends on many factors, including:</w:t>
      </w:r>
    </w:p>
    <w:p>
      <w:pPr>
        <w:spacing w:after="0" w:line="76" w:lineRule="exact"/>
        <w:rPr>
          <w:sz w:val="20"/>
          <w:szCs w:val="20"/>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enroll a sufficient number of patients with mutations in the signaling pathways our therapies are designed to target;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size of the patient population required for analysis of the trial’s primary endpoints;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proximity of patients to study sites;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1020" w:right="58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62"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for participation in our clinical trials and, where appropriate, biopsies for future patient enrichment efforts;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remain on the trial through the completion of evaluation;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ability of our clinical trial investigators to enroll patients in cases of outbreak of disease, including COVID-19, or other natural disasters.</w:t>
      </w:r>
    </w:p>
    <w:p>
      <w:pPr>
        <w:spacing w:after="0" w:line="248" w:lineRule="exact"/>
        <w:rPr>
          <w:sz w:val="20"/>
          <w:szCs w:val="20"/>
          <w:color w:val="auto"/>
        </w:rPr>
      </w:pPr>
    </w:p>
    <w:p>
      <w:pPr>
        <w:spacing w:after="0" w:line="265" w:lineRule="auto"/>
        <w:rPr>
          <w:sz w:val="20"/>
          <w:szCs w:val="20"/>
          <w:color w:val="auto"/>
        </w:rPr>
      </w:pPr>
      <w:r>
        <w:rPr>
          <w:rFonts w:ascii="Arial" w:cs="Arial" w:eastAsia="Arial" w:hAnsi="Arial"/>
          <w:sz w:val="17"/>
          <w:szCs w:val="17"/>
          <w:color w:val="auto"/>
        </w:rPr>
        <w:t>In addition, our clinical trials will compete with approved therapies, including sotorasib and adagrasib, as well as other clinical trials for product candidates that are in the same therapeutic areas (and that seek to evaluate patients with cancer cells having the same mutations, particularly with patients having KRAS</w:t>
      </w:r>
      <w:r>
        <w:rPr>
          <w:rFonts w:ascii="Arial" w:cs="Arial" w:eastAsia="Arial" w:hAnsi="Arial"/>
          <w:sz w:val="23"/>
          <w:szCs w:val="23"/>
          <w:color w:val="auto"/>
          <w:vertAlign w:val="superscript"/>
        </w:rPr>
        <w:t>G12C</w:t>
      </w:r>
      <w:r>
        <w:rPr>
          <w:rFonts w:ascii="Arial" w:cs="Arial" w:eastAsia="Arial" w:hAnsi="Arial"/>
          <w:sz w:val="17"/>
          <w:szCs w:val="17"/>
          <w:color w:val="auto"/>
        </w:rPr>
        <w:t xml:space="preserve"> or KRAS</w:t>
      </w:r>
      <w:r>
        <w:rPr>
          <w:rFonts w:ascii="Arial" w:cs="Arial" w:eastAsia="Arial" w:hAnsi="Arial"/>
          <w:sz w:val="23"/>
          <w:szCs w:val="23"/>
          <w:color w:val="auto"/>
          <w:vertAlign w:val="superscript"/>
        </w:rPr>
        <w:t>G12D</w:t>
      </w:r>
      <w:r>
        <w:rPr>
          <w:rFonts w:ascii="Arial" w:cs="Arial" w:eastAsia="Arial" w:hAnsi="Arial"/>
          <w:sz w:val="17"/>
          <w:szCs w:val="17"/>
          <w:color w:val="auto"/>
        </w:rPr>
        <w:t xml:space="preserve"> mutations as our current and potential future product candidates. This competition and competition with approved therapies will reduce the number and types of patients available to us, because some patients who might have opted to enroll in our trials may instead opt to pursue a treatment regime using an approved therapy or enroll in a trial conducted by one of our competitors. Since the number of qualified clinical investigators is limited, we conduct some of our clinical trials at the same clinical trial sites that some of our competitors use, which will reduce the number of patients who are available for our clinical trials at such sites. Moreover, because our current and potential future product candidates may represent a departure from more commonly used methods for cancer treatment, potential patients and their doctors may be inclined to use conventional therapies, such as chemotherapy, rather than enroll patients in our ongoing or any future clinical trials.</w:t>
      </w:r>
    </w:p>
    <w:p>
      <w:pPr>
        <w:spacing w:after="0" w:line="18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clinical trial sites for our clinical studies may be affected by the COVID-19 outbreak due to prioritization of hospital resources toward the COVID-19 outbreak, travel or quarantine restrictions imposed by governments, and the inability to access sites for initiation and patient monitoring and enrollment. As a result, patient screening, new patient enrollment, monitoring and data collection may be affected or delayed. We are aware that several clinical sites involved in our clinical studies temporarily stopped or delayed enrolling new patients, with exemptions if appropriate, and it is possible that these or other clinical sites may be similarly affected in the future. These developments may delay our clinical trial timelines. Some of our third-party manufacturers which we use for the supply of materials for product candidates or other materials necessary to manufacture product to conduct clinical trials and CROs that we may utilize may be impacted by COVID-19, and should they experience disruptions, such as temporary closures or suspension of services, we would likely experience delays in advancing these trials.</w:t>
      </w:r>
    </w:p>
    <w:p>
      <w:pPr>
        <w:spacing w:after="0" w:line="178"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addition, the ongoing armed conflict between Russia and Ukraine or related actions may affect European clinical sites for our clinical studies. See the risk factor entitled “</w:t>
      </w:r>
      <w:r>
        <w:rPr>
          <w:rFonts w:ascii="Arial" w:cs="Arial" w:eastAsia="Arial" w:hAnsi="Arial"/>
          <w:sz w:val="18"/>
          <w:szCs w:val="18"/>
          <w:i w:val="1"/>
          <w:iCs w:val="1"/>
          <w:color w:val="auto"/>
        </w:rPr>
        <w:t>The ongoing armed conflict between Russia and Ukraine and resulting actions could adversely affect our business, financial condition</w:t>
      </w:r>
      <w:r>
        <w:rPr>
          <w:rFonts w:ascii="Arial" w:cs="Arial" w:eastAsia="Arial" w:hAnsi="Arial"/>
          <w:sz w:val="18"/>
          <w:szCs w:val="18"/>
          <w:color w:val="auto"/>
        </w:rPr>
        <w:t xml:space="preserve"> </w:t>
      </w:r>
      <w:r>
        <w:rPr>
          <w:rFonts w:ascii="Arial" w:cs="Arial" w:eastAsia="Arial" w:hAnsi="Arial"/>
          <w:sz w:val="18"/>
          <w:szCs w:val="18"/>
          <w:i w:val="1"/>
          <w:iCs w:val="1"/>
          <w:color w:val="auto"/>
        </w:rPr>
        <w:t>and results of operations</w:t>
      </w:r>
      <w:r>
        <w:rPr>
          <w:rFonts w:ascii="Arial" w:cs="Arial" w:eastAsia="Arial" w:hAnsi="Arial"/>
          <w:sz w:val="18"/>
          <w:szCs w:val="18"/>
          <w:color w:val="auto"/>
        </w:rPr>
        <w:t>” for a further description of risks related to this conflict.</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Delays in patient enrollment may result in increased costs or may affect the timing or outcome of clinical trials, which could prevent completion of these trials and adversely affect our ability to advance the development of the product candidates we develop.</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Our current or future product candidates may cause undesirable side effects or have other properties when used alone or in combination with other approved products or investigational new drugs that could delay or halt their clinical development, prevent their marketing approval, limit their commercial potential or result in significant negative consequences.</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Undesirable or clinically unmanageable side effects could occur and cause us or regulatory authorities to interrupt, delay or halt clinical trials and could result in a more restrictive label or the delay or denial of marketing approval by the FDA or comparable foreign regulatory authorities. Results of our trials could reveal a high and unacceptable severity and prevalence of side effects or unexpected characteristics.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ind w:right="40"/>
        <w:spacing w:after="0" w:line="263" w:lineRule="auto"/>
        <w:rPr>
          <w:sz w:val="20"/>
          <w:szCs w:val="20"/>
          <w:color w:val="auto"/>
        </w:rPr>
      </w:pPr>
      <w:r>
        <w:rPr>
          <w:rFonts w:ascii="Arial" w:cs="Arial" w:eastAsia="Arial" w:hAnsi="Arial"/>
          <w:sz w:val="18"/>
          <w:szCs w:val="18"/>
          <w:color w:val="auto"/>
        </w:rPr>
        <w:t>For example, the safety data we released for RMC-6236-001 and that we released in 2020 for both our RMC-4630-01 and RMC-4630-02 trials all included both serious adverse events (SAEs) and other adverse events (AEs), including the grade 4 adverse event of bowel perforation (also considered a serious adverse event) reported for RMC-6236-001.</w:t>
      </w:r>
    </w:p>
    <w:p>
      <w:pPr>
        <w:spacing w:after="0" w:line="184"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Although our current and future product candidates will undergo safety testing to the extent possible and, where applicable, under such conditions discussed with regulatory authorities, not all adverse effects of drugs can be predicted or anticipated. Unforeseen side effects could arise either during clinical development or, if such side effects are more rare, after our products have been approved by regulatory authorities and the approved product has been marketed, resulting in the exposure of additional patients. So far, we have not demonstrated that our product candidates are safe in humans, and we cannot predict if ongoing or future clinical trials will do so.</w:t>
      </w:r>
    </w:p>
    <w:p>
      <w:pPr>
        <w:spacing w:after="0" w:line="188"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Furthermore, certain of our product candidates are currently being, and may in the future be, co-administered with approved or experimental therapies. These combinations may have additional side effects, including those that could lead us to discontinue the studies. The uncertainty resulting from the use of our product candidates in combination with other therapies may make it difficult to accurately predict side effects in future clinical trials.</w:t>
      </w:r>
    </w:p>
    <w:p>
      <w:pPr>
        <w:spacing w:after="0" w:line="1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any of our product candidates receives marketing approval and we or others later identify undesirable side effects caused by such products, a number of potentially significant negative consequences could result, including:</w:t>
      </w:r>
    </w:p>
    <w:p>
      <w:pPr>
        <w:spacing w:after="0" w:line="62" w:lineRule="exact"/>
        <w:rPr>
          <w:sz w:val="20"/>
          <w:szCs w:val="20"/>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such product is administered to patients;</w:t>
      </w:r>
    </w:p>
    <w:p>
      <w:pPr>
        <w:spacing w:after="0" w:line="117" w:lineRule="exact"/>
        <w:rPr>
          <w:rFonts w:ascii="Arial" w:cs="Arial" w:eastAsia="Arial" w:hAnsi="Arial"/>
          <w:sz w:val="18"/>
          <w:szCs w:val="18"/>
          <w:color w:val="auto"/>
        </w:rPr>
      </w:pPr>
    </w:p>
    <w:p>
      <w:pPr>
        <w:ind w:left="1020" w:right="48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1020" w:hanging="503"/>
        <w:spacing w:after="0" w:line="277" w:lineRule="auto"/>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(REMS) or create a Medication Guide outlining the risks of such side effects for distribution to patients;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Any of the foregoing events could prevent us from achieving or maintaining market acceptance of the particular product candidate, if approved. In addition, if one or more of our product candidates prove to be unsafe, our entire technology platform and pipeline could be affected.</w:t>
      </w:r>
    </w:p>
    <w:p>
      <w:pPr>
        <w:spacing w:after="0" w:line="14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Even if we complete the necessary preclinical studies and clinical trials, the marketing approval process is expensive, time-consuming and uncertain and may prevent us or any of our existing or potential future collaboration partners from obtaining approvals for the commercialization of any product candidate we develop.</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Any current or future product candidate we may develop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authorities in the United States and by comparable authorities in other countries.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our current or future product candidates will ever obtain regulatory approval. We have no experience in filing and supporting the applications necessary to gain marketing approvals and expect to rely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7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process of obtaining marketing approvals, both in the United States and abroad, is expensive, may take many years if additional clinical trials are required, if approval is obtained at all, and can vary substantially based upon a variety of factors, including the type,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3" w:name="page44"/>
    <w:bookmarkEnd w:id="43"/>
    <w:p>
      <w:pPr>
        <w:ind w:right="40"/>
        <w:spacing w:after="0" w:line="254" w:lineRule="auto"/>
        <w:rPr>
          <w:sz w:val="20"/>
          <w:szCs w:val="20"/>
          <w:color w:val="auto"/>
        </w:rPr>
      </w:pPr>
      <w:r>
        <w:rPr>
          <w:rFonts w:ascii="Arial" w:cs="Arial" w:eastAsia="Arial" w:hAnsi="Arial"/>
          <w:sz w:val="18"/>
          <w:szCs w:val="18"/>
          <w:color w:val="auto"/>
        </w:rPr>
        <w:t>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9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we experience delays in obtaining approval or if we fail to obtain approval of any current or future product candidates we may develop, the commercial prospects for those product candidates may be harmed.</w:t>
      </w:r>
    </w:p>
    <w:p>
      <w:pPr>
        <w:spacing w:after="0" w:line="170"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b w:val="1"/>
          <w:bCs w:val="1"/>
          <w:i w:val="1"/>
          <w:iCs w:val="1"/>
          <w:color w:val="auto"/>
        </w:rPr>
        <w:t>Obtaining and maintaining marketing approval of our current and future product candidates in one jurisdiction does not mean that we will be successful in obtaining marketing approval of our current and future product candidates in other jurisdictions.</w:t>
      </w:r>
    </w:p>
    <w:p>
      <w:pPr>
        <w:spacing w:after="0" w:line="14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Obtaining and maintaining marketing approval of our current and future product candidates in one jurisdiction does not guarantee that we will be able to obtain or maintain marketing approval in any other jurisdiction, while a failure or delay in obtaining marketing approval in one jurisdiction may have a negative effect on the marketing approval process in others. For example, even if the FDA grants marketing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preclinical studies or clinical trials as clinical studies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may charge for our products is also subject to approval.</w:t>
      </w:r>
    </w:p>
    <w:p>
      <w:pPr>
        <w:spacing w:after="0" w:line="16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marketing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or receive applicable marketing approvals, our target market will be reduced and our ability to realize the full market potential of our product candidates will be harmed.</w:t>
      </w:r>
    </w:p>
    <w:p>
      <w:pPr>
        <w:spacing w:after="0" w:line="17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Adverse events in the field of oncology or the biopharmaceutical industry could damage public perception of our current or future product candidates and negatively affect our business.</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commercial success of our products will depend in part on public acceptance of the use of targeted cancer therapies. While a number of targeted cancer therapies have received regulatory approval and are being commercialized, our approach to targeting cancer cells carrying tumor causing mutations, including oncogenic RAS(ON) pathway mutations, is novel and unproven. Adverse events in clinical trials of our product candidates, or post-marketing activities, or in clinical trials of others developing similar products or that are related to approved targeted therapies, particularly those targeting oncogenic RAS pathway mutations, including sotorasib, and adagrasib and the resulting publicity, as well as any other adverse events in the field of oncology that may occur in the future, could result in a decrease in demand for any product that we may develop. If public perception is influenced by claims that the use of cancer therapies is unsafe, whether related to our therapies or those of our competitors, our products may not be accepted by the general public or the medical community.</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Future adverse events in oncology or the biopharmaceutical industry could also result in greater governmental regulation, stricter labeling requirements and potential regulatory delays in the testing or approvals of our products. Any increased scrutiny could delay or increase the costs of obtaining marketing approval for the product candidates we develop.</w:t>
      </w:r>
    </w:p>
    <w:p>
      <w:pPr>
        <w:spacing w:after="0" w:line="184"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b w:val="1"/>
          <w:bCs w:val="1"/>
          <w:i w:val="1"/>
          <w:iCs w:val="1"/>
          <w:color w:val="auto"/>
        </w:rPr>
        <w:t>Even if we receive marketing approval of a product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18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Any marketing approvals that we receive for any current or future product candidate may be subject to limitations on the approved indicated uses for which the product may be marketed or the conditions of approval, or contain requirements for potentially costly post-market testing and surveillance to monitor the safety and efficacy of the product candidate. The FDA may also require REMS as a condition of approval of any product candidate, which could include requirements for a medication guide, physician communication plans or additional elements to ensure safe use, such as restricted distribution methods, patient registries and other risk minimization tools. In addition, if the FDA or a comparable foreign regulatory authority approves a product candidate, the manufacturing processes,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ind w:right="80"/>
        <w:spacing w:after="0" w:line="255" w:lineRule="auto"/>
        <w:rPr>
          <w:sz w:val="20"/>
          <w:szCs w:val="20"/>
          <w:color w:val="auto"/>
        </w:rPr>
      </w:pPr>
      <w:r>
        <w:rPr>
          <w:rFonts w:ascii="Arial" w:cs="Arial" w:eastAsia="Arial" w:hAnsi="Arial"/>
          <w:sz w:val="18"/>
          <w:szCs w:val="18"/>
          <w:color w:val="auto"/>
        </w:rPr>
        <w:t>labeling, packaging, distribution, adverse event reporting, storage, advertising, promotion, import and export and record keeping for the product candidate will be subject to extensive and ongoing regulatory requirements. These requirements include submissions of safety and other post-marketing information and reports, registration, as well as continued compliance with current Good Manufacturing Practice (cGMP) and Good Clinical Practice (GCP) for any clinical trials that we conduct post-approval. Later discovery of previously unknown problems with any approved candidate, including adverse events of unanticipated severity or frequency, or with our third-party manufacturers or manufacturing processes, or failure to comply with regulatory requirements, may result in, among other things:</w:t>
      </w:r>
    </w:p>
    <w:p>
      <w:pPr>
        <w:spacing w:after="0" w:line="84"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product recalls;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fines, untitled and warning letters, or holds on clinical trials;</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we filed or suspension or revocation of license approvals;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the product;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marketing approval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w:t>
      </w:r>
    </w:p>
    <w:p>
      <w:pPr>
        <w:spacing w:after="0" w:line="157"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b w:val="1"/>
          <w:bCs w:val="1"/>
          <w:i w:val="1"/>
          <w:iCs w:val="1"/>
          <w:color w:val="auto"/>
        </w:rPr>
        <w:t>Even if a current or future product candidate receives marketing approval, it may fail to achieve the degree of market acceptance by physicians, patients, third-party payors and others in the medical community necessary for commercial success.</w:t>
      </w:r>
    </w:p>
    <w:p>
      <w:pPr>
        <w:spacing w:after="0" w:line="14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any current or future product candidate we develop receives marketing approval, whether as a single agent or in combination with other therapies, it may nonetheless fail to gain sufficient market acceptance by physicians, patients, third-party payors, and others in the medical community to be a viable product. For example, current approved immunotherapies, and other cancer treatments like chemotherapy and radiation therapy, are well established in the medical community, and doctors may continue to rely on these therapies. The degree of market acceptance of any product candidate, if approved for commercial sale, will depend on a number of factors, including:</w:t>
      </w:r>
    </w:p>
    <w:p>
      <w:pPr>
        <w:spacing w:after="0" w:line="80"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7"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including with respect to the use of the approved product as a combination therapy;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adoption of a companion diagnostic and/or complementary diagnostic (if any);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The market opportunities for any current or future product candidate we develop, if and when approved, may be limited to those patients who are ineligible for established therapies or for whom prior therapies have failed, and may be small.</w:t>
      </w:r>
    </w:p>
    <w:p>
      <w:pPr>
        <w:spacing w:after="0" w:line="17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Cancer therapies are sometimes characterized as first-line, second-line or third-line, and the FDA often approves new therapies initially only for third-line use. When cancer is detected early enough, first-line therapy, usually chemotherapy, hormone therapy, surgery, radiation therapy or a combination of these, is sometimes adequate to cure the cancer or prolong life without a cure. Second- and third-line therapies are administered to patients when prior therapy is not effective. We expect to initially seek approval of any product candidates we develop as a therapy for patients who have received one or more prior treatments. Subsequently, for those products that prove to be sufficiently beneficial, if any, we would expect to seek approval potentially as a first-line therapy, but there is no guarantee that product candidates we develop, even if approved, would be approved for first-line therapy, and, prior to any such approvals, we may have to conduct additional clinical trials.</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45" w:name="page46"/>
    <w:bookmarkEnd w:id="45"/>
    <w:p>
      <w:pPr>
        <w:ind w:right="260"/>
        <w:spacing w:after="0" w:line="301" w:lineRule="auto"/>
        <w:rPr>
          <w:sz w:val="20"/>
          <w:szCs w:val="20"/>
          <w:color w:val="auto"/>
        </w:rPr>
      </w:pPr>
      <w:r>
        <w:rPr>
          <w:rFonts w:ascii="Arial" w:cs="Arial" w:eastAsia="Arial" w:hAnsi="Arial"/>
          <w:sz w:val="16"/>
          <w:szCs w:val="16"/>
          <w:color w:val="auto"/>
        </w:rPr>
        <w:t>The number of patients who have the cancers we are targeting, including those with the necessary mutations, may turn out to be lower than expected. Additionally, the potentially addressable patient population for our current programs or future product candidates may be limited, if and when approved. Even if we obtain significant market share for any product candidate, if and when approved, if the potential target populations are small, we may never achieve commercial success without obtaining marketing approval for additional indications, including to be used as first- or second-line therapy.</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currently developing, and may in the future develop, our product candidates in combination with other therapies, which exposes us to additional risks.</w:t>
      </w:r>
    </w:p>
    <w:p>
      <w:pPr>
        <w:spacing w:after="0" w:line="175"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The development of RMC-4630 has included combinations with Amgen’s KRAS</w:t>
      </w:r>
      <w:r>
        <w:rPr>
          <w:rFonts w:ascii="Arial" w:cs="Arial" w:eastAsia="Arial" w:hAnsi="Arial"/>
          <w:sz w:val="24"/>
          <w:szCs w:val="24"/>
          <w:color w:val="auto"/>
          <w:vertAlign w:val="superscript"/>
        </w:rPr>
        <w:t>G12C</w:t>
      </w:r>
      <w:r>
        <w:rPr>
          <w:rFonts w:ascii="Arial" w:cs="Arial" w:eastAsia="Arial" w:hAnsi="Arial"/>
          <w:sz w:val="18"/>
          <w:szCs w:val="18"/>
          <w:color w:val="auto"/>
        </w:rPr>
        <w:t>(OFF) inhibitor sotorasib, Mirati’s KRAS</w:t>
      </w:r>
      <w:r>
        <w:rPr>
          <w:rFonts w:ascii="Arial" w:cs="Arial" w:eastAsia="Arial" w:hAnsi="Arial"/>
          <w:sz w:val="24"/>
          <w:szCs w:val="24"/>
          <w:color w:val="auto"/>
          <w:vertAlign w:val="superscript"/>
        </w:rPr>
        <w:t>G12C</w:t>
      </w:r>
      <w:r>
        <w:rPr>
          <w:rFonts w:ascii="Arial" w:cs="Arial" w:eastAsia="Arial" w:hAnsi="Arial"/>
          <w:sz w:val="18"/>
          <w:szCs w:val="18"/>
          <w:color w:val="auto"/>
        </w:rPr>
        <w:t>(OFF) inhibitor adagrasib and Merck’s PD-1 inhibitor pembrolizumab, and we may in the future, develop our product candidates in combination with one or more approved cancer therapies. Even if any product candidate we develop were to receive marketing approval or be commercialized for use in combination with other existing therapies, we would continue to be subject to the risks that the FDA or similar regulatory authorities outside of the United States could revoke approval of the therapy used in combination with our product candidate or that safety, efficacy, manufacturing or supply issues could arise with these existing therapies. Combination therapies are commonly used for the treatment of cancer, and we would be subject to similar risks if we develop any of our product candidates for use in combination with other drugs or for indications other than cancer. This could result in our own products being removed from the market or being less successful commercially.</w:t>
      </w:r>
    </w:p>
    <w:p>
      <w:pPr>
        <w:spacing w:after="0" w:line="22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or our collaborators may also evaluate our current or future product candidates in combination with one or more other cancer therapies that have not yet been approved for marketing by the FDA or similar regulatory authorities outside of the United States or with approved cancer therapies at an unapproved dose and/or schedule, and/or with approved cancer therapies in unapproved indications. For example, we have agreed to provide RMC-4630 to the Netherlands Cancer Institute to support their evaluation of RMC-4630 in combination with Eli Lilly’s ERK inhibitor LY3214996. We will not be able to market and sell any product candidate we develop in combination with any such cancer therapies, outside existing approved labels that do not ultimately obtain marketing approval.</w:t>
      </w:r>
    </w:p>
    <w:p>
      <w:pPr>
        <w:spacing w:after="0" w:line="192"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If the FDA or similar regulatory authorities outside of the United States do not approve the drugs we choose to evaluate in combination with or any product candidate we develop or revoke their approval of, or if safety, efficacy, manufacturing, or supply issues arise with, these drugs, we may be unable to obtain approval of or market or any product candidate we develop.</w:t>
      </w:r>
    </w:p>
    <w:p>
      <w:pPr>
        <w:spacing w:after="0" w:line="14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addition, prior to the effectiveness of the termination of the Sanofi Agreement in June 2023, Sanofi primarily controls the research and development activities of our SHP2 inhibitors, including RMC-4630, pursuant to the terms of the Sanofi Agreement, and may disagree with us regarding which other therapies should be evaluated in combination with RMC-4630. As a result of any such disagreement, our completion of a trial in combination with our preferred combination product candidate may be delayed or prevented.</w:t>
      </w:r>
    </w:p>
    <w:p>
      <w:pPr>
        <w:spacing w:after="0" w:line="18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products that are more effective, safer or less expensive than the product candidates we develop, our commercial opportunities will be negatively impacted.</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life sciences industry is highly competitive. We are currently developing therapies that will compete, if approved, with other products and therapies that currently exist or are being developed. Products we may develop in the future are also likely to face competition from other products and therapies, some of which we may not currently be aware of.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product development, technical and human resources than we do. Large pharmaceutical companies, in particular, have extensive experience in clinical testing, obtaining marketing approvals, recruiting patients and manufacturing pharmaceutical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Mergers and acquisitions in the pharmaceutical and biotechnology industries may result in even more resources being concentrated among a smaller number of our competitors. As a result of all of these factors, our competitors may succeed in obtaining patent protection and/or marketing approval or discovering, developing and commercializing products in our field before we do.</w:t>
      </w:r>
    </w:p>
    <w:p>
      <w:pPr>
        <w:spacing w:after="0" w:line="186"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There are a number of companies developing or marketing treatments for cancer, including many major pharmaceutical and biotechnology companies. These treatments consist of small molecule drug products, biologics, cell-based therapies and traditional chemotherapy. Smaller and other early stage companies may also prove to be significant competitors. In addition, academic research</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departments and public and private research institutions may be conducting research on compounds that could prove to be competitive.</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There are several programs in clinical development targeting SHP2, including those being conducted by Betta Pharmaceuticals Co., Ltd., Erasca, Inc., Etern BioPharma (Shanghai) Co. Ltd., Genhouse Bio Co. Ltd., HUYA Bioscience, InnoCare Pharma Ltd., Jacobio Pharmaceuticals Co. Ltd. (licensed to AbbVie Inc.), Nanjing Sanhome Pharmaceutical, Navire Pharma, Inc., a BridgeBio company (licensed to Bristol-Myers Squibb Company, Inc.), Novartis AG, Pfizer, Inc., and Relay Therapeutics Inc. (licensed to Roche). There are several programs in clinical development targeting KRAS</w:t>
      </w:r>
      <w:r>
        <w:rPr>
          <w:rFonts w:ascii="Arial" w:cs="Arial" w:eastAsia="Arial" w:hAnsi="Arial"/>
          <w:sz w:val="21"/>
          <w:szCs w:val="21"/>
          <w:color w:val="auto"/>
          <w:vertAlign w:val="superscript"/>
        </w:rPr>
        <w:t>G12C</w:t>
      </w:r>
      <w:r>
        <w:rPr>
          <w:rFonts w:ascii="Arial" w:cs="Arial" w:eastAsia="Arial" w:hAnsi="Arial"/>
          <w:sz w:val="16"/>
          <w:szCs w:val="16"/>
          <w:color w:val="auto"/>
        </w:rPr>
        <w:t>, including programs directed at KRAS</w:t>
      </w:r>
      <w:r>
        <w:rPr>
          <w:rFonts w:ascii="Arial" w:cs="Arial" w:eastAsia="Arial" w:hAnsi="Arial"/>
          <w:sz w:val="21"/>
          <w:szCs w:val="21"/>
          <w:color w:val="auto"/>
          <w:vertAlign w:val="superscript"/>
        </w:rPr>
        <w:t>G12C</w:t>
      </w:r>
      <w:r>
        <w:rPr>
          <w:rFonts w:ascii="Arial" w:cs="Arial" w:eastAsia="Arial" w:hAnsi="Arial"/>
          <w:sz w:val="16"/>
          <w:szCs w:val="16"/>
          <w:color w:val="auto"/>
        </w:rPr>
        <w:t xml:space="preserve"> (OFF) being conducted by Amgen Inc., Betta Pharmaceuticals Co., Ltd., Boehringer Ingelheim, D3 BIO, Inc., Eli Lilly, Genhouse Bio Co. Ltd., HUYA Bioscience, InnoCare Pharma Ltd., Innovent Biologics, Inc., InventisBio, Jacobio Pharmaceuticals Co. Ltd., Merck, Sharpe</w:t>
      </w:r>
    </w:p>
    <w:p>
      <w:pPr>
        <w:spacing w:after="0" w:line="2" w:lineRule="exact"/>
        <w:rPr>
          <w:sz w:val="20"/>
          <w:szCs w:val="20"/>
          <w:color w:val="auto"/>
        </w:rPr>
      </w:pPr>
    </w:p>
    <w:p>
      <w:pPr>
        <w:ind w:right="20" w:firstLine="8"/>
        <w:spacing w:after="0" w:line="258" w:lineRule="auto"/>
        <w:tabs>
          <w:tab w:leader="none" w:pos="185" w:val="left"/>
        </w:tabs>
        <w:numPr>
          <w:ilvl w:val="0"/>
          <w:numId w:val="40"/>
        </w:numPr>
        <w:rPr>
          <w:rFonts w:ascii="Arial" w:cs="Arial" w:eastAsia="Arial" w:hAnsi="Arial"/>
          <w:sz w:val="17"/>
          <w:szCs w:val="17"/>
          <w:color w:val="auto"/>
        </w:rPr>
      </w:pPr>
      <w:r>
        <w:rPr>
          <w:rFonts w:ascii="Arial" w:cs="Arial" w:eastAsia="Arial" w:hAnsi="Arial"/>
          <w:sz w:val="17"/>
          <w:szCs w:val="17"/>
          <w:color w:val="auto"/>
        </w:rPr>
        <w:t>Dohme LLC, Mirati Therapeutics, Inc., Novartis AG, Roche, Shanghai YingLi Pharmaceutical, Suzhou Genhouse Bio and Suzhou Zelgen Biopharmaceuticals. There are also several clinical programs directed at KRAS</w:t>
      </w:r>
      <w:r>
        <w:rPr>
          <w:rFonts w:ascii="Arial" w:cs="Arial" w:eastAsia="Arial" w:hAnsi="Arial"/>
          <w:sz w:val="23"/>
          <w:szCs w:val="23"/>
          <w:color w:val="auto"/>
          <w:vertAlign w:val="superscript"/>
        </w:rPr>
        <w:t>G12D</w:t>
      </w:r>
      <w:r>
        <w:rPr>
          <w:rFonts w:ascii="Arial" w:cs="Arial" w:eastAsia="Arial" w:hAnsi="Arial"/>
          <w:sz w:val="17"/>
          <w:szCs w:val="17"/>
          <w:color w:val="auto"/>
        </w:rPr>
        <w:t>, including those being conducted by Astellas Pharma Inc., Jiangsu Hengrui Pharmaceuticals Company Ltd. and Mirati Therapeutics, Inc. Other clinical programs directed at mutant RAS are being conducted, including those by Alaunos Therapeutics, Inc., Elicio Therapeutics, Gritstone bio, Inc., Moderna, Inc., Silenseed Ltd. and Targovax ASA. The above list includes corporate competitors that we are currently aware of and that are currently conducting clinical trials or marketing in geographies where we currently anticipate conducting clinical trials for our product candidates. However, companies operating in other geographies and smaller and other early-stage companies may also prove to be significant competitors. In addition, academic research departments and public and private research institutions may be conducting research on compounds that could prove to be competitive.</w:t>
      </w:r>
    </w:p>
    <w:p>
      <w:pPr>
        <w:spacing w:after="0" w:line="188" w:lineRule="exact"/>
        <w:rPr>
          <w:sz w:val="20"/>
          <w:szCs w:val="20"/>
          <w:color w:val="auto"/>
        </w:rPr>
      </w:pPr>
    </w:p>
    <w:p>
      <w:pPr>
        <w:ind w:right="360"/>
        <w:spacing w:after="0" w:line="255"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effects, are more convenient, have a broader label, are marketed more effectively, are reimbursed or are less expensive than any products that we may develop. Our competitors also may obtain FDA, EMA or other marketing approval for their products more rapidly than we may obtain approval for ours, which could result in our competitors establishing a strong market position before we are able to enter the market. Even if the product candidates we develop achieve marketing approval, they may be priced at a significant premium over competitive products if any have been approved by then, resulting in reduced competitiveness.</w:t>
      </w:r>
    </w:p>
    <w:p>
      <w:pPr>
        <w:spacing w:after="0" w:line="19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product candidates obsolete, less competitive or not economical.</w:t>
      </w:r>
    </w:p>
    <w:p>
      <w:pPr>
        <w:spacing w:after="0" w:line="15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or third-party coverage and reimbursement policies, which would harm our business.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regulations that govern marketing approvals, pricing and reimbursement for new products vary widely from country to country. Some countries require approval of the sale price of a product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candidate, possibly for lengthy time periods, and negatively impact the revenues we are able to generate from the sale of the product candidate in that country. Adverse pricing limitations may hinder our ability to recoup our investment in one or more product candidates, even if our product candidates obtain marketing approval.</w:t>
      </w:r>
    </w:p>
    <w:p>
      <w:pPr>
        <w:spacing w:after="0" w:line="19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ability to commercialize any product candidates, whether as a single agent or combination therapy, successfully also will depend in part on the extent to which coverage and reimbursement for these product candidates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levels.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It is difficult to predict at this time what government authorities and third-party payors will decide with respect to coverage and reimbursement for our programs.</w:t>
      </w:r>
    </w:p>
    <w:p>
      <w:pPr>
        <w:spacing w:after="0" w:line="17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There may be significant delays in obtaining coverage and reimbursement for newly approved drugs, as the process is time-consuming and costly, and coverage may be more limited than the purposes for which the drug is approved by the FDA or comparable foreign regulatory authorities. Additionally, no uniform policy requirement for coverage and reimbursement for drug products exists among third-party payors in the United States, which may result in coverage and reimbursement for drug products that can differ significantly from payor to payor. Moreover, eligibility for reimbursement does not imply that any drug will be paid for in all cases or at a rate that covers our costs, including research, development, manufacture, sale and distribution. Interim reimbursement levels for new drugs, if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line="296" w:lineRule="auto"/>
        <w:rPr>
          <w:sz w:val="20"/>
          <w:szCs w:val="20"/>
          <w:color w:val="auto"/>
        </w:rPr>
      </w:pPr>
      <w:r>
        <w:rPr>
          <w:rFonts w:ascii="Arial" w:cs="Arial" w:eastAsia="Arial" w:hAnsi="Arial"/>
          <w:sz w:val="16"/>
          <w:szCs w:val="16"/>
          <w:color w:val="auto"/>
        </w:rPr>
        <w:t>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w:t>
      </w:r>
    </w:p>
    <w:p>
      <w:pPr>
        <w:spacing w:after="0" w:line="16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drugs. We cannot be sure that coverage will be available for any product candidate that we commercialize and, if coverage is available, the level of reimbursement. These third-party payors are also examining the cost-effectiveness of drugs in addition to their safety and efficacy. Reimbursement may impact the demand for, or the price of, any product candidate for which we obtain marketing approval. If reimbursement is not available or is available only to limited levels, we may not be able to successfully commercialize any product candidate for which we obtain marketing approval.</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fail to select or capitalize on the most scientifically, clinically and commercially promising or profitable mutant RAS(ON) targets.</w:t>
      </w:r>
    </w:p>
    <w:p>
      <w:pPr>
        <w:spacing w:after="0" w:line="237"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We have limited technical, managerial and financial resources to determine which of our RAS(ON) Inhibitors should be advanced into further preclinical development, initial clinical trials, later-stage clinical development and potential commercialization. From our RAS(ON) Inhibitors, we have selected RMC-6236, our inhibitor of multiple RAS variants, which we refer to as RAS</w:t>
      </w:r>
      <w:r>
        <w:rPr>
          <w:rFonts w:ascii="Arial" w:cs="Arial" w:eastAsia="Arial" w:hAnsi="Arial"/>
          <w:sz w:val="21"/>
          <w:szCs w:val="21"/>
          <w:color w:val="auto"/>
          <w:vertAlign w:val="superscript"/>
        </w:rPr>
        <w:t>MULTI</w:t>
      </w:r>
      <w:r>
        <w:rPr>
          <w:rFonts w:ascii="Arial" w:cs="Arial" w:eastAsia="Arial" w:hAnsi="Arial"/>
          <w:sz w:val="16"/>
          <w:szCs w:val="16"/>
          <w:color w:val="auto"/>
        </w:rPr>
        <w:t>(ON), RMC-6291, our inhibitor targeting KRAS</w:t>
      </w:r>
      <w:r>
        <w:rPr>
          <w:rFonts w:ascii="Arial" w:cs="Arial" w:eastAsia="Arial" w:hAnsi="Arial"/>
          <w:sz w:val="21"/>
          <w:szCs w:val="21"/>
          <w:color w:val="auto"/>
          <w:vertAlign w:val="superscript"/>
        </w:rPr>
        <w:t>G12C</w:t>
      </w:r>
      <w:r>
        <w:rPr>
          <w:rFonts w:ascii="Arial" w:cs="Arial" w:eastAsia="Arial" w:hAnsi="Arial"/>
          <w:sz w:val="16"/>
          <w:szCs w:val="16"/>
          <w:color w:val="auto"/>
        </w:rPr>
        <w:t>(ON) and RMC-9805, our inhibitor targeting KRAS</w:t>
      </w:r>
      <w:r>
        <w:rPr>
          <w:rFonts w:ascii="Arial" w:cs="Arial" w:eastAsia="Arial" w:hAnsi="Arial"/>
          <w:sz w:val="21"/>
          <w:szCs w:val="21"/>
          <w:color w:val="auto"/>
          <w:vertAlign w:val="superscript"/>
        </w:rPr>
        <w:t>G12D</w:t>
      </w:r>
      <w:r>
        <w:rPr>
          <w:rFonts w:ascii="Arial" w:cs="Arial" w:eastAsia="Arial" w:hAnsi="Arial"/>
          <w:sz w:val="16"/>
          <w:szCs w:val="16"/>
          <w:color w:val="auto"/>
        </w:rPr>
        <w:t>(ON) as the first candidates for clinical evaluation. In selecting these or other development candidates, we may make incorrect determinations. Our decisions to allocate our research and development, management and financial resources toward particular development candidates or therapeutic areas may not lead to the development of viable commercial products and may divert resources from better opportunities. Similarly, our decisions to delay or terminate development programs may also be incorrect and could cause us to miss valuable opportunities.</w:t>
      </w:r>
    </w:p>
    <w:p>
      <w:pPr>
        <w:spacing w:after="0" w:line="18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successful in our efforts to identify or discover other product candidates and may fail to capitalize on programs or product candidates that may present a greater commercial opportunity or for which there is a greater likelihood of success.</w:t>
      </w:r>
    </w:p>
    <w:p>
      <w:pPr>
        <w:spacing w:after="0" w:line="170"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success of our business depends upon our ability to identify, develop and commercialize product candidates. Research programs to identify new product candidates require substantial technical, financial and human resources, and we may fail to identify potential product candidates for numerous reasons.</w:t>
      </w:r>
    </w:p>
    <w:p>
      <w:pPr>
        <w:spacing w:after="0" w:line="184"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Additionally, because we have limited resources, we may forego or delay pursuit of opportunities with certain programs or product candidates or for indications that later prove to have greater commercial potential. However, the advancement of this product candidate may ultimately prove to be unsuccessful or less successful than another program in our pipeline that we might have chosen to pursue on a less aggressive basis. Our estimates regarding the potential market for our product candidates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collaboration, licensing or other arrangements in cases in which it would have been more advantageous for us to retain sole development and commercialization rights to such product candidate. For example, we licensed worldwide development and commercialization rights with respect to RMC-4630 to Sanofi and under the terms of the Sanofi Agreement, which has been terminated effective as of June 2023, we receive only milestone payments, an equal share of profits and losses in the United States and royalties on annual net sales of each product outside the United States. Alternatively, we may allocate internal resources to a product candidate in a therapeutic area in which it would have been more advantageous to enter into a partnering arrangement.</w:t>
      </w:r>
    </w:p>
    <w:p>
      <w:pPr>
        <w:spacing w:after="0" w:line="18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w:t>
      </w:r>
    </w:p>
    <w:p>
      <w:pPr>
        <w:spacing w:after="0" w:line="17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We may need to use existing commercial diagnostic tests or develop, or enter into a collaboration or partnership to develop, novel complementary diagnostics and/or novel companion diagnostics for some of our current or future product candidates. If we or our future partners are unable to successfully develop these companion diagnostics or complementary diagnostics, or experience significant delays in doing so, we may not realize the full commercial potential of our future product candidates.</w:t>
      </w:r>
    </w:p>
    <w:p>
      <w:pPr>
        <w:spacing w:after="0" w:line="18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As one of the key elements of our product development strategy, we seek to identify cancer patient populations that may derive meaningful benefit from our current or future product candidates. Because predictive biomarkers may be used to identify the right patients for our programs and our current or future product candidates, we believe that our success may depend, in part, on our ability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ind w:right="260"/>
        <w:spacing w:after="0" w:line="277" w:lineRule="auto"/>
        <w:rPr>
          <w:sz w:val="20"/>
          <w:szCs w:val="20"/>
          <w:color w:val="auto"/>
        </w:rPr>
      </w:pPr>
      <w:r>
        <w:rPr>
          <w:rFonts w:ascii="Arial" w:cs="Arial" w:eastAsia="Arial" w:hAnsi="Arial"/>
          <w:sz w:val="18"/>
          <w:szCs w:val="18"/>
          <w:color w:val="auto"/>
        </w:rPr>
        <w:t>to use existing diagnostic tests from third parties or develop novel complementary diagnostics and/or novel companion diagnostics in collaboration with partners.</w:t>
      </w:r>
    </w:p>
    <w:p>
      <w:pPr>
        <w:spacing w:after="0" w:line="17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the event that novel tests will need to be developed, we have little experience in the development of diagnostics. As such, we expect to rely on future partners in developing appropriate diagnostics to pair with our current or future product candidates. We may be unsuccessful in entering into collaborations for the development of companion diagnostics for our programs and our current or future product candidates.</w:t>
      </w:r>
    </w:p>
    <w:p>
      <w:pPr>
        <w:spacing w:after="0" w:line="18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Complementary diagnostics and/or companion diagnostics are subject to regulation by the FDA and similar regulatory authorities outside the United States as medical devices and require separate regulatory approval or clearance prior to commercialization. If we, our partners, or any third parties that we engage to assist us, are unable to successfully develop complementary diagnostics and/or companion diagnostics for our product candidates and any future product candidates, or experience delays in doing so:</w:t>
      </w:r>
    </w:p>
    <w:p>
      <w:pPr>
        <w:spacing w:after="0" w:line="79" w:lineRule="exact"/>
        <w:rPr>
          <w:sz w:val="20"/>
          <w:szCs w:val="20"/>
          <w:color w:val="auto"/>
        </w:rPr>
      </w:pPr>
    </w:p>
    <w:p>
      <w:pPr>
        <w:ind w:left="1020" w:right="920" w:hanging="503"/>
        <w:spacing w:after="0" w:line="277"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development of our product candidates and any other future product candidates may be adversely affected if we are unable to appropriately select patients for enrollment in our clinical trials; and</w:t>
      </w:r>
    </w:p>
    <w:p>
      <w:pPr>
        <w:spacing w:after="0" w:line="62" w:lineRule="exact"/>
        <w:rPr>
          <w:rFonts w:ascii="Arial" w:cs="Arial" w:eastAsia="Arial" w:hAnsi="Arial"/>
          <w:sz w:val="18"/>
          <w:szCs w:val="18"/>
          <w:color w:val="auto"/>
        </w:rPr>
      </w:pPr>
    </w:p>
    <w:p>
      <w:pPr>
        <w:jc w:val="both"/>
        <w:ind w:left="1020" w:right="220" w:hanging="503"/>
        <w:spacing w:after="0" w:line="263" w:lineRule="auto"/>
        <w:tabs>
          <w:tab w:leader="none" w:pos="10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realize the full commercial potential of our product candidates and any other future product candidates that receive marketing approval if, among other reasons, we are unable to appropriately identify, or it takes us longer to identify, patients who are likely to benefit from therapy with our products, if approved.</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or foreign regulators may disagree that we have met the requirements for such approval.</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the FDA may reach a different conclusion and not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9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Drugs designated as fast track products or breakthrough therapies by the FDA are also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w:t>
      </w:r>
    </w:p>
    <w:p>
      <w:pPr>
        <w:spacing w:after="0" w:line="1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18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Jurisdictions where we may seek to pursue product candidates outside of the United States have processes similar to the breakthrough designation and fast track processes described above, and to the extent we desire to enter these markets, we will face similar risks and challenges as those described in the United States.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ind w:right="48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product candidates we develop, and we may be unsuccessful or may be unable to maintain the benefits associated with orphan drug designation, including the potential for market exclusivity.</w:t>
      </w:r>
    </w:p>
    <w:p>
      <w:pPr>
        <w:spacing w:after="0" w:line="17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As part of our business strategy, we may seek orphan drug designation for product candidates we develop. Regulatory authorities in some jurisdictions, including the United States, may designate drugs for relatively small patient populations as orphan drugs or, in Europe, orphan medicinal products.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9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Similarly, in Europe, the European Commission grants orphan medicinal product designation after receiving the opinion of the EMA Committee for Orphan Medicinal Products on an orphan medicinal product designation application. Orphan medicinal product designation is intended to promote the development of drugs that are intended for the diagnosis, prevention or treatment of life-threatening or chronically debilitating conditions affecting not more than 5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a number of incentives, such as protocol assistance and scientific advice specifically for designated orphan medicines, and potential fee reductions depending on the status of the sponsor.</w:t>
      </w:r>
    </w:p>
    <w:p>
      <w:pPr>
        <w:spacing w:after="0" w:line="19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disease or condition for which it has such designation, the drug is entitled to a period of marketing exclusivity, which precludes the EMA or the FDA from approving another marketing application for the same drug for the same disease or condition for that time period, except in limited circumstances. The applicable period is seven years in the United States and ten years in Europe. The European exclusivity period can be reduced to six years if a drug no longer meets the criteria for orphan drug designation or if the drug is sufficiently profitable such that market exclusivity is no longer justified.</w:t>
      </w:r>
    </w:p>
    <w:p>
      <w:pPr>
        <w:spacing w:after="0" w:line="17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may be unsuccessful in obtaining orphan drug designation for our product candidates. In addition, even if we obtain orphan drug exclusivity for a product candidate, that exclusivity may not effectively protect the product candidate from competition because different therapies can be approved for the same condition. Even after an orphan drug is approved, the FDA can subsequently approve the same drug for the same disease or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may seek orphan drug designation for applicable indications for our current and any future product candidates, we may never receive such designations. Even if we do receive such designations, there is no guarantee that we will enjoy the benefits of those designations.</w:t>
      </w:r>
    </w:p>
    <w:p>
      <w:pPr>
        <w:spacing w:after="0" w:line="18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any approved products.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face an inherent risk of product liability as a result of the clinical testing of product candidates and will face an even greater risk if we commercialize any products. For example, we may be sued if any product candidate we develop causes or is perceived to cause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any approved products. Even successful defense would require significant financial and management resources.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17" w:lineRule="exact"/>
        <w:rPr>
          <w:sz w:val="20"/>
          <w:szCs w:val="20"/>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decreased demand for any approved product;</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0" w:name="page51"/>
    <w:bookmarkEnd w:id="50"/>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1020" w:right="180" w:hanging="503"/>
        <w:spacing w:after="0" w:line="277" w:lineRule="auto"/>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 and potential increase in our insurance premiums and/or retention amounts;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inability to obtain sufficient product liability insurance at an acceptable cost to protect against potential product liability claims could prevent or inhibit the commercialization of products we develop, alone or with collaboration partners.</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Insurance coverage is increasingly expensive. We may not be able to maintain insurance at a reasonable cost or in an amount adequate to satisfy any liability that may arise, if at all. Our insurance policy contains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current or future collaborator entitle us to indemnification against losses, such indemnification is limited and may not be available or adequate should any claim arise.</w:t>
      </w:r>
    </w:p>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The ongoing armed conflict between Russia and Ukraine and resulting actions could adversely affect our business, financial condition and results of operations.</w:t>
      </w:r>
    </w:p>
    <w:p>
      <w:pPr>
        <w:spacing w:after="0" w:line="170" w:lineRule="exact"/>
        <w:rPr>
          <w:sz w:val="20"/>
          <w:szCs w:val="20"/>
          <w:color w:val="auto"/>
        </w:rPr>
      </w:pPr>
    </w:p>
    <w:p>
      <w:pPr>
        <w:jc w:val="both"/>
        <w:ind w:right="260"/>
        <w:spacing w:after="0" w:line="301" w:lineRule="auto"/>
        <w:rPr>
          <w:sz w:val="20"/>
          <w:szCs w:val="20"/>
          <w:color w:val="auto"/>
        </w:rPr>
      </w:pPr>
      <w:r>
        <w:rPr>
          <w:rFonts w:ascii="Arial" w:cs="Arial" w:eastAsia="Arial" w:hAnsi="Arial"/>
          <w:sz w:val="16"/>
          <w:szCs w:val="16"/>
          <w:color w:val="auto"/>
        </w:rPr>
        <w:t>In February 2022, Russian military forces launched a military action in Ukraine, and sustained conflict and disruption in the region is likely. The length, impact, scope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spacing w:after="0" w:line="15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Russia’s recognition of two separatist republics in the Donetsk and Luhansk regions of Ukraine and subsequent military action against Ukraine have led to substantial expansion of sanction programs imposed by the United States, the European Union, the United Kingdom, Canada, Switzerland, Japan, and other countries against Russia, Belarus, the Crimea Region of Ukraine, the so-called Donetsk People’s Republic, and the so-called Luhansk People’s Republic, including, among others:</w:t>
      </w:r>
    </w:p>
    <w:p>
      <w:pPr>
        <w:spacing w:after="0" w:line="79" w:lineRule="exact"/>
        <w:rPr>
          <w:sz w:val="20"/>
          <w:szCs w:val="20"/>
          <w:color w:val="auto"/>
        </w:rPr>
      </w:pPr>
    </w:p>
    <w:p>
      <w:pPr>
        <w:ind w:left="1020" w:right="120" w:hanging="503"/>
        <w:spacing w:after="0" w:line="263"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blocking sanctions against some of the largest state-owned and private Russian financial institutions (and their subsequent removal from the Society for Worldwide Interbank Financial Telecommunication payment system) and certain Russian businesses, some of which have significant financial and trade ties to the European Union;</w:t>
      </w:r>
    </w:p>
    <w:p>
      <w:pPr>
        <w:spacing w:after="0" w:line="75"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blocking sanctions against Russian and Belarusian individuals, including the Russian President, other politicians and those with government connections or involved in Russian military activities; and</w:t>
      </w:r>
    </w:p>
    <w:p>
      <w:pPr>
        <w:spacing w:after="0" w:line="62"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blocking of Russia’s foreign currency reserves as well as expansion of sectoral sanctions and export and trade restrictions, limitations on investments and access to capital markets, and bans on various Russian imports.</w:t>
      </w:r>
    </w:p>
    <w:p>
      <w:pPr>
        <w:spacing w:after="0" w:line="170"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is rapidly evolving, and additional sanctions by Russia on the one hand, and by the other countries on the other hand, could adversely affect the global economy and financial markets and could adversely affect our business, financial condition, and results of operations. In addition, it is possible that the conflict could expand beyond its current scope and involve additional countries and regions.</w:t>
      </w:r>
    </w:p>
    <w:p>
      <w:pPr>
        <w:spacing w:after="0" w:line="16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We are actively monitoring the situation in Ukraine and Russia and assessing its impact on our business, including our current and planned clinical operations, and our business partners and customers. Although we have not experienced material interruptions in our infrastructure, supplies, technology systems, or networks needed to support our operations, this conflict may limit our ability to include European sites as clinical trial locations in the future, and we may have to delay, reduce the scope of or suspend one or more of our clinical trials.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51" w:name="page52"/>
    <w:bookmarkEnd w:id="51"/>
    <w:p>
      <w:pPr>
        <w:ind w:right="100"/>
        <w:spacing w:after="0" w:line="259" w:lineRule="auto"/>
        <w:rPr>
          <w:sz w:val="20"/>
          <w:szCs w:val="20"/>
          <w:color w:val="auto"/>
        </w:rPr>
      </w:pPr>
      <w:r>
        <w:rPr>
          <w:rFonts w:ascii="Arial" w:cs="Arial" w:eastAsia="Arial" w:hAnsi="Arial"/>
          <w:sz w:val="18"/>
          <w:szCs w:val="18"/>
          <w:color w:val="auto"/>
        </w:rPr>
        <w:t>We cannot predict the progress or outcome of the military conflict in Ukraine, whether it will expand or its impacts in Ukraine, Russia, Europe, the United States or the rest of the world. The extent and duration of the military action, sanctions, and resulting market disruptions could be significant and could potentially have substantial impact on the global economy and our business for an unknown period of time. Any such disruption may also magnify the impact of other risks described in Item 1A</w:t>
      </w:r>
      <w:r>
        <w:rPr>
          <w:rFonts w:ascii="Arial" w:cs="Arial" w:eastAsia="Arial" w:hAnsi="Arial"/>
          <w:sz w:val="18"/>
          <w:szCs w:val="18"/>
          <w:b w:val="1"/>
          <w:bCs w:val="1"/>
          <w:i w:val="1"/>
          <w:iCs w:val="1"/>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significantly impact our business and results of operations.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Affordable Care Act (the ACA) was passed, which substantially changes the way healthcare is financed by both governmental and private insurers, and significantly impacts the U.S. pharmaceutical industry. The 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70% point-of-sale discounts off negotiated prices of applicable brand drugs to eligible beneficiaries during their coverage gap period, as a condition for the manufacturer’s outpatient drugs to be covered under Medicare Part D.</w:t>
      </w:r>
    </w:p>
    <w:p>
      <w:pPr>
        <w:spacing w:after="0" w:line="16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Since its enactment, there have been judicial, executive and Congressional challenges to certain aspects of the ACA. In June 2021, the U.S. Supreme Court dismissed the most recent judicial challenge to the ACA brought by several states without specifically ruling on the constitutionality of the ACA. Prior to the Supreme Court’s decision, President Biden issued an executive order initiating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Other legislative changes have been proposed and adopted in the United States since the ACA was enacted. In March 2021, the American Rescue Plan Act of 2021 was signed into law, which eliminates the statutory cap on the Medicaid drug rebate, currently set at 100% of a drug’s AMP, beginning January 1, 2024. Moreover, payment methodologies may be subject to changes in healthcare legislation and regulatory initiatives. Most recently, in August 2022, the Inflation Reduction Act of 2022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to implement many of these provisions through guidance, as opposed to regulation, for the initial years. For that and other reasons, it is currently unclear how the IRA will be effectuated, and the impact of the IRA on our business and the pharmaceutical industry cannot yet be fully determined. 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 we develop or complementary diagnostics or companion diagnostics or additional pricing pressures.</w:t>
      </w:r>
    </w:p>
    <w:p>
      <w:pPr>
        <w:spacing w:after="0" w:line="179"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Additionally,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FDA regulations and guidance may be revised or reinterpreted by the FDA in ways that may significantly affect our business. Any new regulations or guidance, or revisions or reinterpretations of existing regulations or guidance, may impose additional costs or lengthen FDA review times for our product candidates. We cannot determine how changes in regulations, statutes, policies, or interpretations when and if issued, enacted or adopted, may affect our business in the future.</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2" w:name="page53"/>
    <w:bookmarkEnd w:id="52"/>
    <w:p>
      <w:pPr>
        <w:ind w:right="80"/>
        <w:spacing w:after="0" w:line="257"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have had to furlough critical FDA and other government employees and stop critical activities. If a prolonged government shutdown occurs or FDA experiences other delays, it could significantly impact the ability of the FDA to timely review and process our regulatory submissions, which could have a negative impact on our business.</w:t>
      </w:r>
    </w:p>
    <w:p>
      <w:pPr>
        <w:spacing w:after="0" w:line="188"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Separately, in response to the COVID-19 pandemic, the FDA announced its intention to postpone most inspections of foreign and domestic manufacturing facilities and products at various points. Even though the FDA has since resumed standard inspection operations of domestic facilities where feasible, the FDA has continued to monitor and implement changes to its inspectional activities to ensure the safety of its employees and those of the firms it regulates as it adapts to the evolving COVID-19 pandemic, and any resurgence of the virus, including as a result of the emergence of new variants may lead to further inspectional delays. Regulatory authorities outside the United States may adopt similar restrictions or other policy measures in response to the COVID-19 pandemic and may experience delays in their regulatory activities. If a prolonged government shutdown occurs, or if global health concerns continue to prevent the FDA or other regulatory authorities from conducting business as usual or conducting inspections, reviews or other regulatory activities, it could significantly impact the ability of the FDA to timely review and process our regulatory submissions, which could have a material effect on our business.</w:t>
      </w:r>
    </w:p>
    <w:p>
      <w:pPr>
        <w:spacing w:after="0" w:line="18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We are subject to stringent privacy laws, information security policies and contractual obligations governing the use, processing and transfer of personal information.</w:t>
      </w:r>
    </w:p>
    <w:p>
      <w:pPr>
        <w:spacing w:after="0" w:line="170"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negative impact on our business.</w:t>
      </w:r>
    </w:p>
    <w:p>
      <w:pPr>
        <w:spacing w:after="0" w:line="18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our operations and business grow, we may become subject to or affected by new or additional data protection laws and regulations and face increased scrutiny or attention from regulatory authorities. In the United States, HIPAA imposes, among other things, certain standards relating to the privacy, security, transmission and breach reporting of individually identifiable health information.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w:t>
      </w:r>
    </w:p>
    <w:p>
      <w:pPr>
        <w:spacing w:after="0" w:line="18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Further, various states have implemented certain data privacy and security laws and regulations that impose restrictive requirements regulating the use and disclosure of health-related and other personal information. California enacted the California Consumer Privacy Act (CCPA), which creates individual privacy rights for California consumers and increases the privacy and security obligations of entities handling certain personal data. The CCPA went into effect on January 1, 2020, and became enforceable by the California Attorney General on July 1, 2020. Further, the California Privacy Rights Act (CPRA) was approved by California voters in the November 3, 2020 election and generally went into effect on January 1, 2023. The CPRA significantly amends the CCPA and imposes additional data protection obligations on covered businesses, including additional consumer rights processes, limitations on data uses, new audit requirements for higher risk data, and opt outs for certain uses of sensitive data. The CPRA also creates a new state agency that will be vested with authority to implement and enforce the CCPA and the CPRA. Additional compliance investment and potential business process changes may be required. Similar laws have passed in Virginia, Colorado, Utah and Connecticut, and have been proposed in other states and at the federal level, reflecting a trend toward more stringent privacy legislation in the United States.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w:t>
      </w:r>
    </w:p>
    <w:p>
      <w:pPr>
        <w:spacing w:after="0" w:line="16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State laws and regulations are not necessarily preempted by federal laws and regulations, such as HIPAA, particularly if a state affords greater protection to individuals than federal law. Where state laws are more protective, we have to comply with the stricter provisions. In addition to fines and penalties imposed upon violators, some of these state laws also afford private rights of action to individuals who believe their personal information has been misused. The interplay of federal and state laws may be subject to varying interpretations by courts and government agencies, creating complex compliance issues for us and data we receive, use and share,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ind w:right="20"/>
        <w:spacing w:after="0" w:line="263" w:lineRule="auto"/>
        <w:rPr>
          <w:sz w:val="20"/>
          <w:szCs w:val="20"/>
          <w:color w:val="auto"/>
        </w:rPr>
      </w:pPr>
      <w:r>
        <w:rPr>
          <w:rFonts w:ascii="Arial" w:cs="Arial" w:eastAsia="Arial" w:hAnsi="Arial"/>
          <w:sz w:val="18"/>
          <w:szCs w:val="18"/>
          <w:color w:val="auto"/>
        </w:rPr>
        <w:t>potentially exposing us to additional expense, adverse publicity and liability. Legal requirements relating to the collection, storage, handling, and transfer of personal information and personal data continue to evolve and may result in increased public scrutiny and escalating levels of enforcement, sanctions and increased costs of compliance.</w:t>
      </w:r>
    </w:p>
    <w:p>
      <w:pPr>
        <w:spacing w:after="0" w:line="18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collection and use of personal data in the EU and the European Economic Area (EEA), are governed by the GDPR. The GDPR imposes stringent requirements for controllers and processors of personal data. The GDPR applies extraterritorially, and we may be subject to the GDPR because of our data processing activities that involve the personal data of individuals located in the EEA, such as in connection with any EEA clinical trials. GDPR regulations may impose additional responsibility and liability in relation to the personal data that we process and we may be required to put in place additional mechanisms to ensure compliance with the new data protection rules. This may be onerous and may interrupt or delay our development activities. If we or our vendors fail to comply with the GDPR and the applicable national data protection laws of the EU or EEA member states, or if regulators assert we have failed to comply with these laws, it may lead to regulatory enforcement actions, which can result in monetary penalties of up to €20,000,000 or up to 4% of the total worldwide annual turnover of the preceding financial year, whichever is higher, and other administrative penalties. The GDPR also imposes strict rules on the transfer of personal data out of the EU and the EEA to the United States and other third countries. In July 2020, the Court of Justice of the European Union (CJEU) limited how organizations could lawfully transfer personal data from the EU/EEA to the United States by invalidating the Privacy Shield for purposes of international transfers and imposing further restrictions on the use of standard contractual clauses (SCCs). In March 2022, the United States and EU announced a new regulatory regime intended to replace the invalidated regulations; however, this new EU-U.S. Data Privacy Framework has not been implemented beyond an executive order signed by President Biden in October 2022 on Enhancing Safeguards for United States Signals Intelligence Activities. European court and regulatory decisions subsequent to the July 2020 CJEU decision have taken a restrictive approach to international data transfers.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and the geographical location or segregation of our relevant systems and operations. Further, we must comply with both the GDPR and the UK GDPR, which together with the UK Data Protection Act 2018, retains the GDPR in United Kingdom national law. The UK GDPR mirrors the fines under the GDPR, i.e. fines up to the greater of £17.5 million or 4% of global turnover. We may incur liabilities, expenses, costs and other operational losses under the GDPR and privacy laws of the applicable EU and EEA Member States and the United Kingdom in connection with any measures we take to comply with them. As we continue to expand into other foreign countries and jurisdictions, we may also be subject to additional laws and regulations that may affect how we conduct business.</w:t>
      </w:r>
    </w:p>
    <w:p>
      <w:pPr>
        <w:spacing w:after="0" w:line="39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Compliance with U.S. and international data protection laws and regulations could cause us to incur substantial costs or require us to change our business practices and compliance procedures in a manner adverse to our business. Penalties for violations of these laws vary and may be significant. Moreover, complying with these various laws could require us to take on more onerous obligations in our contracts, restrict our ability to collect, use and disclose data, or in some cases, impact our ability to operate in certain jurisdictions. In addition, we rely on third-party vendors to collect, process and store data on our behalf and we cannot guarantee that such vendors are in compliance with all applicable data protection laws and regulations. Our or our vendors’ failure to comply with U.S. and international data protection laws and regulations could result in government enforcement actions (which could include civil or criminal penalties), private litigation and adverse publicity. Claims that we have violated individuals’ privacy rights, failed to comply with data protection laws, or breached our contractual obligations, even if we are not found liable, could be expensive and time consuming to defend and could result in adverse publicity.</w:t>
      </w:r>
    </w:p>
    <w:p>
      <w:pPr>
        <w:spacing w:after="0" w:line="1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business and operations, or those of our CROs or third parties, may suffer in the event of computer system failures, cyberattacks or deficiencies in our cybersecurity, which could materially affect our results.</w:t>
      </w:r>
    </w:p>
    <w:p>
      <w:pPr>
        <w:spacing w:after="0" w:line="170" w:lineRule="exact"/>
        <w:rPr>
          <w:sz w:val="20"/>
          <w:szCs w:val="20"/>
          <w:color w:val="auto"/>
        </w:rPr>
      </w:pPr>
    </w:p>
    <w:p>
      <w:pPr>
        <w:ind w:right="340"/>
        <w:spacing w:after="0" w:line="275" w:lineRule="auto"/>
        <w:rPr>
          <w:sz w:val="20"/>
          <w:szCs w:val="20"/>
          <w:color w:val="auto"/>
        </w:rPr>
      </w:pPr>
      <w:r>
        <w:rPr>
          <w:rFonts w:ascii="Arial" w:cs="Arial" w:eastAsia="Arial" w:hAnsi="Arial"/>
          <w:sz w:val="17"/>
          <w:szCs w:val="17"/>
          <w:color w:val="auto"/>
        </w:rPr>
        <w:t>We receive, generate and store significant and increasing volumes of sensitive information, such as health information, insurance information and other potentially personally identifiable information. We face a number of risks relative to protecting the computer systems we rely on and this critical information, including loss of access risk, inappropriate use or disclosure, inappropriate modification and the risk of our being unable to adequately monitor, audit and modify our controls over our critical information. This risk extends to the computer systems and information of any collaboration partners, medical institutions, clinical investigators, CROs, contract laboratories, or other third parties involved in our business.</w:t>
      </w:r>
    </w:p>
    <w:p>
      <w:pPr>
        <w:spacing w:after="0" w:line="17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Despite the implementation of security measures, our information technology systems, as well as those of CROs or other third parties with which we have relationships, are vulnerable to attack and damage from computer viruses and malware (e.g., ransomware), unauthorized access, natural and manmade disasters, terrorism, war and telecommunication and electrical failures, malfeasance by external or internal parties, and human error (e.g., social engineering, phishing).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technologies used to obtain unauthorized access to, or to sabotage or disrupt, systems change frequently and often are not recognized until launched against a</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line="272" w:lineRule="auto"/>
        <w:rPr>
          <w:sz w:val="20"/>
          <w:szCs w:val="20"/>
          <w:color w:val="auto"/>
        </w:rPr>
      </w:pPr>
      <w:r>
        <w:rPr>
          <w:rFonts w:ascii="Arial" w:cs="Arial" w:eastAsia="Arial" w:hAnsi="Arial"/>
          <w:sz w:val="17"/>
          <w:szCs w:val="17"/>
          <w:color w:val="auto"/>
        </w:rPr>
        <w:t>target, we may be unable to anticipate these techniques or implement adequate preventative measures. We may also experience security breaches that may remain undetected for an extended period. We may not be able to anticipate all types of security threats, and even if identified, we may be unable to adequately investigate or remediate incidents or breaches due to attackers increasingly using tools and techniques that are designed to circumvent controls, to avoid detection, and to remove or obfuscate forensic evidence. As a result of the COVID-19 pandemic, we may also face increased cybersecurity risks due to our reliance on internet technology and the number of our and our service providers’ employees who are (and may continue to be) working remotely, which may create additional opportunities for cybercriminals to exploit vulnerabilities. The White House, SEC and other regulators have also increased their focus on companies’ cybersecurity vulnerabilities and risks.</w:t>
      </w:r>
    </w:p>
    <w:p>
      <w:pPr>
        <w:spacing w:after="0" w:line="177"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our CROs and certain of our other service providers are from time to time, subject to cyberattacks and security incidents. While we have not to our knowledge experienced any significant system failure, accident or security breach to date, if such an event were to occur and cause interruptions in our or our critical third parties’ operations, it could result in delays and/or material disruptions of our research and development programs, our operations and ultimately, our financial results. For example, the loss of trial data from completed, ongoing or planned trials could result in delays in our regulatory approval efforts and significantly increase our costs to recover or reproduce the data. Likewise, we rely on third parties for the manufacture of our product candidates and to conduct clinical trials, and similar events relating to their computer systems could also adversely impact our business. Further, due to the current political uncertainty involving Russia and Ukraine, there is an increased likelihood that the tensions could result in cyberattacks or cybersecurity incidents that could either directly or indirectly impact our or our critical third parties’ operations. To the extent that any disruption or security breach were to result in a loss of or damage to data or applications, or inappropriate disclosure of personal, confidential or proprietary information, we could incur liability due to delays in the development and commercialization of our product candidates or other business activities and/or due to reputational harm, litigation, regulatory investigations and enforcement, fines and penalties, or increased costs of compliance and system remediation.</w:t>
      </w:r>
    </w:p>
    <w:p>
      <w:pPr>
        <w:spacing w:after="0" w:line="172"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Our existing general liability and cyber liability insurance policies may not cover, or may cover only a portion of, any potential claims related to security breaches to which we are exposed or may not be adequate to indemnify us for all or any portion of liabilities that may be imposed. We also cannot be certain that our existing insurance coverage will continue to be available on acceptable terms or in amounts sufficient to cover the potentially significant losses that may result from a security incident or breach or that the insurer will not deny coverage of any future claim. If the information technology systems of our CROs or other service providers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are a party to a collaboration agreement with Sanofi, which has been terminated effective as of June 2023. Until the effectiveness of this termination, we are dependent on our collaboration with Sanofi for the development of RMC-4630 and must successfully manage the transition of all rights, obligations and activities under the agreement from Sanofi to us.</w:t>
      </w:r>
    </w:p>
    <w:p>
      <w:pPr>
        <w:spacing w:after="0" w:line="184"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In June 2018, we entered into a collaborative research, development and commercialization agreement with Sanofi (the Sanofi Agreement), focused on researching, developing and commercializing SHP2 inhibitors as cancer therapies and potentially other indications. In December 2022, Sanofi terminated the Sanofi Agreement for convenience, effective as of June 2023. Prior to the effectiveness of this termination, Sanofi will continue to exert control over our SHP2 inhibitor-related research and development activities pursuant to the terms of the Sanofi Agreement, and our lack of control over these activities, including with respect to RMC-4630, could result in delays or other difficulties in the development and commercialization of product candidates, which may prevent completion of intended NDA filings in a timely fashion, if at all. Any dispute with Sanofi, including with respect to the termination of the Sanofi Agreement and the transition of the activities thereunder, may result in the delay or termination of the research, development or commercialization of RMC-4630 or other SHP2 inhibitor product candidates, and may result in costly litigation that diverts management attention and resources away from our day-to-day activities. For example, we plan to evaluate RMC-4630 in combination with other therapies (which may include product candidates from our pipeline), and Sanofi may disagree with us regarding which other therapies should be evaluated in combination with RMC-4630. As a result of this disagreement, our completion of a trial in combination with our preferred combination product candidate may be delayed or prevented.</w:t>
      </w:r>
    </w:p>
    <w:p>
      <w:pPr>
        <w:spacing w:after="0" w:line="172"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connection with the termination of the Sanofi Agreement, we must transition all rights, obligations and activities occurring as part of the collaboration (including those conducted by third parties on behalf of Sanofi) to us, which is a complex and challenging process. Our inability to successfully manage this transition, or to do so on a timely basis, may adversely impact our SHP2 development efforts.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following the effectiveness of the termination of the Sanofi Agreement, we will no longer receive any research and development funding, milestone payments, profit share payments, royalty payments and other benefits under that agreement. Termination of the Sanofi Agreement may require us to seek additional funding in order to avoid delaying, reducing the scope of, or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5" w:name="page56"/>
    <w:bookmarkEnd w:id="55"/>
    <w:p>
      <w:pPr>
        <w:ind w:right="80"/>
        <w:spacing w:after="0" w:line="263" w:lineRule="auto"/>
        <w:rPr>
          <w:sz w:val="20"/>
          <w:szCs w:val="20"/>
          <w:color w:val="auto"/>
        </w:rPr>
      </w:pPr>
      <w:r>
        <w:rPr>
          <w:rFonts w:ascii="Arial" w:cs="Arial" w:eastAsia="Arial" w:hAnsi="Arial"/>
          <w:sz w:val="18"/>
          <w:szCs w:val="18"/>
          <w:color w:val="auto"/>
        </w:rPr>
        <w:t>suspending, one or more of our research and development programs or clinical trials. In addition, Sanofi’s decision to terminate the Sanofi Agreement may negatively impact public perception of RMC-4630, or all of the SHP2 program covered by the Sanofi Agreement. For more information regarding the Sanofi Agreement, see “Business—Collaboration agreement with Sanofi.”</w:t>
      </w:r>
    </w:p>
    <w:p>
      <w:pPr>
        <w:spacing w:after="0" w:line="184"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b w:val="1"/>
          <w:bCs w:val="1"/>
          <w:i w:val="1"/>
          <w:iCs w:val="1"/>
          <w:color w:val="auto"/>
        </w:rPr>
        <w:t>We may depend on collaborations with other third parties for the development and commercialization of our product candidates in the future. If our collaborations are not successful, we may not be able to capitalize on the market potential of these product candidates.</w:t>
      </w:r>
    </w:p>
    <w:p>
      <w:pPr>
        <w:spacing w:after="0" w:line="146"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 the future, we may form or seek other strategic alliances, joint ventures, or collaborations, or enter into additional licensing arrangements with third parties that we believe will complement or augment our development and commercialization efforts with respect to product candidates we develop.</w:t>
      </w:r>
    </w:p>
    <w:p>
      <w:pPr>
        <w:spacing w:after="0" w:line="12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Collaborations involving our current and future product candidates, including our collaborations with Sanofi and Amgen, may pose the following risks to us:</w:t>
      </w:r>
    </w:p>
    <w:p>
      <w:pPr>
        <w:spacing w:after="0" w:line="62" w:lineRule="exact"/>
        <w:rPr>
          <w:sz w:val="20"/>
          <w:szCs w:val="20"/>
          <w:color w:val="auto"/>
        </w:rPr>
      </w:pPr>
    </w:p>
    <w:p>
      <w:pPr>
        <w:ind w:left="1020" w:right="28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have incentives that are different than ours;</w:t>
      </w:r>
    </w:p>
    <w:p>
      <w:pPr>
        <w:spacing w:after="0" w:line="62" w:lineRule="exact"/>
        <w:rPr>
          <w:rFonts w:ascii="Arial" w:cs="Arial" w:eastAsia="Arial" w:hAnsi="Arial"/>
          <w:sz w:val="18"/>
          <w:szCs w:val="18"/>
          <w:color w:val="auto"/>
        </w:rPr>
      </w:pPr>
    </w:p>
    <w:p>
      <w:pPr>
        <w:ind w:left="1020" w:right="620" w:hanging="503"/>
        <w:spacing w:after="0" w:line="308" w:lineRule="auto"/>
        <w:tabs>
          <w:tab w:leader="none" w:pos="10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abandon a product candidate, repeat or conduct new clinical trials or require a new formulation of a product candidate for clinical testing;</w:t>
      </w:r>
    </w:p>
    <w:p>
      <w:pPr>
        <w:spacing w:after="0" w:line="38" w:lineRule="exact"/>
        <w:rPr>
          <w:rFonts w:ascii="Arial" w:cs="Arial" w:eastAsia="Arial" w:hAnsi="Arial"/>
          <w:sz w:val="17"/>
          <w:szCs w:val="17"/>
          <w:color w:val="auto"/>
        </w:rPr>
      </w:pPr>
    </w:p>
    <w:p>
      <w:pPr>
        <w:ind w:left="1020" w:right="32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w:t>
      </w:r>
    </w:p>
    <w:p>
      <w:pPr>
        <w:spacing w:after="0" w:line="62" w:lineRule="exact"/>
        <w:rPr>
          <w:rFonts w:ascii="Arial" w:cs="Arial" w:eastAsia="Arial" w:hAnsi="Arial"/>
          <w:sz w:val="18"/>
          <w:szCs w:val="18"/>
          <w:color w:val="auto"/>
        </w:rPr>
      </w:pPr>
    </w:p>
    <w:p>
      <w:pPr>
        <w:ind w:left="1020" w:right="50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62" w:lineRule="exact"/>
        <w:rPr>
          <w:rFonts w:ascii="Arial" w:cs="Arial" w:eastAsia="Arial" w:hAnsi="Arial"/>
          <w:sz w:val="18"/>
          <w:szCs w:val="18"/>
          <w:color w:val="auto"/>
        </w:rPr>
      </w:pPr>
    </w:p>
    <w:p>
      <w:pPr>
        <w:ind w:left="1020" w:right="80" w:hanging="503"/>
        <w:spacing w:after="0" w:line="263"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not properly prosecute, maintain, enforce or defend our intellectual property rights or may use our proprietary information in a way that gives rise to actual or threatened litigation that could jeopardize or invalidate our intellectual property or proprietary information or expose us to potential litigation, or other intellectual property proceedings;</w:t>
      </w:r>
    </w:p>
    <w:p>
      <w:pPr>
        <w:spacing w:after="0" w:line="75"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products that result from our collaboration with them, and in such cases, we may not have the exclusive right to develop, license or commercialize this intellectual property;</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disputes may arise with respect to ownership of any intellectual property developed pursuant to our collaborations;</w:t>
      </w:r>
    </w:p>
    <w:p>
      <w:pPr>
        <w:spacing w:after="0" w:line="117" w:lineRule="exact"/>
        <w:rPr>
          <w:rFonts w:ascii="Arial" w:cs="Arial" w:eastAsia="Arial" w:hAnsi="Arial"/>
          <w:sz w:val="18"/>
          <w:szCs w:val="18"/>
          <w:color w:val="auto"/>
        </w:rPr>
      </w:pPr>
    </w:p>
    <w:p>
      <w:pPr>
        <w:ind w:left="1020" w:hanging="503"/>
        <w:spacing w:after="0" w:line="342" w:lineRule="auto"/>
        <w:tabs>
          <w:tab w:leader="none" w:pos="102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disputes may arise between a collaborator and us that cause the delay or termination of the research, development or commercialization of the product candidate, or that result in costly litigation or arbitration that diverts management attention and resources; and</w:t>
      </w:r>
    </w:p>
    <w:p>
      <w:pPr>
        <w:spacing w:after="0" w:line="15" w:lineRule="exact"/>
        <w:rPr>
          <w:rFonts w:ascii="Arial" w:cs="Arial" w:eastAsia="Arial" w:hAnsi="Arial"/>
          <w:sz w:val="16"/>
          <w:szCs w:val="16"/>
          <w:color w:val="auto"/>
        </w:rPr>
      </w:pPr>
    </w:p>
    <w:p>
      <w:pPr>
        <w:jc w:val="both"/>
        <w:ind w:left="1020" w:right="140" w:hanging="503"/>
        <w:spacing w:after="0" w:line="263" w:lineRule="auto"/>
        <w:tabs>
          <w:tab w:leader="none" w:pos="10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a present or future collaborator of ours were to be involved in a business combination, the continued pursuit and emphasis on our product development or commercialization program under such collaboration could be delayed, diminished or terminated, including if the partner in such a business combination has products that compete with ours.</w:t>
      </w:r>
    </w:p>
    <w:p>
      <w:pPr>
        <w:spacing w:after="0" w:line="18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As a result, if we enter into additional collaboration agreements and strategic partnerships or license our intellectual property, products or businesses, we may not be able to realize the benefit of such transactions if we are unable to successfully integrate them with our existing operations, which could delay our timelines or otherwise adversely affect our business. We also cannot be certain that, following a strategic transaction or license, we will achieve the revenue or specific net income that justifies such transaction. Any delays in entering into new collaborations or strategic partnership agreements related to any product candidate we develop could delay the development and commercialization of our product candidates, which would harm our business prospects, financial condition, and results of operations.</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advancement of our product candidates and development programs and the potential commercialization of our current and future product candidates will require substantial additional cash to fund expenses. For some of our programs, we may decide to collaborate with additional pharmaceutical and biotechnology companies with respect to development and potential commercialization. Any of these relationships may require us to incur non-recurring and other charges, increase our near- and long-term expenditures, issue securities that dilute our existing stockholders, or disrupt our management and business.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ind w:right="40"/>
        <w:spacing w:after="0" w:line="287" w:lineRule="auto"/>
        <w:rPr>
          <w:sz w:val="20"/>
          <w:szCs w:val="20"/>
          <w:color w:val="auto"/>
        </w:rPr>
      </w:pPr>
      <w:r>
        <w:rPr>
          <w:rFonts w:ascii="Arial" w:cs="Arial" w:eastAsia="Arial" w:hAnsi="Arial"/>
          <w:sz w:val="16"/>
          <w:szCs w:val="16"/>
          <w:color w:val="auto"/>
        </w:rPr>
        <w:t>We face significant competition in seeking appropriate strategic partners and the negotiation process is time-consuming and complex. Whether we reach a definitive agreement for other collaborations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progress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Further, we may not be successful in our efforts to establish a strategic partnership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17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may also be restricted under existing collaboration agreements from entering into future agreements on certain terms with potential collaborators. For example, under the Sanofi Agreement, we granted worldwide exclusive rights under our intellectual property to Sanofi for SHP2 inhibitors, and during the term of the agreement, which has been terminated effective as of June 2023, we are restricted from granting similar rights to other parties. This exclusivity could limit our ability to enter into collaborations with future collaborators.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addition, business combinations among large pharmaceutical companies have in the past and may in the future result in a reduced number of potential future collaborators.</w:t>
      </w:r>
    </w:p>
    <w:p>
      <w:pPr>
        <w:spacing w:after="0" w:line="170"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64"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conflicts arise between us and our collaborators or strategic partners, these parties may act in a manner adverse to us and could limit our ability to implement our strategies.</w:t>
      </w:r>
    </w:p>
    <w:p>
      <w:pPr>
        <w:spacing w:after="0" w:line="170"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If conflicts arise between our corporate or academic collaborators or strategic partners and us, the other party may act in a manner adverse to us and could limit our ability to implement our strategies. Sanofi, Amgen or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our product development efforts.</w:t>
      </w:r>
    </w:p>
    <w:p>
      <w:pPr>
        <w:spacing w:after="0" w:line="17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We rely on third parties to conduct the clinical trials for the product candidates we develop. If these third parties do not successfully carry out their contractual duties, comply with regulatory requirements or meet expected deadlines, we may not be able to obtain marketing approval for or commercialize our product candidates.</w:t>
      </w:r>
    </w:p>
    <w:p>
      <w:pPr>
        <w:spacing w:after="0" w:line="18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do not have the ability to independently conduct clinical trials. We and any collaboration partners who may conduct clinical trials involving our product candidates rely on medical institutions, clinical investigators, CROs, contract laboratories, and other third parties to conduct or otherwise support these clinical trials, all of which we refer to herein as our clinical trials. We and our collaborators rely heavily on these parties for execution of clinical trials and control only certain aspects of their activities. In addition, we have limited control over the activities of our collaborators who may conduct clinical trials involving our product candidates. Nevertheless, we are responsible for ensuring that each of our clinical trials is conducted in accordance with the applicable protocol, legal and regulatory requirements and scientific standards, and our reliance on third parties does not relieve us of our regulatory responsibilities. For any violations of laws and regulations during the conduct of our clinical trials, we could be subject to untitled and warning letters or enforcement action that may include civil penalties or criminal prosecution.</w:t>
      </w:r>
    </w:p>
    <w:p>
      <w:pPr>
        <w:spacing w:after="0" w:line="17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our collaborators and the other third parties involved in our clinical trials are required to comply with regulations and requirements, including GCP, for conducting, monitoring, recording and reporting the results of clinical trials to ensure that the data and results are scientifically credible and accurate, and that the trial patients are adequately informed of the potential risks of</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line="269" w:lineRule="auto"/>
        <w:rPr>
          <w:sz w:val="20"/>
          <w:szCs w:val="20"/>
          <w:color w:val="auto"/>
        </w:rPr>
      </w:pPr>
      <w:r>
        <w:rPr>
          <w:rFonts w:ascii="Arial" w:cs="Arial" w:eastAsia="Arial" w:hAnsi="Arial"/>
          <w:sz w:val="17"/>
          <w:szCs w:val="17"/>
          <w:color w:val="auto"/>
        </w:rPr>
        <w:t>participating in clinical trials and their rights are protected. These regulations are enforced by the FDA, the Competent Authorities of the Member States of the EEA and comparable foreign regulatory authorities for any drugs in clinical development. The FDA enforces GCP requirements through periodic inspections of clinical trial sponsors, principal investigators and trial sites. If we, our collaborators or other third parties fail to comply with applicable GCP, the clinical data generated in our clinical trials may be deemed unreliable and the FDA or comparable foreign regulatory authorities may require us to perform additional clinical trials before approving our marketing applications. Upon inspection, the FDA may determine that any of our current or future clinical trials do not comply with GCP. In addition, our clinical trials must be conducted with product candidates produced under cGMP regulations. Our failure or the failure of third parties to comply with these regulations may require us to repeat clinical trials, which would delay the marketing approval process and could also subject us to enforcement action. We also are required to register certain ongoing clinical trials and provide certain information, including information relating to the trial’s protocol, on a government-sponsored database, ClinicalTrials.gov, within specific timeframes. Failure to do so can result in fines, adverse publicity and civil and criminal sanctions.</w:t>
      </w:r>
    </w:p>
    <w:p>
      <w:pPr>
        <w:spacing w:after="0" w:line="185"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We have participated and in the future may participate in clinical collaborations where a partner is responsible for conduct of a clinical trial involving our product candidates. These collaborators may be commercial entities, such as Amgen’s Phase 1b trial evaluating the combination of RMC-4630 and the KRAS</w:t>
      </w:r>
      <w:r>
        <w:rPr>
          <w:rFonts w:ascii="Arial" w:cs="Arial" w:eastAsia="Arial" w:hAnsi="Arial"/>
          <w:sz w:val="23"/>
          <w:szCs w:val="23"/>
          <w:color w:val="auto"/>
          <w:vertAlign w:val="superscript"/>
        </w:rPr>
        <w:t>G12C</w:t>
      </w:r>
      <w:r>
        <w:rPr>
          <w:rFonts w:ascii="Arial" w:cs="Arial" w:eastAsia="Arial" w:hAnsi="Arial"/>
          <w:sz w:val="17"/>
          <w:szCs w:val="17"/>
          <w:color w:val="auto"/>
        </w:rPr>
        <w:t>(OFF) inhibitor sotorasib in Amgen’s CodeBreaK 101c study, Sanofi’s Phase 1/2 trial evaluating the combination of RMC-4630 and Merck’s PD-1 inhibitor pembrolizumab and the Phase 1/2 study of RMC-4630 in combination with Mirati Therapeutics’ KRAS</w:t>
      </w:r>
      <w:r>
        <w:rPr>
          <w:rFonts w:ascii="Arial" w:cs="Arial" w:eastAsia="Arial" w:hAnsi="Arial"/>
          <w:sz w:val="23"/>
          <w:szCs w:val="23"/>
          <w:color w:val="auto"/>
          <w:vertAlign w:val="superscript"/>
        </w:rPr>
        <w:t>G12C</w:t>
      </w:r>
      <w:r>
        <w:rPr>
          <w:rFonts w:ascii="Arial" w:cs="Arial" w:eastAsia="Arial" w:hAnsi="Arial"/>
          <w:sz w:val="17"/>
          <w:szCs w:val="17"/>
          <w:color w:val="auto"/>
        </w:rPr>
        <w:t>(OFF) inhibitor, adagrasib, or investigator-sponsored or initiated studies that use our product candidates, such as the Netherlands Cancer Institute's study of the combination of RMC-4630 with Eli Lilly’s investigational ERK inhibitor (LY3214996) and UCSF’s Phase 1/1b trial of RMC-5552. Although we intend to design the clinical trials for our product candidates, or be involved in the design when other parties sponsor the trials, because these collaborators will have primary responsibility for the conduct of these trials, many important aspects of our clinical development for these trials, including their conduct and timing, is outside of our direct control.</w:t>
      </w:r>
    </w:p>
    <w:p>
      <w:pPr>
        <w:spacing w:after="0" w:line="19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reliance on third parties to conduct future clinical trials will also result in less direct control over the management of data developed through clinical trials than would be the case if we were relying entirely upon our own staff. Communicating with third parties can also be challenging, potentially leading to mistakes as well as difficulties in coordinating activities. Third parties may:</w:t>
      </w:r>
    </w:p>
    <w:p>
      <w:pPr>
        <w:spacing w:after="0" w:line="76" w:lineRule="exact"/>
        <w:rPr>
          <w:sz w:val="20"/>
          <w:szCs w:val="20"/>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have incentives that are different than ours;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CROs or other third parties involved in our clinical trials do not perform these trials in a satisfactory manner, breach their obligations to us or our collaborators or fail to comply with regulatory requirements, the development, marketing approval and commercialization of our product candidates may be delayed, we may not be able to obtain marketing approval and commercialize our product candidates, or our development program may be materially and irreversibly harmed. If we are unable to rely on clinical data collected by third parties involved in our clinical trials, we could be required to repeat, extend the duration of, or increase the size of our clinical trials and this could significantly delay commercialization and require significantly greater expenditures.</w:t>
      </w:r>
    </w:p>
    <w:p>
      <w:pPr>
        <w:spacing w:after="0" w:line="1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any of our relationships with our CROs or other third parties involved in our clinical trials terminate, we may not be able to enter into arrangements with alternative CROs or other third parties on commercially reasonable terms, or at all. If CROs or other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CROs or other third parties are associated with may be extended, delayed or terminated, and we may not be able to obtain marketing approval for or successfully commercialize our product candidates.</w:t>
      </w:r>
    </w:p>
    <w:p>
      <w:pPr>
        <w:spacing w:after="0" w:line="19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clinical trial sites for our clinical studies may be affected by the COVID-19 outbreak due to prioritization of hospital resources toward the COVID-19 outbreak, travel or quarantine restrictions imposed by governments, and the inability to access sites for initiation and patient monitoring and enrollment. As a result, patient screening, new patient enrollment, monitoring and data collection may be affected or delayed. We are aware that several clinical sites involved in our clinical studies temporarily stopped or delayed enrolling new patients, with exemptions if appropriate, and it is possible that these or other clinical sites may be similarly affected in the future. These developments may delay our clinical trial timelines. Some of our third-party manufacturers which we use for the supply of materials for product candidates or other materials necessary to manufacture product to conduct clinical trials and CROs that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8" w:name="page59"/>
    <w:bookmarkEnd w:id="58"/>
    <w:p>
      <w:pPr>
        <w:ind w:right="200"/>
        <w:spacing w:after="0" w:line="277" w:lineRule="auto"/>
        <w:rPr>
          <w:sz w:val="20"/>
          <w:szCs w:val="20"/>
          <w:color w:val="auto"/>
        </w:rPr>
      </w:pPr>
      <w:r>
        <w:rPr>
          <w:rFonts w:ascii="Arial" w:cs="Arial" w:eastAsia="Arial" w:hAnsi="Arial"/>
          <w:sz w:val="18"/>
          <w:szCs w:val="18"/>
          <w:color w:val="auto"/>
        </w:rPr>
        <w:t>we may utilize may be impacted by COVID-19, and should they experience disruptions, such as temporary closures or suspension of services, we would likely experience delays in advancing these trials.</w:t>
      </w:r>
    </w:p>
    <w:p>
      <w:pPr>
        <w:spacing w:after="0" w:line="170"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b w:val="1"/>
          <w:bCs w:val="1"/>
          <w:i w:val="1"/>
          <w:iCs w:val="1"/>
          <w:color w:val="auto"/>
        </w:rPr>
        <w:t>We rely on third parties to manufacture preclinical and clinical drug supplies, and we intend to rely on third parties to produce commercial supplies of any approved product, which increases the risk that we will not have sufficient quantities of these product candidates or products or such quantities at an acceptable cost, which could delay, prevent or impair our development or commercialization efforts.</w:t>
      </w:r>
    </w:p>
    <w:p>
      <w:pPr>
        <w:spacing w:after="0" w:line="14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do not own or operate manufacturing facilities for the production of preclinical, clinical or commercial supplies of the product candidates that we are developing or evaluating in our development programs. We have limited personnel with experience in drug manufacturing and lack the resources and the capabilities to manufacture any of our product candidates on a preclinical, clinical or commercial scale. We rely on third parties for supply of our preclinical and clinical drug supplies (including key starting and intermediate materials), and our strategy is to outsource all manufacturing of our product candidates and products to third parties.</w:t>
      </w:r>
    </w:p>
    <w:p>
      <w:pPr>
        <w:spacing w:after="0" w:line="18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order to conduct clinical trials of product candidates, we will need to have them manufactured in potentially large quantities. Our third-party manufacturers may be unable to successfully increase the manufacturing capacity for any of our clinical drug supplies (including key starting and intermediate materials) in a timely or cost-effective manner, or at all. In addition, quality issues may arise during scale-up activities and at any other time. For example, ongoing data on the stability of our product candidates may shorten the expiry of our product candidates and lead to clinical trial material supply shortages, and potentially clinical trial delays. If these third-party manufacturers are unable to successfully scale up the manufacture of our product candidates in sufficient quality and quantity, the development, testing and clinical trials of that product candidate may be delayed or infeasible, and regulatory approval or commercial launch of that product candidate may be delayed or not obtained.</w:t>
      </w:r>
    </w:p>
    <w:p>
      <w:pPr>
        <w:spacing w:after="0" w:line="17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Our use of new third-party manufacturers increases the risk of delays in production or insufficient supplies of our product candidates (and the key starting and intermediate materials for such product candidates) as we transfer our manufacturing technology to these manufacturers and as they gain experience manufacturing our product candidates (and the key starting and intermediate materials for such product candidates).</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Even after a third-party manufacturer has gained significant experience in manufacturing our product candidates (or the key starting and intermediate materials for such product candidates) or even if we believe we have succeeded in optimizing the manufacturing process, there can be no assurance that such manufacturer will produce sufficient quantities of our product candidates (or the key starting and intermediate materials for such product candidates) in a timely manner or continuously over time, or at all.</w:t>
      </w:r>
    </w:p>
    <w:p>
      <w:pPr>
        <w:spacing w:after="0" w:line="146"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may be delayed if we need to change the manufacturing process used by a third party. Further, if we change an approved manufacturing process, then we may be delayed if the FDA or a comparable foreign authority needs to review the new manufacturing process before it may be used.</w:t>
      </w:r>
    </w:p>
    <w:p>
      <w:pPr>
        <w:spacing w:after="0" w:line="12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do not currently have any agreements with third-party manufacturers for long-term commercial supply. In the future, we may be unable to enter into agreements with third-party manufacturers for commercial supplies of any product candidate that we develop, or may be unable to do so on acceptable terms. Even if we are able to establish and maintain arrangements with third-party manufacturers, reliance on third-party manufacturers entails risks, including:</w:t>
      </w:r>
    </w:p>
    <w:p>
      <w:pPr>
        <w:spacing w:after="0" w:line="79" w:lineRule="exact"/>
        <w:rPr>
          <w:sz w:val="20"/>
          <w:szCs w:val="20"/>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Third-party manufacturers may not be able to comply with cGMP requirements or similar regulatory requirements outside the United States. Our failure, or the failure of our third-party manufacturers, to comply with applicable requirements could result in sanctions being imposed on us, including fines, injunctions, civil penalties, delays, suspension or withdrawal of approvals, license revocation, seizures or recalls of product candidates or products, operating restrictions and/or criminal prosecutions, any of which could significantly and adversely affect supplies of our product candidates.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Our future product candidates and any products that we may develop may compete with other product candidates and products for access to manufacturing facilities. There are a limited number of manufacturers that operate under cGMP requirements particularly for the development of monoclonal antibodies, and that might be capable of manufacturing for us.</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the third parties that we engage to supply any materials or manufacture product for our preclinical tests and clinical trials should cease to continue to do so for any reason, we likely would experience delays in advancing these tests and trials while we identify and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59" w:name="page60"/>
    <w:bookmarkEnd w:id="59"/>
    <w:p>
      <w:pPr>
        <w:spacing w:after="0" w:line="263" w:lineRule="auto"/>
        <w:rPr>
          <w:sz w:val="20"/>
          <w:szCs w:val="20"/>
          <w:color w:val="auto"/>
        </w:rPr>
      </w:pPr>
      <w:r>
        <w:rPr>
          <w:rFonts w:ascii="Arial" w:cs="Arial" w:eastAsia="Arial" w:hAnsi="Arial"/>
          <w:sz w:val="18"/>
          <w:szCs w:val="18"/>
          <w:color w:val="auto"/>
        </w:rPr>
        <w:t>qualify replacement suppliers or manufacturers and we may be unable to obtain replacement supplies on terms that are favorable to us. In addition, if we are not able to obtain adequate supplies of our product candidates or the substances used to manufacture them, it will be more difficult for us to develop our product candidates and compete effectively.</w:t>
      </w:r>
    </w:p>
    <w:p>
      <w:pPr>
        <w:spacing w:after="0" w:line="18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Some of our third-party manufacturers which we use for the supply of materials for product candidates or other materials necessary to manufacture product to conduct clinical trials are located in may be affected by COVID-19, and should they experience disruptions, such as temporary closures or suspension of services, we would likely experience delays in advancing these trials.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(or the key starting and intermediate materials for such product candidates) may adversely affect our future profit margins and our ability to develop product candidates and commercialize any products that receive marketing approval on a timely and competitive basis.</w:t>
      </w:r>
    </w:p>
    <w:p>
      <w:pPr>
        <w:spacing w:after="0" w:line="18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Our future relationships with customers and third-party payors in the United States and elsewhere may be subject, directly or indirectly, to applicable anti-kickback, fraud and abuse, false claims, transparency, health information privacy and security and other healthcare laws and regulations, which could expose us to criminal sanctions, civil penalties, contractual damages, reputational harm, administrative burdens and diminished profits and future earnings.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Healthcare providers, physicians and third-party payors in the United States and elsewhere will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including, without limitation, the federal Anti-Kickback Statute and the federal False Claims Act (FCA), which may constrain the business or financial arrangements and relationships through which we sell, market and distribute any products for which we obtain marketing approval. The applicable federal, state and foreign healthcare laws and regulations that may affect our ability to operate include:</w:t>
      </w:r>
    </w:p>
    <w:p>
      <w:pPr>
        <w:spacing w:after="0" w:line="84" w:lineRule="exact"/>
        <w:rPr>
          <w:sz w:val="20"/>
          <w:szCs w:val="20"/>
          <w:color w:val="auto"/>
        </w:rPr>
      </w:pPr>
    </w:p>
    <w:p>
      <w:pPr>
        <w:ind w:left="1020" w:right="80" w:hanging="503"/>
        <w:spacing w:after="0" w:line="254"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the Medicare and Medicaid programs or other federal healthcare programs. A person or entity can be found guilty of violating the statute without actual knowledge of the statute or specific intent to violate it. The Anti-Kickback Statute has been interpreted to apply to arrangements between pharmaceutical manufacturers on the one hand and prescribers, purchasers, and formulary managers on the other. There are a number of statutory exceptions and regulatory safe harbors protecting some common activities from prosecution;</w:t>
      </w:r>
    </w:p>
    <w:p>
      <w:pPr>
        <w:spacing w:after="0" w:line="83" w:lineRule="exact"/>
        <w:rPr>
          <w:rFonts w:ascii="Arial" w:cs="Arial" w:eastAsia="Arial" w:hAnsi="Arial"/>
          <w:sz w:val="18"/>
          <w:szCs w:val="18"/>
          <w:color w:val="auto"/>
        </w:rPr>
      </w:pPr>
    </w:p>
    <w:p>
      <w:pPr>
        <w:ind w:left="1020" w:right="20" w:hanging="503"/>
        <w:spacing w:after="0" w:line="275"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federal civil and criminal false claims laws, including the FCA, and civil monetary penalty laws, which prohibit any person or entity from, among other things, knowingly presenting, or causing to be presented, a false, fictitious or fraudulent claim for payment to, or approval by, the federal government or knowingly making, using or causing to be made or used a false record or statement material to a false or fraudulent claim to the federal government. In addition, the government may assert that a claim including items or services resulting from a violation of the federal Anti-Kickback Statute constitutes a false or fraudulent claim for purposes of the FCA;</w:t>
      </w:r>
    </w:p>
    <w:p>
      <w:pPr>
        <w:spacing w:after="0" w:line="68" w:lineRule="exact"/>
        <w:rPr>
          <w:rFonts w:ascii="Arial" w:cs="Arial" w:eastAsia="Arial" w:hAnsi="Arial"/>
          <w:sz w:val="17"/>
          <w:szCs w:val="17"/>
          <w:color w:val="auto"/>
        </w:rPr>
      </w:pPr>
    </w:p>
    <w:p>
      <w:pPr>
        <w:ind w:left="1020" w:right="20" w:hanging="503"/>
        <w:spacing w:after="0" w:line="272"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statutes or specific intent to violate them;</w:t>
      </w:r>
    </w:p>
    <w:p>
      <w:pPr>
        <w:spacing w:after="0" w:line="69" w:lineRule="exact"/>
        <w:rPr>
          <w:rFonts w:ascii="Arial" w:cs="Arial" w:eastAsia="Arial" w:hAnsi="Arial"/>
          <w:sz w:val="17"/>
          <w:szCs w:val="17"/>
          <w:color w:val="auto"/>
        </w:rPr>
      </w:pPr>
    </w:p>
    <w:p>
      <w:pPr>
        <w:ind w:left="1020" w:right="140" w:hanging="503"/>
        <w:spacing w:after="0" w:line="293" w:lineRule="auto"/>
        <w:tabs>
          <w:tab w:leader="none" w:pos="10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Physician Payments Sunshine Act, created under the ACA, and its implementing regulations, which requires manufacturers of drugs, devices, biologics and medical supplies for which payment is available under Medicare, Medicaid or the Children’s Health Insurance Program (with certain exceptions) to report annually to CMS information related to payments or other transfers of value made to physicians (defined to include doctors, dentists, optometrists, podiatrists and chiropractors), certain non-physician practitioners (physician assistants, nurse practitioners, clinical nurse specialists, certified nurse anesthetists, anesthesiologist assistants and certified nurse midwives), and teaching hospitals, as well as ownership and investment interests held by physicians and their immediate family members;</w:t>
      </w:r>
    </w:p>
    <w:p>
      <w:pPr>
        <w:spacing w:after="0" w:line="56" w:lineRule="exact"/>
        <w:rPr>
          <w:rFonts w:ascii="Arial" w:cs="Arial" w:eastAsia="Arial" w:hAnsi="Arial"/>
          <w:sz w:val="16"/>
          <w:szCs w:val="16"/>
          <w:color w:val="auto"/>
        </w:rPr>
      </w:pPr>
    </w:p>
    <w:p>
      <w:pPr>
        <w:ind w:left="1020" w:right="200" w:hanging="503"/>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p>
      <w:pPr>
        <w:ind w:left="1020" w:right="100" w:hanging="503"/>
        <w:spacing w:after="0" w:line="273" w:lineRule="auto"/>
        <w:tabs>
          <w:tab w:leader="none" w:pos="10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analogous or related foreign, state or local laws and regulations, including anti-kickback and false claims laws, which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state laws that require drug manufacturers to report information related to payments and other transfers of value to physicians and other healthcare providers or marketing expenditures.</w:t>
      </w:r>
    </w:p>
    <w:p>
      <w:pPr>
        <w:spacing w:after="0" w:line="17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Because of the breadth of the laws described above and the narrowness of the statutory exceptions and regulatory safe harbors available under them, it is possible that some of our business activities could be subject to challenge under one or more of these laws.</w:t>
      </w:r>
    </w:p>
    <w:p>
      <w:pPr>
        <w:spacing w:after="0" w:line="170"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Ensuring that our business arrangements with third parties comply with applicable healthcare laws, as well as responding to investigations by government authorities, can be time- and resource-consuming and can divert management’s attention from the business.</w:t>
      </w:r>
    </w:p>
    <w:p>
      <w:pPr>
        <w:spacing w:after="0" w:line="16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 regulations that apply to us, we may be subject to penalties, including civil, criminal and administrative penalties, damages, fines, disgorgement, individual imprisonment, possible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 any of which could harm our ability to operate our business and our financial results. Further, if the physicians or other providers or entities with whom we expect to do business are found not to be in compliance with applicable laws, they may be subject to criminal, civil or administrative sanctions, including exclusions from government funded healthcare programs. In addition, the approval and commercialization of any product candidate we develop outside the United States will also likely subject us to foreign equivalents of the healthcare laws mentioned above, among other foreign laws.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29"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b w:val="1"/>
          <w:bCs w:val="1"/>
          <w:i w:val="1"/>
          <w:iCs w:val="1"/>
          <w:color w:val="auto"/>
        </w:rPr>
        <w:t>If we and our collaborators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165"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Our success depends in significant part on our ability and the ability of our collaborators to obtain, maintain, enforce and defend patents and other intellectual property rights with respect to our product candidates and technology and to operate our business without infringing, misappropriating, or otherwise violating the intellectual property rights of others. If we and our collaborators are unable to obtain and maintain sufficient intellectual property protection for our product candidates or the product candidates that we may identify, or if the scope of the intellectual property protection obtained is not sufficiently broad, our competitors and other third parties could develop and commercialize product candidates similar or identical to ours, and our ability (and the ability of our collaborators) to successfully commercialize the product candidates that we (and our collaborators) may pursue may be impaired. Our patent coverage with respect to our clinical and preclinical programs is limited, and we can provide no assurance that any of our current or future patent applications will result in issued patents or that any issued patents will provide us with any competitive advantage. Failure to obtain such issued patents could negatively impact our ability to develop or commercialize any of our product candidates or technology.</w:t>
      </w:r>
    </w:p>
    <w:p>
      <w:pPr>
        <w:spacing w:after="0" w:line="16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seek to protect our proprietary positions by, among other things, filing patent applications in the United States and abroad related to our current product candidates and the product candidates that we may identify. Obtaining, maintaining, defending and enforcing pharmaceutical patents is costly, time consuming and complex, and we may not be able to file and prosecute all necessary or desirable patent applications, or maintain, enforce and license any patents that may issue from such patent applications, at a reasonable cost or in a timely manner. It is also possible that we will fail to identify patentable aspects of our research and development output before it is too late to obtain patent protection. We may not have the right to control the preparation, filing, prosecution and maintenance of patent applications, or to maintain the rights to patents licensed to or from third parties.</w:t>
      </w:r>
    </w:p>
    <w:p>
      <w:pPr>
        <w:spacing w:after="0" w:line="1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Although we enter into confidentiality agreements with parties who have access to confidential or patentable aspects of our research and development output, such as our employees, collaborators, CROs, contract manufacturers, consultants, advisors and other third parties, any of these parties may breach the agreements and disclose such output before a patent application is filed, thereby jeopardizing our ability to seek patent protection. Further, we may not be aware of all third-party intellectual property rights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61" w:name="page62"/>
    <w:bookmarkEnd w:id="61"/>
    <w:p>
      <w:pPr>
        <w:ind w:right="60"/>
        <w:spacing w:after="0" w:line="259" w:lineRule="auto"/>
        <w:rPr>
          <w:sz w:val="20"/>
          <w:szCs w:val="20"/>
          <w:color w:val="auto"/>
        </w:rPr>
      </w:pPr>
      <w:r>
        <w:rPr>
          <w:rFonts w:ascii="Arial" w:cs="Arial" w:eastAsia="Arial" w:hAnsi="Arial"/>
          <w:sz w:val="18"/>
          <w:szCs w:val="18"/>
          <w:color w:val="auto"/>
        </w:rPr>
        <w:t>potentially relating to our product candidates.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patents or pending patent applications, or that we were the first to file for patent protection of such inventions.</w:t>
      </w:r>
    </w:p>
    <w:p>
      <w:pPr>
        <w:spacing w:after="0" w:line="18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patent position of pharmaceutical companies generally is highly uncertain, involves complex legal, technological and factual questions and has, in recent years, been the subject of much debate and litigation throughout the world. In addition, the laws of foreign countries may not protect our rights to the same extent as the laws of the United States, or vice versa. As a result, the issuance, scope, validity, enforceability, and commercial value of our patent rights are highly uncertain. The subject matter claimed in a patent application can be significantly reduced before the patent is issued, and its scope can be reinterpreted after issuance. Therefore, our pending and future patent applications may not result in patents being issued in relevant jurisdictions that protect our product candidates, in whole or in part, or which effectively prevent others from commercializing competitive product candidates, and even if our patent applications issue as patents in relevant jurisdictions, they may not issue in a form that will provide us with any meaningful protection for our product candidates or technology, prevent competitors from competing with us or otherwise provide us with any competitive advantage. Additionally, our competitors may be able to circumvent our patents by developing similar or alternative product candidates or technologies in a non-infringing manner.</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and our patents may be challenged in the courts or patent offices in the United States and abroad. We may be subject to a third-party preissuance submission of prior art to the United States Patent and Trademark Office (the USPTO) or become involved in opposition, derivation, revocation,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challenging our patent rights or the patent rights of others, or other proceedings in the USPTO or applicable foreign offices that challenge priority of invention or other features of patentability. An adverse determination in any such submission, proceeding or litigation could result in loss of exclusivity or freedom to operate, patent claims being narrowed, invalidated or held unenforceable, in whole or in part, or limits of the scope or duration of the patent protection of our product candidates, all of which could limit our ability to stop others from using or commercializing similar or identical product candidates or technology to compete directly with us, without payment to us, or result in our inability to manufacture or commercialize products without infringing third-party patent rights.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negatively impact our ability to raise funds necessary to continue our research programs or clinical trials. Such proceedings also may result in substantial cost and require significant time from our scientists and management, even if the eventual outcome is favorable to us.</w:t>
      </w:r>
    </w:p>
    <w:p>
      <w:pPr>
        <w:spacing w:after="0" w:line="16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or technology similar or identical to ours for a meaningful amount of time, or at all. Moreover, some of our owned or licensed patents and patent applications are, and may in the future be, co-owned with third parties. If we are unable to obtain exclusive licenses to any such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in order to enforce such patents against third parties, and such cooperation may not be provided to us. Any of the foregoing could harm our competitive position, business, financial condition, results of operations and prospects.</w:t>
      </w:r>
    </w:p>
    <w:p>
      <w:pPr>
        <w:spacing w:after="0" w:line="178" w:lineRule="exact"/>
        <w:rPr>
          <w:sz w:val="20"/>
          <w:szCs w:val="20"/>
          <w:color w:val="auto"/>
        </w:rPr>
      </w:pPr>
    </w:p>
    <w:p>
      <w:pPr>
        <w:jc w:val="both"/>
        <w:ind w:right="200"/>
        <w:spacing w:after="0" w:line="340" w:lineRule="auto"/>
        <w:rPr>
          <w:sz w:val="20"/>
          <w:szCs w:val="20"/>
          <w:color w:val="auto"/>
        </w:rPr>
      </w:pPr>
      <w:r>
        <w:rPr>
          <w:rFonts w:ascii="Arial" w:cs="Arial" w:eastAsia="Arial" w:hAnsi="Arial"/>
          <w:sz w:val="15"/>
          <w:szCs w:val="15"/>
          <w:b w:val="1"/>
          <w:bCs w:val="1"/>
          <w:i w:val="1"/>
          <w:iCs w:val="1"/>
          <w:color w:val="auto"/>
        </w:rPr>
        <w:t>We have entered into licensing agreements with third parties. If we or a third party fail to comply with the obligations in the agreements under which we license intellectual property rights to or from third parties, or these agreements are terminated, or we otherwise experience disruptions to business relationships with our licensors or licensees, competitive position, business, financial condition, results of operations and prospects could be harmed.</w:t>
      </w:r>
    </w:p>
    <w:p>
      <w:pPr>
        <w:spacing w:after="0" w:line="13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addition to patent and other intellectual property rights we own or co-own, we have licensed, and may in the future license, patent and other intellectual property rights to and from other parties. Licenses may not provide us with exclusive rights to use the applicable intellectual property and technology in all relevant fields of use and in all territories in which we may wish to develop or commercialize our products and technology in the future. As a result, we may not be able to prevent competitors from developing and commercializing competitive products or technologies.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in some circumstances, we may not have the right to control the preparation, filing and prosecution of patent applications or to maintain, defend and enforce the patents that we license to or from third parties, and we may have to rely on our partners to fulfill these responsibilities. For example, in June 2018, we entered into the Sanofi Agreement, wherein we exclusively licensed the worldwide rights in our SHP2 inhibitor program, including RMC-4630, to Sanofi. The Sanofi Agreement has been terminated effective as of June 2023. Although we have review and comment rights regarding patent prosecution decisions while the agreement remains in effect, Sanofi retains ultimate decision-making control, as well as the sole and exclusive right to enforce infringement of or defend claims against patents that relate to SHP2 inhibitor products licensed to it pursuant to the Sanofi Agreement. Consequently,</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ind w:right="100"/>
        <w:spacing w:after="0" w:line="275" w:lineRule="auto"/>
        <w:rPr>
          <w:sz w:val="20"/>
          <w:szCs w:val="20"/>
          <w:color w:val="auto"/>
        </w:rPr>
      </w:pPr>
      <w:r>
        <w:rPr>
          <w:rFonts w:ascii="Arial" w:cs="Arial" w:eastAsia="Arial" w:hAnsi="Arial"/>
          <w:sz w:val="17"/>
          <w:szCs w:val="17"/>
          <w:color w:val="auto"/>
        </w:rPr>
        <w:t>any such licensed patents and applications may not be prepared, filed, prosecuted, maintained, enforced, and defended in a manner consistent with the best interests of our business. In connection with the termination of the Sanofi Agreement, we will regain all decision-making and operational rights with respect to patents and applications solely owned by us, except as necessary to permit Sanofi to perform any surviving obligations under the Sanofi Agreement. The failure to successfully manage the transition from Sanofi to us of these patent rights and patent rights of patents and applications jointly owned with Sanofi or solely owned by Sanofi may negatively impact our ability to effectively manage our patent portfolio.</w:t>
      </w:r>
    </w:p>
    <w:p>
      <w:pPr>
        <w:spacing w:after="0" w:line="17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If our current or future licensors, licensees or collaborators fail to prepare, file, prosecute, maintain, enforce, and defend licensed patents and other intellectual property rights, such rights may be reduced or eliminated, and our right to develop and commercialize any of our product candidates or technology that are the subject of such licensed rights could be adversely affected. In addition, our licensors may own or control intellectual property that has not been licensed to us and, as a result, we may be subject to claims, regardless of their merit, that we are infringing or otherwise violating the licensor’s rights.</w:t>
      </w:r>
    </w:p>
    <w:p>
      <w:pPr>
        <w:spacing w:after="0" w:line="18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If we fail to comply with our obligations in the agreements under which we license intellectual property rights from third parties, the licensor may have the right to terminate the license. If these agreements are terminated, the underlying patents fail to provide the intended exclusivity or we otherwise experience disruptions to our business relationships with our licensors, we could lose intellectual property rights that are important to our business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having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16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addition, the research resulting in certain of our owned and in-licensed patent rights and technology was funded in part by the U.S. federal or state governments. As a result, the government may have certain rights, including march-in rights, to such patent rights and technology. When new technologies are developed with government funding, the government generally obtains certain rights in any resulting patents, including a non-exclusive license authorizing the government to use the invention for noncommercial purposes. These rights may permit the government to disclose our confidential information to third parties or allow third parties to use our licensed technology. The government can exercise its march-in rights if it determines that action is necessary because we fail to achieve practical application of the government-funded technology,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the United States. Any of the foregoing could harm our competitive position, business, financial condition, results of operations and prospects.</w:t>
      </w:r>
    </w:p>
    <w:p>
      <w:pPr>
        <w:spacing w:after="0" w:line="18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Licensing of intellectual property is of critical importance to our business and involves complex legal, business and scientific issues and certain provisions in intellectual property license agreements may be susceptible to multiple interpretations. Disputes may arise between us and our licensing partners regarding intellectual property subject to a license agreement, including:</w:t>
      </w:r>
    </w:p>
    <w:p>
      <w:pPr>
        <w:spacing w:after="0" w:line="76"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whether and the extent to which technology and processes of one party infringe on intellectual property of the other party that are not subject to the licensing agreement;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rights to sublicense patent and other rights to third parties;</w:t>
      </w:r>
    </w:p>
    <w:p>
      <w:pPr>
        <w:spacing w:after="0" w:line="117" w:lineRule="exact"/>
        <w:rPr>
          <w:rFonts w:ascii="Arial" w:cs="Arial" w:eastAsia="Arial" w:hAnsi="Arial"/>
          <w:sz w:val="18"/>
          <w:szCs w:val="18"/>
          <w:color w:val="auto"/>
        </w:rPr>
      </w:pPr>
    </w:p>
    <w:p>
      <w:pPr>
        <w:ind w:left="1020" w:right="120" w:hanging="503"/>
        <w:spacing w:after="0" w:line="277"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diligence obligations with respect to the use of the licensed technology in relation to development and commercialization of our product candidates, and what activities satisfy those diligence obligations;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rights to transfer or assign the license;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effects of termination.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harm our business, financial condition, results of operations and prospects. Moreover, 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jc w:val="both"/>
        <w:ind w:right="100"/>
        <w:spacing w:after="0" w:line="263" w:lineRule="auto"/>
        <w:rPr>
          <w:sz w:val="20"/>
          <w:szCs w:val="20"/>
          <w:color w:val="auto"/>
        </w:rPr>
      </w:pPr>
      <w:r>
        <w:rPr>
          <w:rFonts w:ascii="Arial" w:cs="Arial" w:eastAsia="Arial" w:hAnsi="Arial"/>
          <w:sz w:val="18"/>
          <w:szCs w:val="18"/>
          <w:color w:val="auto"/>
        </w:rPr>
        <w:t>In addition, if our licensors or licensees fail to abide by the terms of the license, if the licensors or licensees fail to prevent infringement by third parties or if the licensed patents or other rights are found to be invalid or unenforceable, our business, competitive position, financial condition, results of operations and prospects could be materially harmed.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obtain licenses from third parties on commercially reasonable terms or at all, our business could be harmed.</w:t>
      </w:r>
    </w:p>
    <w:p>
      <w:pPr>
        <w:spacing w:after="0" w:line="22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 party intellectual property rights on terms that would allow us to make an appropriate return on our investment or at all. If we are unable to license needed technology, or if we are forced to license this technology on unfavorable terms, our business could be materially harmed. If we are unable to obtain a necessary license, we may be unable to develop or commercialize the affected product candidates,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 same technologies licensed to us.</w:t>
      </w:r>
    </w:p>
    <w:p>
      <w:pPr>
        <w:spacing w:after="0" w:line="18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product candidates.</w:t>
      </w:r>
    </w:p>
    <w:p>
      <w:pPr>
        <w:spacing w:after="0" w:line="146"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product candidates in any jurisdiction.</w:t>
      </w:r>
    </w:p>
    <w:p>
      <w:pPr>
        <w:spacing w:after="0" w:line="2"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For example, U.S. patent applications filed before November 29, 2000 and certain U.S. patent applications filed after that date that will not be filed outside the United States remain confidential until patents issue. Patent applications in the United States and elsewhere are published approximately 18 months after the earliest filing for which priority is claimed, with the earliest filing date being commonly referred to as the priority date. Therefore, patent applications covering our product candidates could have been filed by third parties without our knowledge. Additionally, pending patent applications that have been published can, subject to certain limitations, be later amended in a manner that could cover our product candidates or the use of our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 candidates. We may incorrectly determine that our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 candidates.</w:t>
      </w:r>
    </w:p>
    <w:p>
      <w:pPr>
        <w:spacing w:after="0" w:line="1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If we fail to identify and correctly interpret relevant patents, we may be subject to infringement claims. We cannot guarantee that we will be able to successfully settle or otherwise resolve any infringement claims. If we fail in any of these disputes, in addition to being forced to pay damages, which may be significant,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sufficient rights to exclude others from commercializing product candidates similar or identical to ours for a meaningful amount of time, or at all.</w:t>
      </w:r>
    </w:p>
    <w:p>
      <w:pPr>
        <w:spacing w:after="0" w:line="17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Depending upon the timing, duration and conditions of any FDA marketing approval of our product candidates, one or more of our owned or licensed U.S. patents may be eligible for limited patent term extension under the Drug Price Competition and Patent Term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4" w:name="page65"/>
    <w:bookmarkEnd w:id="64"/>
    <w:p>
      <w:pPr>
        <w:ind w:right="40"/>
        <w:spacing w:after="0" w:line="269" w:lineRule="auto"/>
        <w:rPr>
          <w:sz w:val="20"/>
          <w:szCs w:val="20"/>
          <w:color w:val="auto"/>
        </w:rPr>
      </w:pPr>
      <w:r>
        <w:rPr>
          <w:rFonts w:ascii="Arial" w:cs="Arial" w:eastAsia="Arial" w:hAnsi="Arial"/>
          <w:sz w:val="17"/>
          <w:szCs w:val="17"/>
          <w:color w:val="auto"/>
        </w:rPr>
        <w:t>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the case.</w:t>
      </w:r>
    </w:p>
    <w:p>
      <w:pPr>
        <w:spacing w:after="0" w:line="18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Also, there are detailed rules and requirements regarding the patents that may be submitted to the FDA for listing in the Approved Drug Products with Therapeutic Equivalence Evaluations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Filing, prosecuting, maintaining, defending and enforcing patents on our product candidates in all countries throughout the world would be prohibitively expensive, and our intellectual property rights in some countries outside the United States can be less extensive than those in the United States. In addition, the laws and enforcement practices of some foreign countries do not protect intellectual property rights to the same extent as federal and state laws in the United States. The current conflict between Russia and Ukraine may also make it difficult or impossible to continue to prosecute patent applications or maintain patents in those countries or other affected territories.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94" w:lineRule="exact"/>
        <w:rPr>
          <w:sz w:val="20"/>
          <w:szCs w:val="20"/>
          <w:color w:val="auto"/>
        </w:rPr>
      </w:pPr>
    </w:p>
    <w:p>
      <w:pPr>
        <w:jc w:val="both"/>
        <w:ind w:right="60"/>
        <w:spacing w:after="0" w:line="287"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some countries do not favor the enforcement or protection of patents, trade secrets and other intellectual property, which could make it difficult for us to stop the infringement of our patents or marketing of competing products in violation of our intellectual property and proprietary rights generally.</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Proceedings to enforce our intellectual property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w:t>
      </w:r>
    </w:p>
    <w:p>
      <w:pPr>
        <w:spacing w:after="0" w:line="19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Many foreign countries, including some European Union countries, India, Japan and China, have compulsory licensing laws under which a patent owner may be compelled under specified circumstances to grant licenses to third parties. In addition, many countries limit the enforceability of patents against government agencies or government contractors. In those countries, we may have limited remedies if patents are infringed or if we are compelled to grant a license to a third party, which could materially diminish the value of the applicable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patent law could diminish the value of patents in general, thereby impairing our ability to protect our product candidates.</w:t>
      </w:r>
    </w:p>
    <w:p>
      <w:pPr>
        <w:spacing w:after="0" w:line="23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Obtaining and enforcing patents in the pharmaceutical industry is inherently uncertain, due in part to ongoing changes in the patent laws. For example, in the United States, depending on decisions by Congress, the federal courts, and the USPTO, the laws and regulations governing patents, and interpretation thereof, could change in unpredictable ways that could weaken our and our licensors’ or collaborators’ ability to obtain new patents or to enforce existing or future patents. For example, the U.S. Supreme Court has ruled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5" w:name="page66"/>
    <w:bookmarkEnd w:id="65"/>
    <w:p>
      <w:pPr>
        <w:jc w:val="both"/>
        <w:ind w:right="140"/>
        <w:spacing w:after="0" w:line="263" w:lineRule="auto"/>
        <w:rPr>
          <w:sz w:val="20"/>
          <w:szCs w:val="20"/>
          <w:color w:val="auto"/>
        </w:rPr>
      </w:pPr>
      <w:r>
        <w:rPr>
          <w:rFonts w:ascii="Arial" w:cs="Arial" w:eastAsia="Arial" w:hAnsi="Arial"/>
          <w:sz w:val="18"/>
          <w:szCs w:val="18"/>
          <w:color w:val="auto"/>
        </w:rPr>
        <w:t>on several patent cases in recent years, either narrowing the scope of patent protection available in certain circumstances or weakening the rights of patent owners in certain situations. Therefore, there is increased uncertainty with regard to our and our licensors’ or collaborators’ ability to obtain patents in the future, as well as uncertainty with respect to the value of patents once obtained.</w:t>
      </w:r>
    </w:p>
    <w:p>
      <w:pPr>
        <w:spacing w:after="0" w:line="184"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Patent reform legislation could increase the uncertainties and costs surrounding the prosecution of our and our licensors’ or collaborators’ patent applications and the enforcement or defense of our or our licensors’ or collaborators’ issued patents. For example,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America Invents Act (the Leahy-Smith Act) enacted in September 2011,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The Leahy-Smith Act also includes a number of significant changes that affect the way patent applications are prosecuted and may also affect patent litigation. These include allowing third-party submission of prior art to the USPTO during patent prosecution and additional procedures to challenge the validity of a patent by USPTO-administered post-grant proceedings, including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derivation proceedings. The USPTO has developed regulations and procedures to govern administration of the Leahy-Smith Act, and many of the substantive changes to patent law associated with the Leahy-Smith Act, particularly the first inventor-to-file provisions. Accordingly, it is not clear what, if any, impact the Leahy-Smith Act will have on the operation of our business. However, the Leahy-Smith Act and its implementation could increase the uncertainties and costs surrounding the prosecution of our or our licensors’ patent applications and the enforcement or defense of our or our licensors’ issued patents. Similarly, statutory or judicial changes to the patent laws of other countries may increase the uncertainties and costs surrounding the prosecution of patent applications and the enforcement or defense of issued patents.</w:t>
      </w:r>
    </w:p>
    <w:p>
      <w:pPr>
        <w:spacing w:after="0" w:line="182"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2012, the European Patent Package (the EU Patent Package) regulations were passed with the goal of providing a single pan-European Unitary Patent and a new European Unified Patent Court (the UPC), for litigation involving European patents. Implementation of the EU Patent Package is planned for June 2023. Under the UPC, all European patents, including those issued prior to ratification of the European Patent Package, will by default automatically fall under the jurisdiction of the UPC. The UPC will provide our competitors with a new forum to centrally revoke our European patents, and allow for the possibility of a competitor to obtain pan-European injunctions. It will be several years before we will understand the scope of patent rights that will be recognized and the strength of patent remedies that will be provided by the UPC. As the UPC is a new court system, there is no precedent for the court, increasing the uncertainty of any litigation. Under the EU Patent Package, we will have the right to opt our patents out of the UPC over the first seven years of the court’s existence, but doing so may preclude us from realizing the benefits, if any, of the new unified court.</w:t>
      </w:r>
    </w:p>
    <w:p>
      <w:pPr>
        <w:spacing w:after="0" w:line="178" w:lineRule="exact"/>
        <w:rPr>
          <w:sz w:val="20"/>
          <w:szCs w:val="20"/>
          <w:color w:val="auto"/>
        </w:rPr>
      </w:pPr>
    </w:p>
    <w:p>
      <w:pPr>
        <w:jc w:val="both"/>
        <w:ind w:right="5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Periodic maintenance fees, renewal fees, annuity fees, and various other fees are required to be paid to the USPTO and foreign patent agencies in several stages over the lifetime of a patent. In certain circumstances, we rely on our licensors and collaborators to pay these fees. The USPTO and various foreign patent agencies also require compliance with a number of procedural, documentary, fee payment and other similar requirements during the patent application and prosecution process. Non-compliance events that could result in abandonment or lapse of a patent or patent application include failure to respond to official communications within prescribed time limits, non-payment of fees and failure to properly legalize and submit formal documents. While an inadvertent lapse can in some cases be cured by payment of a late fee or by other means in accordance with the applicable rules, there are situations in which non-compliance can result in irrevocable abandonment or lapse of the patent or patent application, resulting in partial or complete loss of patent rights in the relevant jurisdiction. If we or our licensors or collaborators fail to maintain the patents and patent applications covering our product candidates, our competitors might be able to enter the market with similar or identical products or technology, which would harm our business, financial condition, results of operations and prospects.</w:t>
      </w:r>
    </w:p>
    <w:p>
      <w:pPr>
        <w:spacing w:after="0" w:line="185" w:lineRule="exact"/>
        <w:rPr>
          <w:sz w:val="20"/>
          <w:szCs w:val="20"/>
          <w:color w:val="auto"/>
        </w:rPr>
      </w:pPr>
    </w:p>
    <w:p>
      <w:pPr>
        <w:ind w:right="360"/>
        <w:spacing w:after="0" w:line="381" w:lineRule="auto"/>
        <w:rPr>
          <w:sz w:val="20"/>
          <w:szCs w:val="20"/>
          <w:color w:val="auto"/>
        </w:rPr>
      </w:pPr>
      <w:r>
        <w:rPr>
          <w:rFonts w:ascii="Arial" w:cs="Arial" w:eastAsia="Arial" w:hAnsi="Arial"/>
          <w:sz w:val="15"/>
          <w:szCs w:val="15"/>
          <w:b w:val="1"/>
          <w:bCs w:val="1"/>
          <w:i w:val="1"/>
          <w:iCs w:val="1"/>
          <w:color w:val="auto"/>
        </w:rPr>
        <w:t>We may become involved in lawsuits to protect or enforce our patents or other intellectual property, which could be expensive, time-consuming and unsuccessful, and issued patents covering our technology and product candidates could be found invalid or unenforceable if challenged.</w:t>
      </w:r>
    </w:p>
    <w:p>
      <w:pPr>
        <w:spacing w:after="0" w:line="10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Competitors and other third parties may infringe or otherwise violate our issued patents or other intellectual property or the patents or other intellectual property of our licensors. In addition, our patents or the patents of our licensors may become involved in inventorship or priority disputes. Our pending patent applications cannot be enforced against third parties practicing the technology claimed in such applications unless and until a patent issues from such applications. To counter infringement or other unauthorized use, we may be required to file infringement claims, which can be expensive and time-consuming. Our ability to enforce patent rights also depends on our ability to detect infringement. It may be difficult to detect infringers who do not advertise the components or methods that are used in connection with their products and services. Moreover, it may be difficult or impossible to obtain evidence of</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jc w:val="both"/>
        <w:spacing w:after="0" w:line="273" w:lineRule="auto"/>
        <w:rPr>
          <w:sz w:val="20"/>
          <w:szCs w:val="20"/>
          <w:color w:val="auto"/>
        </w:rPr>
      </w:pPr>
      <w:r>
        <w:rPr>
          <w:rFonts w:ascii="Arial" w:cs="Arial" w:eastAsia="Arial" w:hAnsi="Arial"/>
          <w:sz w:val="17"/>
          <w:szCs w:val="17"/>
          <w:color w:val="auto"/>
        </w:rPr>
        <w:t>infringement in a competitor’s or potential competitor’s product or service. Any claims we assert against perceived infringers could provoke these parties to assert counterclaims against us alleging that we infringe their patents or that our patents are invalid or unenforceable.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An adverse result in any litigation proceeding could put one or more of our owned or licensed patents at risk of being invalidated, held unenforceable or interpreted narrowly. We may find it impractical or undesirable to enforce our intellectual property against some third parties.</w:t>
      </w:r>
    </w:p>
    <w:p>
      <w:pPr>
        <w:spacing w:after="0" w:line="17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 xml:space="preserve">If we were to initiate legal proceedings against a third party to enforce a patent directed to our product candidates, or one of our future product candidates, the defendant could counterclaim that our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non-enablement or insufficient written description. Grounds for an unenforceability assertion could be an allegation that someone connected with prosecution of the patent withheld relevant information from the USPTO or made a misleading statement during prosecution. Third parties may also raise similar claims before the USPTO or an equivalent foreign body, even outside the context of litigation. Potential proceedings include re-examination, post-grant review,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interference proceedings, derivation proceedings and equivalent proceedings in foreign jurisdictions (e.g., opposition proceedings). Such proceedings could result in the revocation of, cancellation of, or amendment to our patents in such a way that they no longer cover our technology or any product candidates that we may develop. The outcome following legal assertions of invalidity and unenforceability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the applicable product candidates or technology covered by the patent rendered invalid or unenforceable.</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Interference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materially harmed if the prevailing party does not offer us a license on commercially reasonable terms.</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Some of our competitors are larger than we are and have substantially greater resources. They are, therefore, likely to be able to sustain the costs of complex patent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our intellectual property. Even if resolved in our favor, litigation or other legal proceedings relating to intellectual property claims could result in substantial costs and diversion of management resources, which could harm our business. In addition, the uncertainties associated with litigation could compromise our ability to raise the funds necessary to continue our clinical trials, continue our internal research programs, or in-license needed technology or other product candidates. There could also be public announcements of the results of the hearing, motions, or other interim proceedings or developments. If securities analysts or investors perceive those results to be negative, it could cause the price of shares of our common stock to decline.</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negatively impact the success of our business.</w:t>
      </w:r>
    </w:p>
    <w:p>
      <w:pPr>
        <w:spacing w:after="0" w:line="17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Our commercial success depends upon our ability to develop, manufacture, market and sell our product candidates and use our proprietary technologies without infringing, misappropriating or otherwise violating the intellectual property and other proprietary rights of third parties. There is considerable intellectual property litigation in the pharmaceutical industry.</w:t>
      </w:r>
    </w:p>
    <w:p>
      <w:pPr>
        <w:spacing w:after="0" w:line="18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We may become party to, or threatened with, future adversarial proceedings or litigation regarding intellectual property rights with respect to our product candidates and their manufacture and our other technology, including re-examination, interference,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derivation proceedings before the USPTO or an equivalent foreign body. Numerous U.S. and foreign issued patents and pending patent applications owned by third parties exist in the fields in which we are developing our product candidates. Third parties may assert infringement claims against us based on existing patents or patents that may be granted in the future, regardless of their merit.</w:t>
      </w:r>
    </w:p>
    <w:p>
      <w:pPr>
        <w:spacing w:after="0" w:line="188"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Even if we believe third-party intellectual property claims are without merit, there is no assurance that a court would find in our favor on questions of infringement, validity, enforceability or priority. A court of competent jurisdiction could hold that third-party patents asserted against us are valid, enforceable and infringed, which could materially and adversely affect our ability to commercialize any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line="268" w:lineRule="auto"/>
        <w:rPr>
          <w:sz w:val="20"/>
          <w:szCs w:val="20"/>
          <w:color w:val="auto"/>
        </w:rPr>
      </w:pPr>
      <w:r>
        <w:rPr>
          <w:rFonts w:ascii="Arial" w:cs="Arial" w:eastAsia="Arial" w:hAnsi="Arial"/>
          <w:sz w:val="17"/>
          <w:szCs w:val="17"/>
          <w:color w:val="auto"/>
        </w:rPr>
        <w:t>product candidates we may develop and any other product candidates or technologies covered by the asserted third-party patents. In order to successfully challenge the validity of a U.S. patent in federal court, we would need to overcome a presumption of validity. As this burden is a high one requiring us to present clear and convincing evidence as to the invalidity of a U.S. patent claim, there is no assurance that a court of competent jurisdiction would invalidate the claims of any such U.S. patent. If we are found to infringe, misappropriate or otherwise violate a third party’s intellectual property rights, and we are unsuccessful in demonstrating that these rights are invalid or unenforceable, we could be required to obtain a license from such a third party in order to continue developing and marketing our products and technology.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A finding of infringement could prevent us from commercializing our product candidates or force us to cease some of our business operations. In the event of a successful claim of infringement against us, we may have to pay substantial damages, including treble damages and attorneys’ fees for willful infringement, pay royalties and other fees, redesign our infringing product candidate or obtain one or more licenses from third parties, which may be impossible or require substantial time and monetary expenditure. Claims that we have misappropriated the confidential information or trade secrets of third parties could have a similar negative impact on our business.</w:t>
      </w:r>
    </w:p>
    <w:p>
      <w:pPr>
        <w:spacing w:after="0" w:line="186"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We may be subject to claims by third parties asserting that we or our employees have infringed upon, misappropriated or otherwise violated their intellectual property rights, or claiming ownership of what we regard as our own intellectual property.</w:t>
      </w:r>
    </w:p>
    <w:p>
      <w:pPr>
        <w:spacing w:after="0" w:line="14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Many of our employees were previously employed at other biotechnology or pharmaceutical companies and our consultants and advisors may work for other biotechnology or pharmaceutical companies in addition to us.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of these individuals’ former or concurrent employers or clients. We may also be subject to claims that patents and applications we have filed to protect inventions of our employees, consultants and advisors, even those related to one or more of our product candidates, are rightfully owned by their former or concurrent employer. Litigation may be necessary to defend against these claims.</w:t>
      </w:r>
    </w:p>
    <w:p>
      <w:pPr>
        <w:spacing w:after="0" w:line="19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Even if we are successful in prosecuting or defending against these claims, litigation could result in substantial costs, delay development of our product candidates and be a distraction to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225"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While it is our policy to require our employees and contractors who may be involved in the development of intellectual property to execute agreements assigning this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3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continue our clinical trials, continue our research programs, license necessary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technology from third parties, or enter into development collaborations that would help us commercialize our product candidates, if approved.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5"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rely on trade secrets and confidentiality agreements to protect our unpatented know-how, technology and other proprietary information (including unpatented know-how associated with Warp Drive Bio) and to maintain our competitive position. Trade secrets and know-how can be difficult to protect. We seek to protect these trade secrets and other proprietary technology, in part, by entering into non-disclosure and confidentiality agreements with parties who have access to them, such as our employees, collaborators, CROs, contract manufacturers, consultants, advisors and other third parties. We also enter into confidentiality and invention or patent assignment agreements with our employees and consultants. We cannot guarantee that we have entered into these agreements with each party that may have or has had access to our trade secrets or proprietary technology and processes. Despite our efforts, any of these parties may breach the agreements and disclose our proprietary information, including our trade secrets, and we may not be able to obtain adequate remedies for such breaches. Unauthorized parties may also attempt to copy or reverse engineer certain aspects of our products that we consider proprietary. Monitoring unauthorized uses and disclosures is difficult, and we do not know whether the steps we have taken to protect our proprietary information will be effective.</w:t>
      </w:r>
    </w:p>
    <w:p>
      <w:pPr>
        <w:spacing w:after="0" w:line="18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materially and adversely harmed.</w:t>
      </w:r>
    </w:p>
    <w:p>
      <w:pPr>
        <w:spacing w:after="0" w:line="1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62" w:lineRule="exact"/>
        <w:rPr>
          <w:sz w:val="20"/>
          <w:szCs w:val="20"/>
          <w:color w:val="auto"/>
        </w:rPr>
      </w:pPr>
    </w:p>
    <w:p>
      <w:pPr>
        <w:ind w:left="1020" w:right="12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any product candidates we may develop or utilize similar technology but that are not covered by the claims of our patents or the patents that we license or may own in the future;</w:t>
      </w:r>
    </w:p>
    <w:p>
      <w:pPr>
        <w:spacing w:after="0" w:line="62" w:lineRule="exact"/>
        <w:rPr>
          <w:rFonts w:ascii="Arial" w:cs="Arial" w:eastAsia="Arial" w:hAnsi="Arial"/>
          <w:sz w:val="18"/>
          <w:szCs w:val="18"/>
          <w:color w:val="auto"/>
        </w:rPr>
      </w:pPr>
    </w:p>
    <w:p>
      <w:pPr>
        <w:ind w:left="1020" w:right="38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or our current or future licensors, might not have been the first to make the inventions covered by an issued patent or pending patent application that we license or may own in the future;</w:t>
      </w:r>
    </w:p>
    <w:p>
      <w:pPr>
        <w:spacing w:after="0" w:line="62" w:lineRule="exact"/>
        <w:rPr>
          <w:rFonts w:ascii="Arial" w:cs="Arial" w:eastAsia="Arial" w:hAnsi="Arial"/>
          <w:sz w:val="18"/>
          <w:szCs w:val="18"/>
          <w:color w:val="auto"/>
        </w:rPr>
      </w:pPr>
    </w:p>
    <w:p>
      <w:pPr>
        <w:ind w:left="1080" w:hanging="563"/>
        <w:spacing w:after="0"/>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or our current or future licensors might not have been the first to file patent applications covering certain of our or their inventions;</w:t>
      </w:r>
    </w:p>
    <w:p>
      <w:pPr>
        <w:spacing w:after="0" w:line="128" w:lineRule="exact"/>
        <w:rPr>
          <w:rFonts w:ascii="Arial" w:cs="Arial" w:eastAsia="Arial" w:hAnsi="Arial"/>
          <w:sz w:val="17"/>
          <w:szCs w:val="17"/>
          <w:color w:val="auto"/>
        </w:rPr>
      </w:pPr>
    </w:p>
    <w:p>
      <w:pPr>
        <w:ind w:left="1020" w:right="22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owned or licensed intellectual property rights;</w:t>
      </w:r>
    </w:p>
    <w:p>
      <w:pPr>
        <w:spacing w:after="0" w:line="62" w:lineRule="exact"/>
        <w:rPr>
          <w:rFonts w:ascii="Arial" w:cs="Arial" w:eastAsia="Arial" w:hAnsi="Arial"/>
          <w:sz w:val="18"/>
          <w:szCs w:val="18"/>
          <w:color w:val="auto"/>
        </w:rPr>
      </w:pPr>
    </w:p>
    <w:p>
      <w:pPr>
        <w:ind w:left="1020" w:right="140" w:hanging="503"/>
        <w:spacing w:after="0" w:line="277" w:lineRule="auto"/>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it is possible that our pending owned or licensed patent applications or those that we may own or license in the future will not lead to issued patents;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9" w:name="page70"/>
    <w:bookmarkEnd w:id="69"/>
    <w:p>
      <w:pPr>
        <w:ind w:left="1020" w:hanging="503"/>
        <w:spacing w:after="0"/>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28" w:lineRule="exact"/>
        <w:rPr>
          <w:rFonts w:ascii="Arial" w:cs="Arial" w:eastAsia="Arial" w:hAnsi="Arial"/>
          <w:sz w:val="17"/>
          <w:szCs w:val="17"/>
          <w:color w:val="auto"/>
        </w:rPr>
      </w:pPr>
    </w:p>
    <w:p>
      <w:pPr>
        <w:ind w:left="1020" w:right="700" w:hanging="503"/>
        <w:spacing w:after="0" w:line="308" w:lineRule="auto"/>
        <w:tabs>
          <w:tab w:leader="none" w:pos="10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38" w:lineRule="exact"/>
        <w:rPr>
          <w:rFonts w:ascii="Arial" w:cs="Arial" w:eastAsia="Arial" w:hAnsi="Arial"/>
          <w:sz w:val="17"/>
          <w:szCs w:val="17"/>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17" w:lineRule="exact"/>
        <w:rPr>
          <w:rFonts w:ascii="Arial" w:cs="Arial" w:eastAsia="Arial" w:hAnsi="Arial"/>
          <w:sz w:val="18"/>
          <w:szCs w:val="18"/>
          <w:color w:val="auto"/>
        </w:rPr>
      </w:pPr>
    </w:p>
    <w:p>
      <w:pPr>
        <w:ind w:left="1020" w:right="280" w:hanging="503"/>
        <w:spacing w:after="0" w:line="277" w:lineRule="auto"/>
        <w:tabs>
          <w:tab w:leader="none" w:pos="10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intellectual property.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are highly dependent on our key personnel, and if we are not successful in attracting, motivating and retaining highly qualified personnel, we may not be able to successfully implement our business strategy.</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highly dependent on members of our executive team. The loss of the services of any of them may adversely impact the achievement of our objectives. Any of our executive officers could leave our employment at any time, as all of our employees are “at-will” employees. We currently do not have “key person” insurance on any of our employees. The loss of the services of one or more of our key personnel might impede the achievement of our research, development and commercialization objectives.</w:t>
      </w:r>
    </w:p>
    <w:p>
      <w:pPr>
        <w:spacing w:after="0" w:line="18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Recruiting and retaining qualified employees, consultants and advisors for our business, including scientific and technical personnel, is critical to our success. Competition for skilled personnel is intense and the turnover rate can be high. We may not be able to attract and retain personnel on acceptable terms given the competition among numerous pharmaceutical and biotechnology companies and academic institutions for skilled individuals. In addition, failure to succeed in preclinical studies, clinical trials or applications for marketing approval may make it more challenging to recruit and retain qualified personnel. The inability to recruit, or the loss of services of certain executives, key employees, consultants or advisors, may impede the progress of our research, development and commercialization objectives.</w:t>
      </w:r>
    </w:p>
    <w:p>
      <w:pPr>
        <w:spacing w:after="0" w:line="19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currently have no sales organization. If we are unable to establish sales capabilities on our own or through third parties, we may not be able to market and sell any products effectively, if approved, or generate product revenue.</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currently do not have a marketing or sales organization. In order to commercialize any product, if approved, in the United States and foreign jurisdictions, we must build our marketing, sales, distribution, managerial and other non-technical capabilities or make arrangements with third parties to perform these services, and we may not be successful in doing so. In advance of any of our product candidates receiving regulatory approval, we expect to establish a sales organization with technical expertise and supporting distribution capabilities to commercialize each such product candidate, which will be expensive and time-consuming. We have no prior experience in the marketing, sale and distribution of pharmaceutical products, and there are significant risks involved in building 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choose to collaborate with third parties that have direct sales forces and established distribution systems, either to augment our own sales force and distribution systems or in lieu of our own sales force and distribution systems. If we are unable to enter into such arrangements on acceptable terms or at all, we may not be able to successfully commercialize our product candidates.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need to grow the size of our organization, and we may experience difficulties in managing this growth.</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of December 31, 2022, we had 246 full-time employees, including 202 employees engaged in research and development. As our development and commercialization plans and strategies develop, and as we operate as a public company, we expect to need additional managerial, research and development, operational, sales, marketing, financial and other personnel. Future growth would impose significant added responsibilities on members of management, including:</w:t>
      </w:r>
    </w:p>
    <w:p>
      <w:pPr>
        <w:spacing w:after="0" w:line="79" w:lineRule="exact"/>
        <w:rPr>
          <w:sz w:val="20"/>
          <w:szCs w:val="20"/>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and FDA review process for any product candidate we develop, while complying with our contractual obligations to contractors and other third parties;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0" w:name="page71"/>
    <w:bookmarkEnd w:id="70"/>
    <w:p>
      <w:pPr>
        <w:jc w:val="both"/>
        <w:ind w:right="500"/>
        <w:spacing w:after="0" w:line="286" w:lineRule="auto"/>
        <w:rPr>
          <w:sz w:val="20"/>
          <w:szCs w:val="20"/>
          <w:color w:val="auto"/>
        </w:rPr>
      </w:pPr>
      <w:r>
        <w:rPr>
          <w:rFonts w:ascii="Arial" w:cs="Arial" w:eastAsia="Arial" w:hAnsi="Arial"/>
          <w:sz w:val="17"/>
          <w:szCs w:val="17"/>
          <w:color w:val="auto"/>
        </w:rPr>
        <w:t>Our future financial performance and our ability to advance development of and, if approved, commercialize any product candidate we develop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currently rely, and for the foreseeable future will continue to rely, in substantial part on certain independent organizations, advisors and consultants to provide certain services, including substantially all aspects of marketing approval,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marketing approval of any current or future product candidates or otherwise advance our business. We cannot assure you that we will be able to manage our existing consultants or find other competent outside contractors and consultants on economically reasonable terms, or at all.</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we are not able to effectively expand our organization by hiring new employees and expanding our groups of consultants and contractors, we may not be able to successfully implement the tasks necessary to further develop and commercialize any product candidates we develop and, accordingly, may not achieve our research, development and commercialization goals.</w:t>
      </w:r>
    </w:p>
    <w:p>
      <w:pPr>
        <w:spacing w:after="0" w:line="184" w:lineRule="exact"/>
        <w:rPr>
          <w:sz w:val="20"/>
          <w:szCs w:val="20"/>
          <w:color w:val="auto"/>
        </w:rPr>
      </w:pPr>
    </w:p>
    <w:p>
      <w:pPr>
        <w:ind w:right="320"/>
        <w:spacing w:after="0" w:line="381" w:lineRule="auto"/>
        <w:rPr>
          <w:sz w:val="20"/>
          <w:szCs w:val="20"/>
          <w:color w:val="auto"/>
        </w:rPr>
      </w:pPr>
      <w:r>
        <w:rPr>
          <w:rFonts w:ascii="Arial" w:cs="Arial" w:eastAsia="Arial" w:hAnsi="Arial"/>
          <w:sz w:val="15"/>
          <w:szCs w:val="15"/>
          <w:b w:val="1"/>
          <w:bCs w:val="1"/>
          <w:i w:val="1"/>
          <w:iCs w:val="1"/>
          <w:color w:val="auto"/>
        </w:rPr>
        <w:t>We have in the past engaged and may in the future engage in strategic transactions; these transactions could affect our liquidity, dilute our existing stockholders, increase our expenses and present significant challenges in focus and energy to our management or prove not to be successful.</w:t>
      </w:r>
    </w:p>
    <w:p>
      <w:pPr>
        <w:spacing w:after="0" w:line="10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From time to time, we may consider strategic transactions, such as acquisitions of companies, asset purchases and out-licensing or in-licensing of intellectual property, products or technologies. For example, in October 2018, we acquired all of the outstanding shares of Warp Drive Bio, which became our direct wholly-owned subsidiary.</w:t>
      </w:r>
    </w:p>
    <w:p>
      <w:pPr>
        <w:spacing w:after="0" w:line="18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Additional potential transactions that we may consider in the future include a variety of business arrangements, including spin-offs, strategic partnerships, joint ventures, restructurings, divestitures, business combinations and investments. Any future transactions could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management. In addition, the integration of any business that we may acquire in the future may disrupt our existing business and may be a complex, risky and costly endeavor for which we may never realize the full benefits of the acquisition.</w:t>
      </w:r>
    </w:p>
    <w:p>
      <w:pPr>
        <w:spacing w:after="0" w:line="16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negatively impact our business.</w:t>
      </w:r>
    </w:p>
    <w:p>
      <w:pPr>
        <w:spacing w:after="0" w:line="17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7"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b w:val="1"/>
          <w:bCs w:val="1"/>
          <w:i w:val="1"/>
          <w:iCs w:val="1"/>
          <w:color w:val="auto"/>
        </w:rPr>
        <w:t>We or the third parties upon whom we depend may be adversely affected by earthquakes, outbreak of disease, or other natural disasters and our business continuity and disaster recovery plans may not adequately protect us from a serious disaster.</w:t>
      </w:r>
    </w:p>
    <w:p>
      <w:pPr>
        <w:spacing w:after="0" w:line="14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Our corporate headquarters and other facilities are located in the San Francisco Bay Area, which in the past has experienced both severe earthquakes and wildfires. We do not carry earthquake insurance. Earthquakes, wildfires or other natural disasters could severely disrupt our operations, and negatively impact our business.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1" w:name="page72"/>
    <w:bookmarkEnd w:id="71"/>
    <w:p>
      <w:pPr>
        <w:ind w:right="20"/>
        <w:spacing w:after="0" w:line="290" w:lineRule="auto"/>
        <w:rPr>
          <w:sz w:val="20"/>
          <w:szCs w:val="20"/>
          <w:color w:val="auto"/>
        </w:rPr>
      </w:pPr>
      <w:r>
        <w:rPr>
          <w:rFonts w:ascii="Arial" w:cs="Arial" w:eastAsia="Arial" w:hAnsi="Arial"/>
          <w:sz w:val="16"/>
          <w:szCs w:val="16"/>
          <w:color w:val="auto"/>
        </w:rPr>
        <w:t>If a natural disaster, power outage, outbreak of disease, or other event occurred that prevented us from using all or a significant portion of our headquarters, that damaged critical infrastructure, such as our enterprise financial systems or manufacturing resource planning and enterprise quality systems, or that otherwise disrupted operations, it may be difficult or, in certain cases, impossible, for us to continue our business for a substantial period of time. As an example, our operations have been impacted as a result of the COVID-19 pandemic, as described in the risk factor entitled “</w:t>
      </w:r>
      <w:r>
        <w:rPr>
          <w:rFonts w:ascii="Arial" w:cs="Arial" w:eastAsia="Arial" w:hAnsi="Arial"/>
          <w:sz w:val="16"/>
          <w:szCs w:val="16"/>
          <w:i w:val="1"/>
          <w:iCs w:val="1"/>
          <w:color w:val="auto"/>
        </w:rPr>
        <w:t>The COVID-19 pandemic, 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other epidemic and pandemic diseases or governmental or other actions taken in response to them, could significantly disrupt our business.” </w:t>
      </w:r>
      <w:r>
        <w:rPr>
          <w:rFonts w:ascii="Arial" w:cs="Arial" w:eastAsia="Arial" w:hAnsi="Arial"/>
          <w:sz w:val="16"/>
          <w:szCs w:val="16"/>
          <w:color w:val="auto"/>
        </w:rPr>
        <w:t>The disaster</w:t>
      </w:r>
      <w:r>
        <w:rPr>
          <w:rFonts w:ascii="Arial" w:cs="Arial" w:eastAsia="Arial" w:hAnsi="Arial"/>
          <w:sz w:val="16"/>
          <w:szCs w:val="16"/>
          <w:i w:val="1"/>
          <w:iCs w:val="1"/>
          <w:color w:val="auto"/>
        </w:rPr>
        <w:t xml:space="preserve"> </w:t>
      </w:r>
      <w:r>
        <w:rPr>
          <w:rFonts w:ascii="Arial" w:cs="Arial" w:eastAsia="Arial" w:hAnsi="Arial"/>
          <w:sz w:val="16"/>
          <w:szCs w:val="16"/>
          <w:color w:val="auto"/>
        </w:rPr>
        <w:t>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negatively impact our business.</w:t>
      </w:r>
    </w:p>
    <w:p>
      <w:pPr>
        <w:spacing w:after="0" w:line="16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Furthermore, integral third parties used in our activities and in our supply chain are similarly vulnerable to natural disasters, outbreak of disease, or other sudden, unforeseen and severe adverse events. If such an event were to affect our activities or our supply chain, it could negatively impact our business.</w:t>
      </w:r>
    </w:p>
    <w:p>
      <w:pPr>
        <w:spacing w:after="0" w:line="124"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vendors, principal investigators, CROs and consultants may engage in misconduct or other improper activities, including non-compliance with regulatory standards and requirements and insider trading.</w:t>
      </w:r>
    </w:p>
    <w:p>
      <w:pPr>
        <w:spacing w:after="0" w:line="14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exposed to the risk that our employees, independent contractors, vendors, principal investigators, CROs and consultants may engage in fraudulent conduct or other illegal activity. Misconduct by these parties could include intentional, reckless or negligent conduct or disclosure of unauthorized activities to us that violate the regulations of the FDA or comparable foreign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and curtailment of our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is volatile and fluctuates substantially, which could result in substantial losses for investors.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stock price is highly volatile. The stock market in general, and the market for biopharmaceutical companies in particular, have experienced extreme volatility that has often been unrelated to the operating performance of particular companies.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for our common stock may be influenced by many factors, including:</w:t>
      </w:r>
    </w:p>
    <w:p>
      <w:pPr>
        <w:spacing w:after="0" w:line="117" w:lineRule="exact"/>
        <w:rPr>
          <w:sz w:val="20"/>
          <w:szCs w:val="20"/>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research and development efforts and our ability to discover and develop product candidates;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results of our clinical trials and preclinical studies or those of our competitors;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level of expenses related to our product candidates or clinical development programs;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product candidates or companion diagnostics;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2" w:name="page73"/>
    <w:bookmarkEnd w:id="72"/>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5"/>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and liquid market for our common stock may not be sustained.</w:t>
      </w:r>
    </w:p>
    <w:p>
      <w:pPr>
        <w:spacing w:after="0" w:line="225"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Our common stock is currently listed on the Nasdaq Global Select Market under the symbol “RVMD”. The price for our common stock may vary and an active and liquid market in our common stock may not be sustained. The lack of an active market may impair the value of your shares, your ability to sell your shares at the time you wish to sell them and the prices that you may obtain for your shares. An inactive market may also impair our ability to raise capital by selling our common stock and our ability to acquire other companies, products or technologies by using our common stock as consideration.</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2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We do not currently intend to pay any cash dividends on our common stock for the foreseeable future. We currently intend to invest our future earnings, if any, to fund our growth. Therefore, stockholders are not likely to receive any dividends on their common stock for the foreseeable future. Since we do not intend to pay dividends, stockholders’ ability to receive a return on their investment will depend on any future appreciation in the market value of our common stock. There is no guarantee that our common stock will appreciate or even maintain the price at which our holders have purchased it.</w:t>
      </w:r>
    </w:p>
    <w:p>
      <w:pPr>
        <w:spacing w:after="0" w:line="15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and their affiliates have significant influence over our company, which will limit your ability to influence corporate matters and could delay or prevent a change in corporate control.</w:t>
      </w:r>
    </w:p>
    <w:p>
      <w:pPr>
        <w:spacing w:after="0" w:line="17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As of December 31, 2022, our executive officers, directors and their affiliates beneficially owned, in the aggregate, approximately 8.4% of our outstanding common stock. As a result, these stockholders, if they act together, may be able to influence our management and affairs and the outcome of matters submitted to our stockholders for approval, including the election of directors and any sale, merger, consolidation or sale of all or substantially all of our assets. In addition, this concentration of ownership might adversely affect the market price of our common stock by:</w:t>
      </w:r>
    </w:p>
    <w:p>
      <w:pPr>
        <w:spacing w:after="0" w:line="63" w:lineRule="exact"/>
        <w:rPr>
          <w:sz w:val="20"/>
          <w:szCs w:val="20"/>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If our existing stockholders sell, or indicate an intention to sell, substantial amounts of our common stock in the public market, the market price of our common stock could decline.</w:t>
      </w:r>
    </w:p>
    <w:p>
      <w:pPr>
        <w:spacing w:after="0" w:line="17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December 31, 2022, 17.8 million shares of common stock that are either subject to outstanding options or restricted stock units reserved for future issuance under our equity incentive plans are eligible for sale in the public market to the extent permitted by the provisions of various vesting schedules, lock-up agreements and Rule 144 and Rule 701 under the Securities Act. If these additional shares of common stock are sold, or if it is perceived that they will be sold, in the public market, the market price of our common stock could decline.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as of December 31, 2022, holders of approximately 2.1 million shares of our common stock are entitled to rights with respect to the registration of their shares under the Securities Act. Registration of these shares under the Securities Act would result in the shares becoming freely tradable without restriction under the Securities Act, except for shares purchased by affiliates. Any sales of securities by these stockholders could impact the market price of our common stock.</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33" w:right="359" w:bottom="1440" w:gutter="0" w:footer="0" w:header="0"/>
        </w:sectPr>
      </w:pPr>
    </w:p>
    <w:bookmarkStart w:id="73" w:name="page74"/>
    <w:bookmarkEnd w:id="73"/>
    <w:p>
      <w:pPr>
        <w:ind w:right="40"/>
        <w:spacing w:after="0" w:line="277"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has been limited by “ownership changes” and may be further limited.</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Under Sections 382 and 383 of the Internal Revenue Code of 1986, as amended (the Code), and corresponding provisions of state law, if a corporation undergoes an “ownership change” (generally defined as a greater than 50 percentage point change (by value) in its equity ownership over a rolling three-year period), the corporation’s ability to use its pre-change net operating loss carryforwards and other pre-change tax attributes (such as research and development tax credits) to offset its post-change income or taxes may be limited. We have experienced ownership changes in the past, and we may experience ownership changes in the future as a result of our public offerings or other changes in our stock ownership (some of which are not in our control). Use of our federal and state net operating loss carryforwards have been limited as a result of ownership changes and could be further limited if we experience additional ownership changes.</w:t>
      </w:r>
    </w:p>
    <w:p>
      <w:pPr>
        <w:spacing w:after="0" w:line="19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changes in control or changes in our management without the consent of our board of directors. These provisions include the following:</w:t>
      </w:r>
    </w:p>
    <w:p>
      <w:pPr>
        <w:spacing w:after="0" w:line="62" w:lineRule="exact"/>
        <w:rPr>
          <w:sz w:val="20"/>
          <w:szCs w:val="20"/>
          <w:color w:val="auto"/>
        </w:rPr>
      </w:pPr>
    </w:p>
    <w:p>
      <w:pPr>
        <w:ind w:left="1020" w:right="100" w:hanging="503"/>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may delay the ability of stockholders to change the membership of our board of directors;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cumulative voting in the election of directors, which limits the ability of minority stockholders to elect director candidates;</w:t>
      </w:r>
    </w:p>
    <w:p>
      <w:pPr>
        <w:spacing w:after="0" w:line="117" w:lineRule="exact"/>
        <w:rPr>
          <w:rFonts w:ascii="Arial" w:cs="Arial" w:eastAsia="Arial" w:hAnsi="Arial"/>
          <w:sz w:val="18"/>
          <w:szCs w:val="18"/>
          <w:color w:val="auto"/>
        </w:rPr>
      </w:pPr>
    </w:p>
    <w:p>
      <w:pPr>
        <w:ind w:left="1020" w:right="300" w:hanging="503"/>
        <w:spacing w:after="0" w:line="342" w:lineRule="auto"/>
        <w:tabs>
          <w:tab w:leader="none" w:pos="102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exclusive right of our board of directors to appoint a director to fill a vacancy created by the expansion of the board of directors or the resignation, death or removal of a director, which prevents stockholders from being able to fill vacancies on our board of directors;</w:t>
      </w:r>
    </w:p>
    <w:p>
      <w:pPr>
        <w:spacing w:after="0" w:line="15" w:lineRule="exact"/>
        <w:rPr>
          <w:rFonts w:ascii="Arial" w:cs="Arial" w:eastAsia="Arial" w:hAnsi="Arial"/>
          <w:sz w:val="16"/>
          <w:szCs w:val="16"/>
          <w:color w:val="auto"/>
        </w:rPr>
      </w:pPr>
    </w:p>
    <w:p>
      <w:pPr>
        <w:jc w:val="both"/>
        <w:ind w:left="1020" w:right="120" w:hanging="503"/>
        <w:spacing w:after="0" w:line="263"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ability of our board of directors to authorize the issuance of shares of preferred stock and to determine the price and other terms of those shares, including preferences and voting rights, without stockholder approval, which could be used to significantly dilute the ownership of a hostile acquiror;</w:t>
      </w:r>
    </w:p>
    <w:p>
      <w:pPr>
        <w:spacing w:after="0" w:line="75" w:lineRule="exact"/>
        <w:rPr>
          <w:rFonts w:ascii="Arial" w:cs="Arial" w:eastAsia="Arial" w:hAnsi="Arial"/>
          <w:sz w:val="18"/>
          <w:szCs w:val="18"/>
          <w:color w:val="auto"/>
        </w:rPr>
      </w:pPr>
    </w:p>
    <w:p>
      <w:pPr>
        <w:ind w:left="1020" w:hanging="503"/>
        <w:spacing w:after="0"/>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ability of our board of directors to alter our amended and restated bylaws without obtaining stockholder approval;</w:t>
      </w:r>
    </w:p>
    <w:p>
      <w:pPr>
        <w:spacing w:after="0" w:line="117" w:lineRule="exact"/>
        <w:rPr>
          <w:rFonts w:ascii="Arial" w:cs="Arial" w:eastAsia="Arial" w:hAnsi="Arial"/>
          <w:sz w:val="18"/>
          <w:szCs w:val="18"/>
          <w:color w:val="auto"/>
        </w:rPr>
      </w:pPr>
    </w:p>
    <w:p>
      <w:pPr>
        <w:ind w:left="1020" w:right="140" w:hanging="503"/>
        <w:spacing w:after="0" w:line="263"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required approval of at least 66 2/3% of the shares entitled to vote at an election of directors to adopt, amend or repeal our amended and restated bylaws or repeal the provisions of our amended and restated certificate of incorporation regarding the election and removal of directors;</w:t>
      </w:r>
    </w:p>
    <w:p>
      <w:pPr>
        <w:spacing w:after="0" w:line="75" w:lineRule="exact"/>
        <w:rPr>
          <w:rFonts w:ascii="Arial" w:cs="Arial" w:eastAsia="Arial" w:hAnsi="Arial"/>
          <w:sz w:val="18"/>
          <w:szCs w:val="18"/>
          <w:color w:val="auto"/>
        </w:rPr>
      </w:pPr>
    </w:p>
    <w:p>
      <w:pPr>
        <w:ind w:left="1020" w:right="320" w:hanging="503"/>
        <w:spacing w:after="0" w:line="277"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62" w:lineRule="exact"/>
        <w:rPr>
          <w:rFonts w:ascii="Arial" w:cs="Arial" w:eastAsia="Arial" w:hAnsi="Arial"/>
          <w:sz w:val="18"/>
          <w:szCs w:val="18"/>
          <w:color w:val="auto"/>
        </w:rPr>
      </w:pPr>
    </w:p>
    <w:p>
      <w:pPr>
        <w:ind w:left="1020" w:right="380" w:hanging="503"/>
        <w:spacing w:after="0" w:line="263"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our chief executive officer or president or by the board of directors, which may delay the ability of our stockholders to force consideration of a proposal or to take action, including the removal of directors; and</w:t>
      </w:r>
    </w:p>
    <w:p>
      <w:pPr>
        <w:spacing w:after="0" w:line="75" w:lineRule="exact"/>
        <w:rPr>
          <w:rFonts w:ascii="Arial" w:cs="Arial" w:eastAsia="Arial" w:hAnsi="Arial"/>
          <w:sz w:val="18"/>
          <w:szCs w:val="18"/>
          <w:color w:val="auto"/>
        </w:rPr>
      </w:pPr>
    </w:p>
    <w:p>
      <w:pPr>
        <w:ind w:left="1020" w:hanging="503"/>
        <w:spacing w:after="0" w:line="263" w:lineRule="auto"/>
        <w:tabs>
          <w:tab w:leader="none" w:pos="10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4"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are also subject to the anti-takeover provisions contained in Section 203 of the Delaware General Corporation Law. Under Section 203, a corporation may not, in general, engage in a business combination with any holder of 15% or more of its capital stock unless the holder has held the stock for three years or, among other exceptions, the board of directors has approved the transaction.</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we will indemnify our directors and officers, in each case to the fullest extent permitted by Delaware law.</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4" w:name="page75"/>
    <w:bookmarkEnd w:id="74"/>
    <w:p>
      <w:pPr>
        <w:ind w:right="140"/>
        <w:spacing w:after="0" w:line="277"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and our indemnification agreements that we have entered into with our directors and officers provide that:</w:t>
      </w:r>
    </w:p>
    <w:p>
      <w:pPr>
        <w:spacing w:after="0" w:line="62" w:lineRule="exact"/>
        <w:rPr>
          <w:sz w:val="20"/>
          <w:szCs w:val="20"/>
          <w:color w:val="auto"/>
        </w:rPr>
      </w:pPr>
    </w:p>
    <w:p>
      <w:pPr>
        <w:ind w:left="1020" w:right="120" w:hanging="503"/>
        <w:spacing w:after="0" w:line="279" w:lineRule="auto"/>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63" w:lineRule="exact"/>
        <w:rPr>
          <w:rFonts w:ascii="Arial" w:cs="Arial" w:eastAsia="Arial" w:hAnsi="Arial"/>
          <w:sz w:val="17"/>
          <w:szCs w:val="17"/>
          <w:color w:val="auto"/>
        </w:rPr>
      </w:pPr>
    </w:p>
    <w:p>
      <w:pPr>
        <w:ind w:left="1020" w:hanging="503"/>
        <w:spacing w:after="0"/>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may, in our discretion, indemnify employees and agents in those circumstances where indemnification is permitted by applicable law;</w:t>
      </w:r>
    </w:p>
    <w:p>
      <w:pPr>
        <w:spacing w:after="0" w:line="140" w:lineRule="exact"/>
        <w:rPr>
          <w:rFonts w:ascii="Arial" w:cs="Arial" w:eastAsia="Arial" w:hAnsi="Arial"/>
          <w:sz w:val="16"/>
          <w:szCs w:val="16"/>
          <w:color w:val="auto"/>
        </w:rPr>
      </w:pPr>
    </w:p>
    <w:p>
      <w:pPr>
        <w:jc w:val="both"/>
        <w:ind w:left="1020" w:right="200" w:hanging="503"/>
        <w:spacing w:after="0" w:line="342" w:lineRule="auto"/>
        <w:tabs>
          <w:tab w:leader="none" w:pos="102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5" w:lineRule="exact"/>
        <w:rPr>
          <w:rFonts w:ascii="Arial" w:cs="Arial" w:eastAsia="Arial" w:hAnsi="Arial"/>
          <w:sz w:val="16"/>
          <w:szCs w:val="16"/>
          <w:color w:val="auto"/>
        </w:rPr>
      </w:pPr>
    </w:p>
    <w:p>
      <w:pPr>
        <w:ind w:left="1020" w:right="120" w:hanging="503"/>
        <w:spacing w:after="0" w:line="263"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are not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75" w:lineRule="exact"/>
        <w:rPr>
          <w:rFonts w:ascii="Arial" w:cs="Arial" w:eastAsia="Arial" w:hAnsi="Arial"/>
          <w:sz w:val="18"/>
          <w:szCs w:val="18"/>
          <w:color w:val="auto"/>
        </w:rPr>
      </w:pPr>
    </w:p>
    <w:p>
      <w:pPr>
        <w:ind w:left="1020" w:right="280" w:hanging="503"/>
        <w:spacing w:after="0" w:line="308" w:lineRule="auto"/>
        <w:tabs>
          <w:tab w:leader="none" w:pos="10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38" w:lineRule="exact"/>
        <w:rPr>
          <w:rFonts w:ascii="Arial" w:cs="Arial" w:eastAsia="Arial" w:hAnsi="Arial"/>
          <w:sz w:val="17"/>
          <w:szCs w:val="17"/>
          <w:color w:val="auto"/>
        </w:rPr>
      </w:pPr>
    </w:p>
    <w:p>
      <w:pPr>
        <w:ind w:left="1020" w:right="160" w:hanging="503"/>
        <w:spacing w:after="0" w:line="277" w:lineRule="auto"/>
        <w:tabs>
          <w:tab w:leader="none" w:pos="10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7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and amended and restated bylaws provide for an exclusive forum in the Court of Chancery of the State of Delaware for certain disputes between us and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Court of Chancery of the State of Delaware is the exclusive forum for any state law derivative action or proceeding brought on our behalf, any action asserting a breach of fiduciary duty, any action asserting a claim against us arising pursuant to the Delaware General Corporation Law, any action to interpret, apply, enforce, or determine the validity of our amended and restated certificate of incorporation or our amended and restated bylaws, or any action asserting a claim against us that is governed by the internal affairs doctrine; provided that, the exclusive forum provision will not apply to suits brought to enforce any liability or duty created by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bylaws also provide that the federal district courts of the United States of America will be the exclusive forum for the resolution of any complaint asserting a cause or causes of action under the Securities Act. Such provision is intended to benefit and may be enforced by us, our officers and directors, the underwriters to any offering giving rise to such a compliant and any other professional or entity whose profession gives authority to a statement made by that person or entity and who has prepared or certified any part of the documents underlying the offering. Nothing in our amended and restated certificate of incorporation or amended and restated bylaws precludes stockholders that assert claims under the Exchange Act from bringing such claims in state or federal court, subject to applicable law.</w:t>
      </w:r>
    </w:p>
    <w:p>
      <w:pPr>
        <w:spacing w:after="0" w:line="174"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This choice of forum provision may limit a stockholder’s ability to bring a claim in a judicial forum that it finds favorable for disputes with us or any of our directors, officers, other employees or stockholders, which may discourage lawsuits with respect to such claims, although our stockholders will not be deemed to have waived our compliance with federal securities laws and the rules and regulations thereunder. Furthermore, the enforceability of similar choice of forum provisions in other companies’ certificates of incorporation has been challenged in legal proceedings, and it is possible that a court could find these types of provisions to be inapplicable or unenforceable. While the Delaware courts have determined that such choice of forum provisions are facially valid, a stockholder may nevertheless seek to bring a claim in a venue other than those designated in the exclusive-forum provisions, and there can be no assurance that such provisions will be enforced by a court in those other jurisdictions. If a court were to find the choice of forum provision in our amended and restated certificate of incorporation or amended and restated bylaws to be inapplicable or unenforceable in an action, we may incur additional costs associated with resolving such action in other jurisdictions, which could adversely affect our business, financial condition, results of operations and prospects.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 COVID-19 pandemic, or other epidemic and pandemic diseases or governmental or other actions taken in response to them, could significantly disrupt our business.</w:t>
      </w:r>
    </w:p>
    <w:p>
      <w:pPr>
        <w:spacing w:after="0" w:line="17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Outbreaks of epidemic, pandemic or contagious diseases, such as the recent SARS-CoV-2 virus, or coronavirus, which causes COVID-19 or, historically, the Ebola virus, Middle East Respiratory Syndrome, Severe Acute Respiratory Syndrome or the H1N1 virus, could significantly disrupt our business. These outbreaks pose the risk that we or our employees, contractors, suppliers, and other partners may be prevented from conducting business activities for an indefinite period of time due to spread of the disease within these groups, or due to restrictions that may be requested or mandated by governmental authorities. Business disruptions could include disruptions or restrictions on our ability to travel, as well as temporary closures of all or part of our facilities and the facilities of our partners, clinical trial sites, service providers, suppliers or contract manufacturers. As the COVID-19 pandemic evolves and spreads, both across the United States and through the world, we continue to actively monitor the impact that COVID-19 is having and may have on our business. The pandemic and the measures taken by governmental authorities could disrupt and delay our ongoing clinical trials, our preclinical activities, the manufacture or shipment of both drug substance and finished drug product for our product candidates for preclinical testing and clinical trials and otherwise significantly disrupt our business.</w:t>
      </w:r>
    </w:p>
    <w:p>
      <w:pPr>
        <w:spacing w:after="0" w:line="18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As a result of the COVID-19 pandemic, the state of California, where our corporate offices are located, and many counties where our offices are located or our employees reside, previously issued and may in the future issue orders for all residents to remain at home, except as needed for essential activities, and have placed restrictions on the scope and conduct of business activities. We have taken steps to ensure the safety of our patients and employees, while working to ensure the sustainability of our business operations as this unprecedented situation continues to evolve. As a result, we have implemented policies that require or permit many of our employees to work remotely. Some of these policies may continue for an indefinite period and may become more restrictive in response to developments related to the pandemic and the associated governmental responses. We continue to evaluate the impact of COVID-19 on the healthcare system and work with healthcare providers supporting our clinical studies to mitigate risk to patients while taking into account regulatory, institutional, and government guidance and policies.</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clinical trial sites for our clinical studies may be affected by the COVID-19 outbreak due to prioritization of hospital resources toward the COVID-19 outbreak, travel, quarantine or other restrictions imposed by governments, and the inability to access sites for initiation and patient monitoring and enrollment. As a result, patient screening, new patient enrollment, monitoring and data collection may be affected or delayed. We are aware that several clinical sites involved in our clinical studies temporarily stopped or delayed enrolling new patients, with exemptions if appropriate, and it is possible that these or other clinical sites may be similarly affected in the future. These developments may delay our clinical trial timelines. Our clinical trials currently permit patients to receive COVID-19 vaccines while they are on study. The potential impact of our candidates on the safety and efficacy of COVID-19 vaccines, and the potential impact of COVID-19 vaccines on the safety and efficacy of our candidates is unknown at this time, but it is possible that adverse impacts will negatively affect our clinical trials.</w:t>
      </w:r>
    </w:p>
    <w:p>
      <w:pPr>
        <w:spacing w:after="0" w:line="19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Although we are currently not aware of any material impacts on our supply chain of our current or potential product candidates as a result of the COVID-19 pandemic, some of our third-party manufacturers which we use for the supply of materials for product candidates or other materials necessary to manufacture product to conduct preclinical tests and clinical trials and CROs that we may utilize may be impacted by COVID-19, and should they experience continued disruptions, such as temporary closures or suspension of services, we would likely experience delays in advancing clinical trials. Furthermore, the spread of the virus may affect the operations of key governmental agencies, such as the FDA, which may delay the development of our product candidates. The spread of an infectious disease, including COVID-19, may also result in the inability of our suppliers to deliver components or raw materials on a timely basis or at all. Such events may result in a period of business disruption, and in reduced operations, or doctors and medical providers may be unwilling to participate in our clinical trials.</w:t>
      </w:r>
    </w:p>
    <w:p>
      <w:pPr>
        <w:spacing w:after="0" w:line="1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addition, a significant outbreak of epidemic, pandemic or contagious diseases in the human population, such as the global COVID-19 pandemic, could result in a widespread health crisis and adversely affect the economies and financial markets of many countries, resulting in an economic downturn that could affect demand for our current or future products.</w:t>
      </w:r>
    </w:p>
    <w:p>
      <w:pPr>
        <w:spacing w:after="0" w:line="184"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While the potential economic impact brought by, and the duration of, COVID-19 may be difficult to assess or predict, a continuing widespread pandemic could result in significant disruption of global financial markets, reducing our ability to access capital, which could in the future negatively affect our liquidity. In addition, a recession or market correction resulting from the spread of COVID-19 could negatively impact the price of our common stock.</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w:t>
      </w:r>
    </w:p>
    <w:p>
      <w:pPr>
        <w:spacing w:after="0" w:line="24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To date, we have primarily financed our operations through the sale of preferred stock and common stock and upfront payments and research and development cost reimbursement received in connection with our collaboration with Sanofi. We will be required to seek additional funding in the future and may do so through a combination of public or private equity offerings, debt financings, credit or loan facilities, collaborations, strategic alliances, licensing arrangements and other marketing or distribution arrangements. 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If we raise additional funds by issuing equity securities, our stockholders may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would receive any distribution of our corporate assets. Attempting to secure additional financing may also divert our management from our day-to-day activities, which may adversely affect our ability to develop our product candidates.</w:t>
      </w:r>
    </w:p>
    <w:p>
      <w:pPr>
        <w:spacing w:after="0" w:line="17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6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We incur significantly increased costs as a result of operating as a public company, and our management devotes substantial time to new compliance initiatives. We may fail to comply with the rules that apply to public companies, including Section 404 of the Sarbanes-Oxley Act of 2002, which could result in sanctions or other penalties that would harm our business.</w:t>
      </w:r>
    </w:p>
    <w:p>
      <w:pPr>
        <w:spacing w:after="0" w:line="18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incur significant legal, accounting and other expenses as a public company, including costs resulting from public company reporting obligations under the Securities Exchange Act of 1934, as amended (the Exchange Act), and regulations regarding corporate governance practices. The listing requirements of the Nasdaq Global Select Market and the rules of the Securities and Exchange Commission (SEC) require that we satisfy certain corporate governance requirements relating to director independence, filing annual and interim reports, stockholder meetings, approvals and voting, soliciting proxies, conflicts of interest and a code of conduct. Our management and other personnel devote a substantial amount of time to ensure that we comply with all of these requirements. Moreover, the reporting requirements, rules and regulations will increase our legal and financial compliance costs and make some activities more time-consuming and costly. Any changes we make to comply with these obligations may not be sufficient to allow us to satisfy our obligations as a public company on a timely basis, or at all. These reporting requirements, rules and regulations, coupled with the increase in potential litigation exposure associated with being a public company, could also make it more difficult for us to attract and retain qualified persons to serve on our board of directors or board committees or to serve as executive officers, or to obtain certain types of insurance, including directors’ and officers’ insurance, on acceptable terms.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86"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As a public company, we are subject to Section 404 of the Sarbanes-Oxley Act of 2002 (Section 404) and the related rules of the SEC, which generally require our management and independent registered public accounting firm to report on the effectiveness of our internal control over financial reporting.</w:t>
      </w:r>
    </w:p>
    <w:p>
      <w:pPr>
        <w:spacing w:after="0" w:line="12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In order to provide the reports required by these rules we must conduct reviews and testing of our internal controls. During the course of our review and testing, we may identify deficiencies and be unable to remediate them before we must provide the required reports.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ind w:right="40"/>
        <w:spacing w:after="0" w:line="291" w:lineRule="auto"/>
        <w:rPr>
          <w:sz w:val="20"/>
          <w:szCs w:val="20"/>
          <w:color w:val="auto"/>
        </w:rPr>
      </w:pPr>
      <w:r>
        <w:rPr>
          <w:rFonts w:ascii="Arial" w:cs="Arial" w:eastAsia="Arial" w:hAnsi="Arial"/>
          <w:sz w:val="16"/>
          <w:szCs w:val="16"/>
          <w:color w:val="auto"/>
        </w:rPr>
        <w:t>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In order to report our results of operations and financial statements on an accurate and timely basis, we will depend on third party vendors to provide timely and accurate notice of their costs to us. Any failure to report our financial results on an accurate and timely basis could result in sanctions, lawsuits, delisting of our shares from the Nasdaq Global Select Market or other adverse consequences.</w:t>
      </w:r>
    </w:p>
    <w:p>
      <w:pPr>
        <w:spacing w:after="0" w:line="16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we sell shares of our common stock in future financings, stockholders may experience immediate dilution and, as a result, our stock price may decline.</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have issued in the past, and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on November 10, 2021, we entered into a sales agreement with Cowen to sell shares of common stock, from time to time, with aggregate gross sales proceeds of up to $250.0 million, through an at-the-market equity offering program under which Cowen acts as our sales agent. As of December 31, 2022, we have completed sales totaling $61.7 million in gross proceeds pursuant to this program. After deducting commissions and expenses of $1.7 million, net proceeds to us were $60.0 million. If we issue common stock or securities convertible into common stock, our common stockholders would experience additional dilution and, as a result, our stock price may decline.</w:t>
      </w:r>
    </w:p>
    <w:p>
      <w:pPr>
        <w:spacing w:after="0" w:line="1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securities analysts do not continue to publish research or reports about our business or if they publish negative evaluations of our stock, the price of our stock could decline.</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If few analysts publish research or reports about us, the trading price of our stock would likely decrease.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87" w:lineRule="exact"/>
        <w:rPr>
          <w:sz w:val="20"/>
          <w:szCs w:val="20"/>
          <w:color w:val="auto"/>
        </w:rPr>
      </w:pPr>
    </w:p>
    <w:p>
      <w:pPr>
        <w:ind w:right="340"/>
        <w:spacing w:after="0" w:line="381" w:lineRule="auto"/>
        <w:rPr>
          <w:sz w:val="20"/>
          <w:szCs w:val="20"/>
          <w:color w:val="auto"/>
        </w:rPr>
      </w:pPr>
      <w:r>
        <w:rPr>
          <w:rFonts w:ascii="Arial" w:cs="Arial" w:eastAsia="Arial" w:hAnsi="Arial"/>
          <w:sz w:val="15"/>
          <w:szCs w:val="15"/>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Pursuant to Section 404 of Sarbanes-Oxley, our management is required to report upon the effectiveness of our internal control over financial reporting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There may be material weaknesses in our internal control over financial reporting in the future. Any failure to implement and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Item 2. Properties.</w:t>
      </w:r>
    </w:p>
    <w:p>
      <w:pPr>
        <w:spacing w:after="0" w:line="202"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Our corporate headquarters is located in Redwood City, California, where we lease and occupy approximately 102,000 square feet of office and laboratory space. The term of our Redwood City lease expires in November 2033, with an option to extend the term through November 2043.</w:t>
      </w:r>
    </w:p>
    <w:p>
      <w:pPr>
        <w:spacing w:after="0" w:line="106"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also lease approximately 22,000 square feet of office and laboratory space in Cambridge, Massachusetts. The current term of our Cambridge lease expires in February 2023, with an option to extend the term through February 2028, subject to certain conditions. We have subleased this office and laboratory space to Casma Therapeutics, Inc. The current term of this sublease expires in February 2023.</w:t>
      </w:r>
    </w:p>
    <w:p>
      <w:pPr>
        <w:spacing w:after="0" w:line="1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believe our existing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8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79" w:name="page80"/>
    <w:bookmarkEnd w:id="79"/>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price of common stock</w:t>
      </w:r>
    </w:p>
    <w:p>
      <w:pPr>
        <w:spacing w:after="0" w:line="18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common stock has been listed on the Nasdaq Global Select Market under the symbol “RVMD” since February 13, 2020. Prior to that date, there was no public trading market for our common stock.</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February 23, 2022, there were 45 holders of record of our common stock. We believe the actual number of stockholders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89"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have never declared or paid cash dividends on our common stock. We intend to retain all available funds and any future earnings, if any, to fund the development and expansion of our business and we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contractual restrictions, business prospects and other factors our board of directors might deem relevant.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8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i w:val="1"/>
          <w:iCs w:val="1"/>
          <w:color w:val="auto"/>
        </w:rPr>
        <w:t>This graph is not “soliciting material” or deemed “filed” with the SEC for purposes of Section 18 of the Exchange Act, or otherwise subject to liabilities under that Section, and shall not be deemed incorporated by reference into any filing of Revolution Medicines, Inc. under the Securities Act of 1933, as amended, or the Securities Act, whether made before or after the date hereof and irrespective of any general incorporation language in any such filing.</w:t>
      </w:r>
    </w:p>
    <w:p>
      <w:pPr>
        <w:spacing w:after="0" w:line="10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following graph compares the cumulative total return to stockholder return on our common stock relative to the cumulative total returns of the NASDAQ Composite Index and the NASDAQ Biotechnology Index. An investment of $100 is assumed to have been made in our common stock and each index on February 13, 2020 (the first day of trading of our common stock) and its relative performance is tracked through December 31, 2022. Pursuant to applicable Securities and Exchange Commission rules, all values assume reinvestment of the full amount of all dividends, however no dividends have been declared on our common stock to date. The stockholder returns shown on the graph below are based on historical results and are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121920</wp:posOffset>
            </wp:positionV>
            <wp:extent cx="3883025" cy="1671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883025"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repurchases of our common stock during the three months ended December 31, 2022: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that May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2"/>
              </w:rPr>
              <w:t>Average Price</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Repurchased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2"/>
              </w:rPr>
              <w:t>Paid Per</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Plans or</w:t>
            </w:r>
          </w:p>
        </w:tc>
        <w:tc>
          <w:tcPr>
            <w:tcW w:w="2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6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92"/>
              </w:rPr>
              <w:t>Share</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October 1, 2022 to October 31, 2022</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November 1, 2022 to November 30, 2022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20"/>
                <w:szCs w:val="20"/>
                <w:color w:val="auto"/>
              </w:rPr>
            </w:pP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December 1, 2022 to December 31, 2022</w:t>
            </w:r>
          </w:p>
        </w:tc>
        <w:tc>
          <w:tcPr>
            <w:tcW w:w="120" w:type="dxa"/>
            <w:vAlign w:val="bottom"/>
            <w:tcBorders>
              <w:bottom w:val="single" w:sz="8" w:color="CFF0FC"/>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ind w:left="94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20"/>
              <w:spacing w:after="0"/>
              <w:rPr>
                <w:sz w:val="20"/>
                <w:szCs w:val="20"/>
                <w:color w:val="auto"/>
              </w:rPr>
            </w:pPr>
            <w:r>
              <w:rPr>
                <w:rFonts w:ascii="Arial" w:cs="Arial" w:eastAsia="Arial" w:hAnsi="Arial"/>
                <w:sz w:val="18"/>
                <w:szCs w:val="18"/>
                <w:color w:val="auto"/>
              </w:rPr>
              <w:t>Total</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4.47</w:t>
            </w:r>
          </w:p>
        </w:tc>
        <w:tc>
          <w:tcPr>
            <w:tcW w:w="220" w:type="dxa"/>
            <w:vAlign w:val="bottom"/>
          </w:tcPr>
          <w:p>
            <w:pPr>
              <w:spacing w:after="0"/>
              <w:rPr>
                <w:sz w:val="20"/>
                <w:szCs w:val="20"/>
                <w:color w:val="auto"/>
              </w:rPr>
            </w:pPr>
          </w:p>
        </w:tc>
        <w:tc>
          <w:tcPr>
            <w:tcW w:w="1140" w:type="dxa"/>
            <w:vAlign w:val="bottom"/>
          </w:tcPr>
          <w:p>
            <w:pPr>
              <w:ind w:left="94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0"/>
                <w:szCs w:val="20"/>
                <w:color w:val="auto"/>
              </w:rPr>
            </w:pPr>
          </w:p>
        </w:tc>
        <w:tc>
          <w:tcPr>
            <w:tcW w:w="1160" w:type="dxa"/>
            <w:vAlign w:val="bottom"/>
          </w:tcPr>
          <w:p>
            <w:pPr>
              <w:ind w:left="9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-187960</wp:posOffset>
            </wp:positionV>
            <wp:extent cx="76835" cy="1885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18859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-187960</wp:posOffset>
            </wp:positionV>
            <wp:extent cx="68580" cy="1885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1885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4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All of the shares repurchased, as reflected in the table above, were repurchases of unvested shares of our common stock that had been issued upon early exercise of stock options. Upon termination of employment of a person holding unvested shares, we are entitled to repurchase the unvested shares.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7"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89"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consolidated financial statements and the related notes included elsewhere in this Annual Report on Form 10-K. In addition to historical financial information, this discussion contains forward-looking statements based upon current expectations that involve risks and uncertainties. As a result of many factors, including those factors set forth in the “Risk Factors” section of this Annual Report on Form 10-K, our actual results could differ materially from the results described or implied by the forward-looking statements contained in the following discussion and analysis.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We are a clinical-stage precision oncology company focused on developing targeted therapies to inhibit frontier targets in RAS-addicted cancers. We possess sophisticated structure-based drug discovery capabilities built upon deep chemical biology and cancer pharmacology know-how and innovative, proprietary technologies that enable the creation of small molecules tailored to unconventional binding sites. Our understanding of genetic drivers and adaptive resistance mechanisms in cancer, coupled with robust drug discovery and medicinal chemistry capabilities, has guided us to establish a deep pipeline targeting critical signaling nodes within the RAS pathway and associated pathways. This cohesive approach underpins our clinical strategy of exploring mechanism-based dosing paradigms and in-pathway combinations to optimize treatment for cancer patients.</w:t>
      </w:r>
    </w:p>
    <w:p>
      <w:pPr>
        <w:spacing w:after="0" w:line="124"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Our research and development pipeline comprises RAS(ON) inhibitors that bind directly to RAS variants, which we refer to as RAS(ON) Inhibitors, and RAS companion inhibitors that target key nodes in the RAS pathway or associated pathways, which we refer to as RAS Companion Inhibitors. Our RAS Companion Inhibitors (e.g., SHP2, mTORC1 and SOS1 inhibitors) are designed primarily for combination treatment strategies involving one or more therapeutic agents, which may include our RAS(ON) Inhibitors. Our long-term goal is to combine our RAS(ON) Inhibitors with selected RAS Companion Inhibitors or other therapies on behalf of patients based on molecular tumor features.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RAS (ON) Inhibitors</w:t>
      </w:r>
    </w:p>
    <w:p>
      <w:pPr>
        <w:spacing w:after="0" w:line="202"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Our RAS(ON) Inhibitors are based on our proprietary tri-complex technology platform, which enables a highly differentiated approach to inhibiting the active, GTP-bound form of RAS, which we refer to as RAS(ON). We are developing a portfolio of compounds that we believe are the first and only RAS(ON) Inhibitors to use this mechanism of action. We believe that direct inhibitors of RAS(ON) will suppress cell growth and survival and be less susceptible to adaptive resistance mechanisms recognized for RAS(OFF) Inhibitors. We plan to evaluate our RAS(ON) Inhibitors alone and in combination with other drugs and investigational drug candidates, particularly in-pathway agents</w:t>
      </w:r>
      <w:r>
        <w:rPr>
          <w:rFonts w:ascii="Arial" w:cs="Arial" w:eastAsia="Arial" w:hAnsi="Arial"/>
          <w:sz w:val="21"/>
          <w:szCs w:val="21"/>
          <w:color w:val="auto"/>
        </w:rPr>
        <w:t>.</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currently consider three development-stage candidates as the first wave of RAS(ON) Inhibitors that we are advancing: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RMC-6236</w:t>
      </w:r>
    </w:p>
    <w:p>
      <w:pPr>
        <w:spacing w:after="0" w:line="189" w:lineRule="exact"/>
        <w:rPr>
          <w:sz w:val="20"/>
          <w:szCs w:val="20"/>
          <w:color w:val="auto"/>
        </w:rPr>
      </w:pPr>
    </w:p>
    <w:p>
      <w:pPr>
        <w:ind w:right="380" w:firstLine="509"/>
        <w:spacing w:after="0" w:line="234" w:lineRule="auto"/>
        <w:rPr>
          <w:sz w:val="20"/>
          <w:szCs w:val="20"/>
          <w:color w:val="auto"/>
        </w:rPr>
      </w:pPr>
      <w:r>
        <w:rPr>
          <w:rFonts w:ascii="Arial" w:cs="Arial" w:eastAsia="Arial" w:hAnsi="Arial"/>
          <w:sz w:val="18"/>
          <w:szCs w:val="18"/>
          <w:color w:val="auto"/>
        </w:rPr>
        <w:t>RMC-6236, our RAS</w:t>
      </w:r>
      <w:r>
        <w:rPr>
          <w:rFonts w:ascii="Arial" w:cs="Arial" w:eastAsia="Arial" w:hAnsi="Arial"/>
          <w:sz w:val="24"/>
          <w:szCs w:val="24"/>
          <w:color w:val="auto"/>
          <w:vertAlign w:val="superscript"/>
        </w:rPr>
        <w:t>MULTI</w:t>
      </w:r>
      <w:r>
        <w:rPr>
          <w:rFonts w:ascii="Arial" w:cs="Arial" w:eastAsia="Arial" w:hAnsi="Arial"/>
          <w:sz w:val="18"/>
          <w:szCs w:val="18"/>
          <w:color w:val="auto"/>
        </w:rPr>
        <w:t>(ON) Inhibitor, is designed as a first-in-class, potent, oral, RAS-selective tri-complex inhibitor of multiple RAS(ON) variants including cancer drivers at all three of the major mutation hotspot positions, G12, G13, and Q61. RMC-6236 inhibits all three major RAS isoforms, suppressing the mutant cancer driver and cooperating wild-type RAS proteins</w:t>
      </w:r>
      <w:r>
        <w:rPr>
          <w:rFonts w:ascii="Arial" w:cs="Arial" w:eastAsia="Arial" w:hAnsi="Arial"/>
          <w:sz w:val="21"/>
          <w:szCs w:val="21"/>
          <w:color w:val="auto"/>
        </w:rPr>
        <w:t>.</w:t>
      </w:r>
    </w:p>
    <w:p>
      <w:pPr>
        <w:spacing w:after="0" w:line="166" w:lineRule="exact"/>
        <w:rPr>
          <w:sz w:val="20"/>
          <w:szCs w:val="20"/>
          <w:color w:val="auto"/>
        </w:rPr>
      </w:pPr>
    </w:p>
    <w:p>
      <w:pPr>
        <w:jc w:val="both"/>
        <w:ind w:right="340" w:firstLine="509"/>
        <w:spacing w:after="0" w:line="301" w:lineRule="auto"/>
        <w:rPr>
          <w:sz w:val="20"/>
          <w:szCs w:val="20"/>
          <w:color w:val="auto"/>
        </w:rPr>
      </w:pPr>
      <w:r>
        <w:rPr>
          <w:rFonts w:ascii="Arial" w:cs="Arial" w:eastAsia="Arial" w:hAnsi="Arial"/>
          <w:sz w:val="16"/>
          <w:szCs w:val="16"/>
          <w:color w:val="auto"/>
        </w:rPr>
        <w:t>A monotherapy dose-escalation study of RMC-6236 is ongoing and, based on early observations from this study, we believe that RMC-6236 is orally bioavailable and has achieved dose-dependent exposures in patients that are consistent with our preclinical projections. The compound has been generally well-tolerated, including at dose levels at which we have observed clear signals of anti-tumor activity. We continue in dose escalation and we currently expect to provide additional evidence of first-in-class single agent activity for this compound in mid-2023.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RMC-6291</w:t>
      </w:r>
    </w:p>
    <w:p>
      <w:pPr>
        <w:spacing w:after="0" w:line="189" w:lineRule="exact"/>
        <w:rPr>
          <w:sz w:val="20"/>
          <w:szCs w:val="20"/>
          <w:color w:val="auto"/>
        </w:rPr>
      </w:pPr>
    </w:p>
    <w:p>
      <w:pPr>
        <w:jc w:val="both"/>
        <w:ind w:right="60" w:firstLine="509"/>
        <w:spacing w:after="0" w:line="227" w:lineRule="auto"/>
        <w:rPr>
          <w:sz w:val="20"/>
          <w:szCs w:val="20"/>
          <w:color w:val="auto"/>
        </w:rPr>
      </w:pPr>
      <w:r>
        <w:rPr>
          <w:rFonts w:ascii="Arial" w:cs="Arial" w:eastAsia="Arial" w:hAnsi="Arial"/>
          <w:sz w:val="17"/>
          <w:szCs w:val="17"/>
          <w:color w:val="auto"/>
        </w:rPr>
        <w:t>RMC-6291 is designed as a first-in-class, potent, oral and selective tri-complex inhibitor of KRAS</w:t>
      </w:r>
      <w:r>
        <w:rPr>
          <w:rFonts w:ascii="Arial" w:cs="Arial" w:eastAsia="Arial" w:hAnsi="Arial"/>
          <w:sz w:val="23"/>
          <w:szCs w:val="23"/>
          <w:color w:val="auto"/>
          <w:vertAlign w:val="superscript"/>
        </w:rPr>
        <w:t>G12C</w:t>
      </w:r>
      <w:r>
        <w:rPr>
          <w:rFonts w:ascii="Arial" w:cs="Arial" w:eastAsia="Arial" w:hAnsi="Arial"/>
          <w:sz w:val="17"/>
          <w:szCs w:val="17"/>
          <w:color w:val="auto"/>
        </w:rPr>
        <w:t>(ON). It is designed to exhibit subnanomolar potency for suppressing RAS pathway signaling and growth of KRAS</w:t>
      </w:r>
      <w:r>
        <w:rPr>
          <w:rFonts w:ascii="Arial" w:cs="Arial" w:eastAsia="Arial" w:hAnsi="Arial"/>
          <w:sz w:val="23"/>
          <w:szCs w:val="23"/>
          <w:color w:val="auto"/>
          <w:vertAlign w:val="superscript"/>
        </w:rPr>
        <w:t>G12C</w:t>
      </w:r>
      <w:r>
        <w:rPr>
          <w:rFonts w:ascii="Arial" w:cs="Arial" w:eastAsia="Arial" w:hAnsi="Arial"/>
          <w:sz w:val="17"/>
          <w:szCs w:val="17"/>
          <w:color w:val="auto"/>
        </w:rPr>
        <w:t>-bearing cancer cells and is engineered to be highly selective for KRAS</w:t>
      </w:r>
      <w:r>
        <w:rPr>
          <w:rFonts w:ascii="Arial" w:cs="Arial" w:eastAsia="Arial" w:hAnsi="Arial"/>
          <w:sz w:val="23"/>
          <w:szCs w:val="23"/>
          <w:color w:val="auto"/>
          <w:vertAlign w:val="superscript"/>
        </w:rPr>
        <w:t>G12C</w:t>
      </w:r>
      <w:r>
        <w:rPr>
          <w:rFonts w:ascii="Arial" w:cs="Arial" w:eastAsia="Arial" w:hAnsi="Arial"/>
          <w:sz w:val="17"/>
          <w:szCs w:val="17"/>
          <w:color w:val="auto"/>
        </w:rPr>
        <w:t xml:space="preserve"> over wild type RAS and other cellular targets. RMC-6291 is designed to be differentiated from first-generation KRAS</w:t>
      </w:r>
      <w:r>
        <w:rPr>
          <w:rFonts w:ascii="Arial" w:cs="Arial" w:eastAsia="Arial" w:hAnsi="Arial"/>
          <w:sz w:val="23"/>
          <w:szCs w:val="23"/>
          <w:color w:val="auto"/>
          <w:vertAlign w:val="superscript"/>
        </w:rPr>
        <w:t>G12C</w:t>
      </w:r>
      <w:r>
        <w:rPr>
          <w:rFonts w:ascii="Arial" w:cs="Arial" w:eastAsia="Arial" w:hAnsi="Arial"/>
          <w:sz w:val="17"/>
          <w:szCs w:val="17"/>
          <w:color w:val="auto"/>
        </w:rPr>
        <w:t>(OFF) inhibitors, which sequester the KRAS</w:t>
      </w:r>
      <w:r>
        <w:rPr>
          <w:rFonts w:ascii="Arial" w:cs="Arial" w:eastAsia="Arial" w:hAnsi="Arial"/>
          <w:sz w:val="23"/>
          <w:szCs w:val="23"/>
          <w:color w:val="auto"/>
          <w:vertAlign w:val="superscript"/>
        </w:rPr>
        <w:t>G12C</w:t>
      </w:r>
      <w:r>
        <w:rPr>
          <w:rFonts w:ascii="Arial" w:cs="Arial" w:eastAsia="Arial" w:hAnsi="Arial"/>
          <w:sz w:val="17"/>
          <w:szCs w:val="17"/>
          <w:color w:val="auto"/>
        </w:rPr>
        <w:t>(OFF) form, by its mechanism of directly inhibiting the KRAS</w:t>
      </w:r>
      <w:r>
        <w:rPr>
          <w:rFonts w:ascii="Arial" w:cs="Arial" w:eastAsia="Arial" w:hAnsi="Arial"/>
          <w:sz w:val="23"/>
          <w:szCs w:val="23"/>
          <w:color w:val="auto"/>
          <w:vertAlign w:val="superscript"/>
        </w:rPr>
        <w:t>G12C</w:t>
      </w:r>
      <w:r>
        <w:rPr>
          <w:rFonts w:ascii="Arial" w:cs="Arial" w:eastAsia="Arial" w:hAnsi="Arial"/>
          <w:sz w:val="17"/>
          <w:szCs w:val="17"/>
          <w:color w:val="auto"/>
        </w:rPr>
        <w:t>(ON) form.</w:t>
      </w:r>
    </w:p>
    <w:p>
      <w:pPr>
        <w:spacing w:after="0" w:line="88"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A monotherapy dose-escalation study of RMC-6291 is ongoing and, based on early observations from this study, we believe that RMC-6291 is orally bioavailable in patients, that it is exhibiting pharmacokinetics consistent with our expectations based on preclinical experiments and that we are dosing the compound in a pharmacologically active range with acceptable safety and tolerability. We currently expect to provide preliminary evidence of a superior profile for this compound in the second half of 2023.</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i w:val="1"/>
          <w:iCs w:val="1"/>
          <w:color w:val="auto"/>
        </w:rPr>
        <w:t>RMC-9805</w:t>
      </w:r>
    </w:p>
    <w:p>
      <w:pPr>
        <w:spacing w:after="0" w:line="189" w:lineRule="exact"/>
        <w:rPr>
          <w:sz w:val="20"/>
          <w:szCs w:val="20"/>
          <w:color w:val="auto"/>
        </w:rPr>
      </w:pPr>
    </w:p>
    <w:p>
      <w:pPr>
        <w:ind w:firstLine="509"/>
        <w:spacing w:after="0" w:line="249" w:lineRule="auto"/>
        <w:rPr>
          <w:sz w:val="20"/>
          <w:szCs w:val="20"/>
          <w:color w:val="auto"/>
        </w:rPr>
      </w:pPr>
      <w:r>
        <w:rPr>
          <w:rFonts w:ascii="Arial" w:cs="Arial" w:eastAsia="Arial" w:hAnsi="Arial"/>
          <w:sz w:val="16"/>
          <w:szCs w:val="16"/>
          <w:color w:val="auto"/>
        </w:rPr>
        <w:t>RMC-9805 is designed as a first-in-class, potent, oral and selective, tri-complex inhibitor of KRAS</w:t>
      </w:r>
      <w:r>
        <w:rPr>
          <w:rFonts w:ascii="Arial" w:cs="Arial" w:eastAsia="Arial" w:hAnsi="Arial"/>
          <w:sz w:val="21"/>
          <w:szCs w:val="21"/>
          <w:color w:val="auto"/>
          <w:vertAlign w:val="superscript"/>
        </w:rPr>
        <w:t>G12D</w:t>
      </w:r>
      <w:r>
        <w:rPr>
          <w:rFonts w:ascii="Arial" w:cs="Arial" w:eastAsia="Arial" w:hAnsi="Arial"/>
          <w:sz w:val="16"/>
          <w:szCs w:val="16"/>
          <w:color w:val="auto"/>
        </w:rPr>
        <w:t>(ON). It is designed to exhibit low nanomolar potency for suppressing RAS pathway signaling and growth of KRAS</w:t>
      </w:r>
      <w:r>
        <w:rPr>
          <w:rFonts w:ascii="Arial" w:cs="Arial" w:eastAsia="Arial" w:hAnsi="Arial"/>
          <w:sz w:val="21"/>
          <w:szCs w:val="21"/>
          <w:color w:val="auto"/>
          <w:vertAlign w:val="superscript"/>
        </w:rPr>
        <w:t>G12D</w:t>
      </w:r>
      <w:r>
        <w:rPr>
          <w:rFonts w:ascii="Arial" w:cs="Arial" w:eastAsia="Arial" w:hAnsi="Arial"/>
          <w:sz w:val="16"/>
          <w:szCs w:val="16"/>
          <w:color w:val="auto"/>
        </w:rPr>
        <w:t>-bearing cancer cells and is engineered to covalently inactivate KRAS</w:t>
      </w:r>
      <w:r>
        <w:rPr>
          <w:rFonts w:ascii="Arial" w:cs="Arial" w:eastAsia="Arial" w:hAnsi="Arial"/>
          <w:sz w:val="21"/>
          <w:szCs w:val="21"/>
          <w:color w:val="auto"/>
          <w:vertAlign w:val="superscript"/>
        </w:rPr>
        <w:t>G12D</w:t>
      </w:r>
      <w:r>
        <w:rPr>
          <w:rFonts w:ascii="Arial" w:cs="Arial" w:eastAsia="Arial" w:hAnsi="Arial"/>
          <w:sz w:val="16"/>
          <w:szCs w:val="16"/>
          <w:color w:val="auto"/>
        </w:rPr>
        <w:t xml:space="preserve"> irreversibly. We currently expect to announce dosing of the first patient in a monotherapy dose-escalation study of this compound in mid-2023.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RAS(ON) Inhibitors</w:t>
      </w:r>
    </w:p>
    <w:p>
      <w:pPr>
        <w:spacing w:after="0" w:line="198" w:lineRule="exact"/>
        <w:rPr>
          <w:sz w:val="20"/>
          <w:szCs w:val="20"/>
          <w:color w:val="auto"/>
        </w:rPr>
      </w:pPr>
    </w:p>
    <w:p>
      <w:pPr>
        <w:ind w:right="80" w:firstLine="509"/>
        <w:spacing w:after="0" w:line="259" w:lineRule="auto"/>
        <w:rPr>
          <w:sz w:val="20"/>
          <w:szCs w:val="20"/>
          <w:color w:val="auto"/>
        </w:rPr>
      </w:pPr>
      <w:r>
        <w:rPr>
          <w:rFonts w:ascii="Arial" w:cs="Arial" w:eastAsia="Arial" w:hAnsi="Arial"/>
          <w:sz w:val="16"/>
          <w:szCs w:val="16"/>
          <w:color w:val="auto"/>
        </w:rPr>
        <w:t>Beyond this first wave of RAS(ON) Inhibitors, we have other RAS(ON) Inhibitor compounds currently in our research and development pipeline, including our development candidate RMC-8839, which is designed as a first-in-class, potent, oral and selective, covalent tri-complex inhibitor of KRAS</w:t>
      </w:r>
      <w:r>
        <w:rPr>
          <w:rFonts w:ascii="Arial" w:cs="Arial" w:eastAsia="Arial" w:hAnsi="Arial"/>
          <w:sz w:val="21"/>
          <w:szCs w:val="21"/>
          <w:color w:val="auto"/>
          <w:vertAlign w:val="superscript"/>
        </w:rPr>
        <w:t>G13C</w:t>
      </w:r>
      <w:r>
        <w:rPr>
          <w:rFonts w:ascii="Arial" w:cs="Arial" w:eastAsia="Arial" w:hAnsi="Arial"/>
          <w:sz w:val="16"/>
          <w:szCs w:val="16"/>
          <w:color w:val="auto"/>
        </w:rPr>
        <w:t>(ON) and RMC-0708, which is designed as a first-in-class, potent, oral and selective, non-covalent tri-complex inhibitor of KRAS</w:t>
      </w:r>
      <w:r>
        <w:rPr>
          <w:rFonts w:ascii="Arial" w:cs="Arial" w:eastAsia="Arial" w:hAnsi="Arial"/>
          <w:sz w:val="21"/>
          <w:szCs w:val="21"/>
          <w:color w:val="auto"/>
          <w:vertAlign w:val="superscript"/>
        </w:rPr>
        <w:t>Q61H</w:t>
      </w:r>
      <w:r>
        <w:rPr>
          <w:rFonts w:ascii="Arial" w:cs="Arial" w:eastAsia="Arial" w:hAnsi="Arial"/>
          <w:sz w:val="16"/>
          <w:szCs w:val="16"/>
          <w:color w:val="auto"/>
        </w:rPr>
        <w:t>(ON). RMC-8839 is designed to exhibit picomolar potency for suppressing RAS pathway signaling and growth of KRAS</w:t>
      </w:r>
      <w:r>
        <w:rPr>
          <w:rFonts w:ascii="Arial" w:cs="Arial" w:eastAsia="Arial" w:hAnsi="Arial"/>
          <w:sz w:val="21"/>
          <w:szCs w:val="21"/>
          <w:color w:val="auto"/>
          <w:vertAlign w:val="superscript"/>
        </w:rPr>
        <w:t>G13C</w:t>
      </w:r>
      <w:r>
        <w:rPr>
          <w:rFonts w:ascii="Arial" w:cs="Arial" w:eastAsia="Arial" w:hAnsi="Arial"/>
          <w:sz w:val="16"/>
          <w:szCs w:val="16"/>
          <w:color w:val="auto"/>
        </w:rPr>
        <w:t>-bearing cancer cells and is engineered to covalently inactivate KRAS</w:t>
      </w:r>
      <w:r>
        <w:rPr>
          <w:rFonts w:ascii="Arial" w:cs="Arial" w:eastAsia="Arial" w:hAnsi="Arial"/>
          <w:sz w:val="21"/>
          <w:szCs w:val="21"/>
          <w:color w:val="auto"/>
          <w:vertAlign w:val="superscript"/>
        </w:rPr>
        <w:t>G13C</w:t>
      </w:r>
      <w:r>
        <w:rPr>
          <w:rFonts w:ascii="Arial" w:cs="Arial" w:eastAsia="Arial" w:hAnsi="Arial"/>
          <w:sz w:val="16"/>
          <w:szCs w:val="16"/>
          <w:color w:val="auto"/>
        </w:rPr>
        <w:t xml:space="preserve"> for irreversible inhibition. RMC-0708 is designed to exhibit picomolar potency for suppressing RAS pathway signaling and growth of KRAS</w:t>
      </w:r>
      <w:r>
        <w:rPr>
          <w:rFonts w:ascii="Arial" w:cs="Arial" w:eastAsia="Arial" w:hAnsi="Arial"/>
          <w:sz w:val="21"/>
          <w:szCs w:val="21"/>
          <w:color w:val="auto"/>
          <w:vertAlign w:val="superscript"/>
        </w:rPr>
        <w:t>Q61H</w:t>
      </w:r>
      <w:r>
        <w:rPr>
          <w:rFonts w:ascii="Arial" w:cs="Arial" w:eastAsia="Arial" w:hAnsi="Arial"/>
          <w:sz w:val="16"/>
          <w:szCs w:val="16"/>
          <w:color w:val="auto"/>
        </w:rPr>
        <w:t>-bearing cancer cells and is engineered for selective inhibition of KRAS</w:t>
      </w:r>
      <w:r>
        <w:rPr>
          <w:rFonts w:ascii="Arial" w:cs="Arial" w:eastAsia="Arial" w:hAnsi="Arial"/>
          <w:sz w:val="21"/>
          <w:szCs w:val="21"/>
          <w:color w:val="auto"/>
          <w:vertAlign w:val="superscript"/>
        </w:rPr>
        <w:t>Q61H</w:t>
      </w:r>
      <w:r>
        <w:rPr>
          <w:rFonts w:ascii="Arial" w:cs="Arial" w:eastAsia="Arial" w:hAnsi="Arial"/>
          <w:sz w:val="16"/>
          <w:szCs w:val="16"/>
          <w:color w:val="auto"/>
        </w:rPr>
        <w:t xml:space="preserve"> over other RAS isoforms via non-covalent binding interactions. We are pursuing pipeline expansion programs focused on KRAS</w:t>
      </w:r>
      <w:r>
        <w:rPr>
          <w:rFonts w:ascii="Arial" w:cs="Arial" w:eastAsia="Arial" w:hAnsi="Arial"/>
          <w:sz w:val="21"/>
          <w:szCs w:val="21"/>
          <w:color w:val="auto"/>
          <w:vertAlign w:val="superscript"/>
        </w:rPr>
        <w:t>G12R</w:t>
      </w:r>
      <w:r>
        <w:rPr>
          <w:rFonts w:ascii="Arial" w:cs="Arial" w:eastAsia="Arial" w:hAnsi="Arial"/>
          <w:sz w:val="16"/>
          <w:szCs w:val="16"/>
          <w:color w:val="auto"/>
        </w:rPr>
        <w:t>, KRAS</w:t>
      </w:r>
      <w:r>
        <w:rPr>
          <w:rFonts w:ascii="Arial" w:cs="Arial" w:eastAsia="Arial" w:hAnsi="Arial"/>
          <w:sz w:val="21"/>
          <w:szCs w:val="21"/>
          <w:color w:val="auto"/>
          <w:vertAlign w:val="superscript"/>
        </w:rPr>
        <w:t>G12V</w:t>
      </w:r>
      <w:r>
        <w:rPr>
          <w:rFonts w:ascii="Arial" w:cs="Arial" w:eastAsia="Arial" w:hAnsi="Arial"/>
          <w:sz w:val="16"/>
          <w:szCs w:val="16"/>
          <w:color w:val="auto"/>
        </w:rPr>
        <w:t>, KRAS</w:t>
      </w:r>
      <w:r>
        <w:rPr>
          <w:rFonts w:ascii="Arial" w:cs="Arial" w:eastAsia="Arial" w:hAnsi="Arial"/>
          <w:sz w:val="21"/>
          <w:szCs w:val="21"/>
          <w:color w:val="auto"/>
          <w:vertAlign w:val="superscript"/>
        </w:rPr>
        <w:t>G13D</w:t>
      </w:r>
      <w:r>
        <w:rPr>
          <w:rFonts w:ascii="Arial" w:cs="Arial" w:eastAsia="Arial" w:hAnsi="Arial"/>
          <w:sz w:val="16"/>
          <w:szCs w:val="16"/>
          <w:color w:val="auto"/>
        </w:rPr>
        <w:t>, RAS</w:t>
      </w:r>
      <w:r>
        <w:rPr>
          <w:rFonts w:ascii="Arial" w:cs="Arial" w:eastAsia="Arial" w:hAnsi="Arial"/>
          <w:sz w:val="21"/>
          <w:szCs w:val="21"/>
          <w:color w:val="auto"/>
          <w:vertAlign w:val="superscript"/>
        </w:rPr>
        <w:t>Q61X</w:t>
      </w:r>
      <w:r>
        <w:rPr>
          <w:rFonts w:ascii="Arial" w:cs="Arial" w:eastAsia="Arial" w:hAnsi="Arial"/>
          <w:sz w:val="16"/>
          <w:szCs w:val="16"/>
          <w:color w:val="auto"/>
        </w:rPr>
        <w:t xml:space="preserve"> and other targets</w:t>
      </w:r>
      <w:r>
        <w:rPr>
          <w:rFonts w:ascii="Arial" w:cs="Arial" w:eastAsia="Arial" w:hAnsi="Arial"/>
          <w:sz w:val="18"/>
          <w:szCs w:val="18"/>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RAS Companion Inhibitors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RMC-4630</w:t>
      </w:r>
    </w:p>
    <w:p>
      <w:pPr>
        <w:spacing w:after="0" w:line="212" w:lineRule="exact"/>
        <w:rPr>
          <w:sz w:val="20"/>
          <w:szCs w:val="20"/>
          <w:color w:val="auto"/>
        </w:rPr>
      </w:pPr>
    </w:p>
    <w:p>
      <w:pPr>
        <w:ind w:right="100" w:firstLine="563"/>
        <w:spacing w:after="0" w:line="273" w:lineRule="auto"/>
        <w:rPr>
          <w:sz w:val="20"/>
          <w:szCs w:val="20"/>
          <w:color w:val="auto"/>
        </w:rPr>
      </w:pPr>
      <w:r>
        <w:rPr>
          <w:rFonts w:ascii="Arial" w:cs="Arial" w:eastAsia="Arial" w:hAnsi="Arial"/>
          <w:sz w:val="17"/>
          <w:szCs w:val="17"/>
          <w:color w:val="auto"/>
        </w:rPr>
        <w:t>Our RAS Companion Inhibitor RMC-4630 is designed as a potent and selective inhibitor of SHP2, a central node in the RAS signaling pathway. RMC-4630 is being evaluated in a Phase 1/2 clinical program. In 2018, we entered into a collaborative research, development and commercialization agreement with Aventis, Inc. (an affiliate of Sanofi) (the Sanofi Agreement) with respect to SHP2 inhibitors, including RMC-4630. The Sanofi Agreement has been terminated effective as of June 2023, and following the effectiveness of termination, we will regain all global rights granted under the Sanofi Agreement (except as necessary to permit Sanofi to perform any surviving obligations under the Sanofi Agreement), including decision-making regarding research and development, and rights to all commercial proceeds, from RMC-4630.</w:t>
      </w:r>
    </w:p>
    <w:p>
      <w:pPr>
        <w:spacing w:after="0" w:line="164" w:lineRule="exact"/>
        <w:rPr>
          <w:sz w:val="20"/>
          <w:szCs w:val="20"/>
          <w:color w:val="auto"/>
        </w:rPr>
      </w:pPr>
    </w:p>
    <w:p>
      <w:pPr>
        <w:ind w:right="180" w:firstLine="563"/>
        <w:spacing w:after="0" w:line="274" w:lineRule="auto"/>
        <w:rPr>
          <w:sz w:val="20"/>
          <w:szCs w:val="20"/>
          <w:color w:val="auto"/>
        </w:rPr>
      </w:pPr>
      <w:r>
        <w:rPr>
          <w:rFonts w:ascii="Arial" w:cs="Arial" w:eastAsia="Arial" w:hAnsi="Arial"/>
          <w:sz w:val="18"/>
          <w:szCs w:val="18"/>
          <w:color w:val="auto"/>
        </w:rPr>
        <w:t>Our highest priority hypothesis regarding RMC-4630 is that it can deliver additional clinical benefit to patients with RAS-addicted tumors treated with a RAS inhibitor. Below is a list of the clinical studies of RMC-4630 in combination with RAS inhibitors</w:t>
      </w:r>
      <w:r>
        <w:rPr>
          <w:rFonts w:ascii="Arial" w:cs="Arial" w:eastAsia="Arial" w:hAnsi="Arial"/>
          <w:sz w:val="21"/>
          <w:szCs w:val="21"/>
          <w:color w:val="auto"/>
        </w:rPr>
        <w:t>:</w:t>
      </w:r>
    </w:p>
    <w:p>
      <w:pPr>
        <w:spacing w:after="0" w:line="60" w:lineRule="exact"/>
        <w:rPr>
          <w:sz w:val="20"/>
          <w:szCs w:val="20"/>
          <w:color w:val="auto"/>
        </w:rPr>
      </w:pPr>
    </w:p>
    <w:p>
      <w:pPr>
        <w:ind w:left="1080" w:hanging="563"/>
        <w:spacing w:after="0"/>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 Amgen-sponsored Phase 1b study of RMC-4630 in combination with Amgen’s KRAS</w:t>
      </w:r>
      <w:r>
        <w:rPr>
          <w:rFonts w:ascii="Arial" w:cs="Arial" w:eastAsia="Arial" w:hAnsi="Arial"/>
          <w:sz w:val="21"/>
          <w:szCs w:val="21"/>
          <w:color w:val="auto"/>
          <w:vertAlign w:val="superscript"/>
        </w:rPr>
        <w:t>G12C</w:t>
      </w:r>
      <w:r>
        <w:rPr>
          <w:rFonts w:ascii="Arial" w:cs="Arial" w:eastAsia="Arial" w:hAnsi="Arial"/>
          <w:sz w:val="16"/>
          <w:szCs w:val="16"/>
          <w:color w:val="auto"/>
        </w:rPr>
        <w:t>(OFF) inhibitor, sotorasib (LUMAKRAS</w:t>
      </w:r>
      <w:r>
        <w:rPr>
          <w:rFonts w:ascii="Arial" w:cs="Arial" w:eastAsia="Arial" w:hAnsi="Arial"/>
          <w:sz w:val="21"/>
          <w:szCs w:val="21"/>
          <w:color w:val="auto"/>
          <w:vertAlign w:val="superscript"/>
        </w:rPr>
        <w:t>(R)</w:t>
      </w:r>
      <w:r>
        <w:rPr>
          <w:rFonts w:ascii="Arial" w:cs="Arial" w:eastAsia="Arial" w:hAnsi="Arial"/>
          <w:sz w:val="16"/>
          <w:szCs w:val="16"/>
          <w:color w:val="auto"/>
        </w:rPr>
        <w:t>);</w:t>
      </w:r>
    </w:p>
    <w:p>
      <w:pPr>
        <w:spacing w:after="0" w:line="104" w:lineRule="exact"/>
        <w:rPr>
          <w:rFonts w:ascii="Arial" w:cs="Arial" w:eastAsia="Arial" w:hAnsi="Arial"/>
          <w:sz w:val="16"/>
          <w:szCs w:val="16"/>
          <w:color w:val="auto"/>
        </w:rPr>
      </w:pPr>
    </w:p>
    <w:p>
      <w:pPr>
        <w:ind w:left="1020" w:right="240" w:hanging="503"/>
        <w:spacing w:after="0" w:line="277"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RMC-4630-03, a Phase 2 study of RMC-4630 in combination with sotorasib that we are sponsoring under a clinical trial collaboration and supply agreement with Amgen; and</w:t>
      </w:r>
    </w:p>
    <w:p>
      <w:pPr>
        <w:spacing w:after="0" w:line="67" w:lineRule="exact"/>
        <w:rPr>
          <w:rFonts w:ascii="Arial" w:cs="Arial" w:eastAsia="Arial" w:hAnsi="Arial"/>
          <w:sz w:val="18"/>
          <w:szCs w:val="18"/>
          <w:color w:val="auto"/>
        </w:rPr>
      </w:pPr>
    </w:p>
    <w:p>
      <w:pPr>
        <w:ind w:left="1020" w:right="880" w:hanging="503"/>
        <w:spacing w:after="0" w:line="244" w:lineRule="auto"/>
        <w:tabs>
          <w:tab w:leader="none" w:pos="10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Sanofi-sponsored Phase 1/2 study of RMC-4630 in combination with Mirati Therapeutics’ KRAS</w:t>
      </w:r>
      <w:r>
        <w:rPr>
          <w:rFonts w:ascii="Arial" w:cs="Arial" w:eastAsia="Arial" w:hAnsi="Arial"/>
          <w:sz w:val="24"/>
          <w:szCs w:val="24"/>
          <w:color w:val="auto"/>
          <w:vertAlign w:val="superscript"/>
        </w:rPr>
        <w:t>G12C</w:t>
      </w:r>
      <w:r>
        <w:rPr>
          <w:rFonts w:ascii="Arial" w:cs="Arial" w:eastAsia="Arial" w:hAnsi="Arial"/>
          <w:sz w:val="18"/>
          <w:szCs w:val="18"/>
          <w:color w:val="auto"/>
        </w:rPr>
        <w:t>(OFF) inhibitor, adagrasib (KRAZATI</w:t>
      </w:r>
      <w:r>
        <w:rPr>
          <w:rFonts w:ascii="Arial" w:cs="Arial" w:eastAsia="Arial" w:hAnsi="Arial"/>
          <w:sz w:val="24"/>
          <w:szCs w:val="24"/>
          <w:color w:val="auto"/>
          <w:vertAlign w:val="superscript"/>
        </w:rPr>
        <w:t>(R)</w:t>
      </w:r>
      <w:r>
        <w:rPr>
          <w:rFonts w:ascii="Arial" w:cs="Arial" w:eastAsia="Arial" w:hAnsi="Arial"/>
          <w:sz w:val="18"/>
          <w:szCs w:val="18"/>
          <w:color w:val="auto"/>
        </w:rPr>
        <w:t>).</w:t>
      </w:r>
    </w:p>
    <w:p>
      <w:pPr>
        <w:spacing w:after="0" w:line="127" w:lineRule="exact"/>
        <w:rPr>
          <w:sz w:val="20"/>
          <w:szCs w:val="20"/>
          <w:color w:val="auto"/>
        </w:rPr>
      </w:pPr>
    </w:p>
    <w:p>
      <w:pPr>
        <w:ind w:right="720" w:firstLine="563"/>
        <w:spacing w:after="0" w:line="237" w:lineRule="auto"/>
        <w:rPr>
          <w:sz w:val="20"/>
          <w:szCs w:val="20"/>
          <w:color w:val="auto"/>
        </w:rPr>
      </w:pPr>
      <w:r>
        <w:rPr>
          <w:rFonts w:ascii="Arial" w:cs="Arial" w:eastAsia="Arial" w:hAnsi="Arial"/>
          <w:sz w:val="17"/>
          <w:szCs w:val="17"/>
          <w:color w:val="auto"/>
        </w:rPr>
        <w:t>Amgen is currently evaluating RMC-4630 in a Phase 1b study in combination with Amgen’s KRAS</w:t>
      </w:r>
      <w:r>
        <w:rPr>
          <w:rFonts w:ascii="Arial" w:cs="Arial" w:eastAsia="Arial" w:hAnsi="Arial"/>
          <w:sz w:val="23"/>
          <w:szCs w:val="23"/>
          <w:color w:val="auto"/>
          <w:vertAlign w:val="superscript"/>
        </w:rPr>
        <w:t>G12C</w:t>
      </w:r>
      <w:r>
        <w:rPr>
          <w:rFonts w:ascii="Arial" w:cs="Arial" w:eastAsia="Arial" w:hAnsi="Arial"/>
          <w:sz w:val="17"/>
          <w:szCs w:val="17"/>
          <w:color w:val="auto"/>
        </w:rPr>
        <w:t>(OFF) agent sotorasib in Amgen’s CodeBreaK 101c study. In August 2022, Amgen reported results from this study at the 2022 World Conference on Lung Cancer.</w:t>
      </w:r>
    </w:p>
    <w:p>
      <w:pPr>
        <w:spacing w:after="0" w:line="162" w:lineRule="exact"/>
        <w:rPr>
          <w:sz w:val="20"/>
          <w:szCs w:val="20"/>
          <w:color w:val="auto"/>
        </w:rPr>
      </w:pPr>
    </w:p>
    <w:p>
      <w:pPr>
        <w:jc w:val="both"/>
        <w:ind w:right="140" w:firstLine="554"/>
        <w:spacing w:after="0" w:line="241" w:lineRule="auto"/>
        <w:rPr>
          <w:sz w:val="20"/>
          <w:szCs w:val="20"/>
          <w:color w:val="auto"/>
        </w:rPr>
      </w:pPr>
      <w:r>
        <w:rPr>
          <w:rFonts w:ascii="Arial" w:cs="Arial" w:eastAsia="Arial" w:hAnsi="Arial"/>
          <w:sz w:val="18"/>
          <w:szCs w:val="18"/>
          <w:color w:val="auto"/>
        </w:rPr>
        <w:t>As a complement to the CodeBreaK 101c study, we are sponsoring RMC-4630-03, which is an additional global Phase 2 study of RMC-4630 in combination with sotorasib for patients with non-small cell lung cancer (NSCLC) carrying a KRAS</w:t>
      </w:r>
      <w:r>
        <w:rPr>
          <w:rFonts w:ascii="Arial" w:cs="Arial" w:eastAsia="Arial" w:hAnsi="Arial"/>
          <w:sz w:val="24"/>
          <w:szCs w:val="24"/>
          <w:color w:val="auto"/>
          <w:vertAlign w:val="superscript"/>
        </w:rPr>
        <w:t>G12C</w:t>
      </w:r>
      <w:r>
        <w:rPr>
          <w:rFonts w:ascii="Arial" w:cs="Arial" w:eastAsia="Arial" w:hAnsi="Arial"/>
          <w:sz w:val="18"/>
          <w:szCs w:val="18"/>
          <w:color w:val="auto"/>
        </w:rPr>
        <w:t xml:space="preserve"> mutation who have failed prior standard therapy and who have not previously been treated with a RAS inhibitor. We are sponsoring the RMC-4630-03 study under our global partnership with Sanofi and conducting the trial in collaboration with Amgen, which is supplying sotorasib globally under a clinical collaboration and supply agreement. We currently plan to provide topline data from this study in the second half of 2023.</w:t>
      </w:r>
    </w:p>
    <w:p>
      <w:pPr>
        <w:spacing w:after="0" w:line="160" w:lineRule="exact"/>
        <w:rPr>
          <w:sz w:val="20"/>
          <w:szCs w:val="20"/>
          <w:color w:val="auto"/>
        </w:rPr>
      </w:pPr>
    </w:p>
    <w:p>
      <w:pPr>
        <w:ind w:right="180" w:firstLine="554"/>
        <w:spacing w:after="0" w:line="236" w:lineRule="auto"/>
        <w:rPr>
          <w:sz w:val="20"/>
          <w:szCs w:val="20"/>
          <w:color w:val="auto"/>
        </w:rPr>
      </w:pPr>
      <w:r>
        <w:rPr>
          <w:rFonts w:ascii="Arial" w:cs="Arial" w:eastAsia="Arial" w:hAnsi="Arial"/>
          <w:sz w:val="18"/>
          <w:szCs w:val="18"/>
          <w:color w:val="auto"/>
        </w:rPr>
        <w:t>Sanofi has sponsored a combination study under the Sanofi Agreement and under a clinical trial collaboration and supply agreement between Sanofi and Mirati to evaluate RMC-4630 (also known as SAR442720) in combination with Mirati’s KRAS</w:t>
      </w:r>
      <w:r>
        <w:rPr>
          <w:rFonts w:ascii="Arial" w:cs="Arial" w:eastAsia="Arial" w:hAnsi="Arial"/>
          <w:sz w:val="24"/>
          <w:szCs w:val="24"/>
          <w:color w:val="auto"/>
          <w:vertAlign w:val="superscript"/>
        </w:rPr>
        <w:t>G12C</w:t>
      </w:r>
      <w:r>
        <w:rPr>
          <w:rFonts w:ascii="Arial" w:cs="Arial" w:eastAsia="Arial" w:hAnsi="Arial"/>
          <w:sz w:val="18"/>
          <w:szCs w:val="18"/>
          <w:color w:val="auto"/>
        </w:rPr>
        <w:t>(OFF) inhibitor, adagrasib. We expect that this study will be wound down in connection with the termination of the Sanofi Agreement</w:t>
      </w:r>
      <w:r>
        <w:rPr>
          <w:rFonts w:ascii="Arial" w:cs="Arial" w:eastAsia="Arial" w:hAnsi="Arial"/>
          <w:sz w:val="21"/>
          <w:szCs w:val="21"/>
          <w:color w:val="auto"/>
        </w:rPr>
        <w: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ind w:left="580"/>
        <w:spacing w:after="0"/>
        <w:rPr>
          <w:sz w:val="20"/>
          <w:szCs w:val="20"/>
          <w:color w:val="auto"/>
        </w:rPr>
      </w:pPr>
      <w:r>
        <w:rPr>
          <w:rFonts w:ascii="Arial" w:cs="Arial" w:eastAsia="Arial" w:hAnsi="Arial"/>
          <w:sz w:val="18"/>
          <w:szCs w:val="18"/>
          <w:color w:val="auto"/>
        </w:rPr>
        <w:t>There are also several clinical studies of RMC-4630 that do not involve combinations with RAS inhibitors:</w:t>
      </w:r>
    </w:p>
    <w:p>
      <w:pPr>
        <w:spacing w:after="0" w:line="117" w:lineRule="exact"/>
        <w:rPr>
          <w:sz w:val="20"/>
          <w:szCs w:val="20"/>
          <w:color w:val="auto"/>
        </w:rPr>
      </w:pPr>
    </w:p>
    <w:p>
      <w:pPr>
        <w:ind w:left="1020" w:hanging="503"/>
        <w:spacing w:after="0"/>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RMC-4630-01, a Phase 1 study of RMC-4630 as monotherapy;</w:t>
      </w:r>
    </w:p>
    <w:p>
      <w:pPr>
        <w:spacing w:after="0" w:line="121" w:lineRule="exact"/>
        <w:rPr>
          <w:rFonts w:ascii="Arial" w:cs="Arial" w:eastAsia="Arial" w:hAnsi="Arial"/>
          <w:sz w:val="18"/>
          <w:szCs w:val="18"/>
          <w:color w:val="auto"/>
        </w:rPr>
      </w:pPr>
    </w:p>
    <w:p>
      <w:pPr>
        <w:ind w:left="1020" w:right="20" w:hanging="503"/>
        <w:spacing w:after="0" w:line="232"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Sanofi-sponsored Phase 1/2 study of RMC-4630 in combination with the PD-1 inhibitor pembrolizumab (Keytruda</w:t>
      </w:r>
      <w:r>
        <w:rPr>
          <w:rFonts w:ascii="Arial" w:cs="Arial" w:eastAsia="Arial" w:hAnsi="Arial"/>
          <w:sz w:val="24"/>
          <w:szCs w:val="24"/>
          <w:color w:val="auto"/>
          <w:vertAlign w:val="superscript"/>
        </w:rPr>
        <w:t>®</w:t>
      </w:r>
      <w:r>
        <w:rPr>
          <w:rFonts w:ascii="Arial" w:cs="Arial" w:eastAsia="Arial" w:hAnsi="Arial"/>
          <w:sz w:val="18"/>
          <w:szCs w:val="18"/>
          <w:color w:val="auto"/>
        </w:rPr>
        <w:t>), which we expect will be wound down in connection with the termination of the Sanofi Agreement and</w:t>
      </w:r>
    </w:p>
    <w:p>
      <w:pPr>
        <w:spacing w:after="0" w:line="95" w:lineRule="exact"/>
        <w:rPr>
          <w:rFonts w:ascii="Arial" w:cs="Arial" w:eastAsia="Arial" w:hAnsi="Arial"/>
          <w:sz w:val="18"/>
          <w:szCs w:val="18"/>
          <w:color w:val="auto"/>
        </w:rPr>
      </w:pPr>
    </w:p>
    <w:p>
      <w:pPr>
        <w:ind w:left="1020" w:right="760" w:hanging="503"/>
        <w:spacing w:after="0" w:line="277" w:lineRule="auto"/>
        <w:tabs>
          <w:tab w:leader="none" w:pos="10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combination of RMC-4630 with an ERK inhibitor in patients with pancreatic cancer as part of an investigator-sponsored study by Netherlands Cancer Institute.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RMC-5552</w:t>
      </w:r>
    </w:p>
    <w:p>
      <w:pPr>
        <w:spacing w:after="0" w:line="225" w:lineRule="exact"/>
        <w:rPr>
          <w:sz w:val="20"/>
          <w:szCs w:val="20"/>
          <w:color w:val="auto"/>
        </w:rPr>
      </w:pPr>
    </w:p>
    <w:p>
      <w:pPr>
        <w:jc w:val="both"/>
        <w:ind w:right="200" w:firstLine="563"/>
        <w:spacing w:after="0" w:line="263" w:lineRule="auto"/>
        <w:rPr>
          <w:sz w:val="20"/>
          <w:szCs w:val="20"/>
          <w:color w:val="auto"/>
        </w:rPr>
      </w:pPr>
      <w:r>
        <w:rPr>
          <w:rFonts w:ascii="Arial" w:cs="Arial" w:eastAsia="Arial" w:hAnsi="Arial"/>
          <w:sz w:val="18"/>
          <w:szCs w:val="18"/>
          <w:color w:val="auto"/>
        </w:rPr>
        <w:t>Our RAS Companion Inhibitor RMC-5552 is designed as a selective inhibitor of hyperactivated mTORC1 signaling in tumors. We are evaluating RMC-5552 first as a monotherapy in a Phase 1 study (RMC-5552-001), and plan to evaluate RMC-5552 in combination with RAS inhibitors for patients with cancers harboring a RAS mutation and co-occurring mutations in the mTOR signaling pathway</w:t>
      </w:r>
      <w:r>
        <w:rPr>
          <w:rFonts w:ascii="Arial" w:cs="Arial" w:eastAsia="Arial" w:hAnsi="Arial"/>
          <w:sz w:val="21"/>
          <w:szCs w:val="21"/>
          <w:color w:val="auto"/>
        </w:rPr>
        <w:t>.</w:t>
      </w:r>
    </w:p>
    <w:p>
      <w:pPr>
        <w:spacing w:after="0" w:line="159" w:lineRule="exact"/>
        <w:rPr>
          <w:sz w:val="20"/>
          <w:szCs w:val="20"/>
          <w:color w:val="auto"/>
        </w:rPr>
      </w:pPr>
    </w:p>
    <w:p>
      <w:pPr>
        <w:ind w:right="160" w:firstLine="563"/>
        <w:spacing w:after="0" w:line="277" w:lineRule="auto"/>
        <w:rPr>
          <w:sz w:val="20"/>
          <w:szCs w:val="20"/>
          <w:color w:val="auto"/>
        </w:rPr>
      </w:pPr>
      <w:r>
        <w:rPr>
          <w:rFonts w:ascii="Arial" w:cs="Arial" w:eastAsia="Arial" w:hAnsi="Arial"/>
          <w:sz w:val="18"/>
          <w:szCs w:val="18"/>
          <w:color w:val="auto"/>
        </w:rPr>
        <w:t>We have reported initial findings from the ongoing dose escalation portion of the RMC-5552-001 study and currently expect to provide additional evidence of single agent activity for this compound in 2023.</w:t>
      </w:r>
    </w:p>
    <w:p>
      <w:pPr>
        <w:spacing w:after="0" w:line="157" w:lineRule="exact"/>
        <w:rPr>
          <w:sz w:val="20"/>
          <w:szCs w:val="20"/>
          <w:color w:val="auto"/>
        </w:rPr>
      </w:pPr>
    </w:p>
    <w:p>
      <w:pPr>
        <w:ind w:right="780" w:firstLine="563"/>
        <w:spacing w:after="0" w:line="277" w:lineRule="auto"/>
        <w:rPr>
          <w:sz w:val="20"/>
          <w:szCs w:val="20"/>
          <w:color w:val="auto"/>
        </w:rPr>
      </w:pPr>
      <w:r>
        <w:rPr>
          <w:rFonts w:ascii="Arial" w:cs="Arial" w:eastAsia="Arial" w:hAnsi="Arial"/>
          <w:sz w:val="18"/>
          <w:szCs w:val="18"/>
          <w:color w:val="auto"/>
        </w:rPr>
        <w:t>We have agreed to supply RMC-5552 to the Regents of the University of California on behalf of its San Francisco campus (UCSF) for an investigator-initiated Phase 1/1b trial by UCSF of RMC-5552 in patients with recurrent glioblastoma.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RMC-5845</w:t>
      </w:r>
    </w:p>
    <w:p>
      <w:pPr>
        <w:spacing w:after="0" w:line="225" w:lineRule="exact"/>
        <w:rPr>
          <w:sz w:val="20"/>
          <w:szCs w:val="20"/>
          <w:color w:val="auto"/>
        </w:rPr>
      </w:pPr>
    </w:p>
    <w:p>
      <w:pPr>
        <w:ind w:right="100" w:firstLine="563"/>
        <w:spacing w:after="0" w:line="311" w:lineRule="auto"/>
        <w:rPr>
          <w:sz w:val="20"/>
          <w:szCs w:val="20"/>
          <w:color w:val="auto"/>
        </w:rPr>
      </w:pPr>
      <w:r>
        <w:rPr>
          <w:rFonts w:ascii="Arial" w:cs="Arial" w:eastAsia="Arial" w:hAnsi="Arial"/>
          <w:sz w:val="16"/>
          <w:szCs w:val="16"/>
          <w:color w:val="auto"/>
        </w:rPr>
        <w:t>Our RAS Companion Inhibitor RMC-5845 targets SOS1, a protein that plays a key role in converting RAS(OFF) to RAS(ON) in cells. RMC-5845 is intended for select combination therapies for certain genetically-defined tumors. This compound is ready for preparation of an IND based on our preclinical development. We continue to evaluate whether to advance RMC-5845 into clinical development in the context of other assets in our portfolio.</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RMC-6236</w:t>
      </w:r>
    </w:p>
    <w:p>
      <w:pPr>
        <w:spacing w:after="0" w:line="203" w:lineRule="exact"/>
        <w:rPr>
          <w:sz w:val="20"/>
          <w:szCs w:val="20"/>
          <w:color w:val="auto"/>
        </w:rPr>
      </w:pPr>
    </w:p>
    <w:p>
      <w:pPr>
        <w:ind w:right="60" w:firstLine="563"/>
        <w:spacing w:after="0" w:line="237" w:lineRule="auto"/>
        <w:rPr>
          <w:sz w:val="20"/>
          <w:szCs w:val="20"/>
          <w:color w:val="auto"/>
        </w:rPr>
      </w:pPr>
      <w:r>
        <w:rPr>
          <w:rFonts w:ascii="Arial" w:cs="Arial" w:eastAsia="Arial" w:hAnsi="Arial"/>
          <w:sz w:val="18"/>
          <w:szCs w:val="18"/>
          <w:color w:val="auto"/>
        </w:rPr>
        <w:t>Our RAS</w:t>
      </w:r>
      <w:r>
        <w:rPr>
          <w:rFonts w:ascii="Arial" w:cs="Arial" w:eastAsia="Arial" w:hAnsi="Arial"/>
          <w:sz w:val="24"/>
          <w:szCs w:val="24"/>
          <w:color w:val="auto"/>
          <w:vertAlign w:val="superscript"/>
        </w:rPr>
        <w:t>MULTI</w:t>
      </w:r>
      <w:r>
        <w:rPr>
          <w:rFonts w:ascii="Arial" w:cs="Arial" w:eastAsia="Arial" w:hAnsi="Arial"/>
          <w:sz w:val="18"/>
          <w:szCs w:val="18"/>
          <w:color w:val="auto"/>
        </w:rPr>
        <w:t>(ON) Inhibitor, RMC-6236, is designed to inhibit essentially all RAS(ON) proteins, including normal or wild-type RAS proteins that may help augment oncogenic signaling to tumor cells that have a mutant RAS as a primary driver. Given this broad activity of RMC-6236, we believe it may also be useful as a RAS Companion Inhibitor and we may evaluate the potential benefit from combining RMC-6236 with a RAS inhibitor, including with a RAS(ON) mutant-selective inhibitor such as RMC-6291.</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Collaboration agreement with Sanofi</w:t>
      </w:r>
    </w:p>
    <w:p>
      <w:pPr>
        <w:spacing w:after="0" w:line="202" w:lineRule="exact"/>
        <w:rPr>
          <w:sz w:val="20"/>
          <w:szCs w:val="20"/>
          <w:color w:val="auto"/>
        </w:rPr>
      </w:pPr>
    </w:p>
    <w:p>
      <w:pPr>
        <w:ind w:right="240" w:firstLine="509"/>
        <w:spacing w:after="0" w:line="257" w:lineRule="auto"/>
        <w:rPr>
          <w:sz w:val="20"/>
          <w:szCs w:val="20"/>
          <w:color w:val="auto"/>
        </w:rPr>
      </w:pPr>
      <w:r>
        <w:rPr>
          <w:rFonts w:ascii="Arial" w:cs="Arial" w:eastAsia="Arial" w:hAnsi="Arial"/>
          <w:sz w:val="18"/>
          <w:szCs w:val="18"/>
          <w:color w:val="auto"/>
        </w:rPr>
        <w:t>In June 2018, we entered into the Sanofi Agreement with Aventis, Inc. (an affiliate of Sanofi) to research and develop SHP2 inhibitors, including RMC-4630, for any indications. The Sanofi Agreement was assigned to Genzyme Corporation, a Sanofi affiliate, in December 2018. For the purposes of this discussion, we refer to Genzyme Corporation as Sanofi. In December 2022, the Sanofi Agreement was terminated effective as of June 2023, and all rights and obligations described below will terminate and revert to us upon effectiveness of this termination, except as necessary to permit Sanofi to perform any surviving obligations under the Sanofi Agreement</w:t>
      </w:r>
    </w:p>
    <w:p>
      <w:pPr>
        <w:spacing w:after="0" w:line="14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Pursuant to the Sanofi Agreement, we granted Sanofi a worldwide, exclusive, sublicensable (subject to our consent in certain circumstances) license under certain of our patents and know-how to research, develop, manufacture, use, sell, offer for sale, import and otherwise commercialize SHP2 inhibitors, including RMC-4630, for any and all uses, subject to our exercise of rights and performance of obligations under the Sanofi Agreement. Such intellectual property exclusively licensed to Sanofi includes our interest under any of our solely-owned or jointly-owned inventions arising out of activities undertaken pursuant to the development of SHP2 inhibitor product candidates under the Sanofi Agreement.</w:t>
      </w:r>
    </w:p>
    <w:p>
      <w:pPr>
        <w:spacing w:after="0" w:line="136" w:lineRule="exact"/>
        <w:rPr>
          <w:sz w:val="20"/>
          <w:szCs w:val="20"/>
          <w:color w:val="auto"/>
        </w:rPr>
      </w:pPr>
    </w:p>
    <w:p>
      <w:pPr>
        <w:ind w:firstLine="509"/>
        <w:spacing w:after="0" w:line="272" w:lineRule="auto"/>
        <w:rPr>
          <w:sz w:val="20"/>
          <w:szCs w:val="20"/>
          <w:color w:val="auto"/>
        </w:rPr>
      </w:pPr>
      <w:r>
        <w:rPr>
          <w:rFonts w:ascii="Arial" w:cs="Arial" w:eastAsia="Arial" w:hAnsi="Arial"/>
          <w:sz w:val="17"/>
          <w:szCs w:val="17"/>
          <w:color w:val="auto"/>
        </w:rPr>
        <w:t>Under the Sanofi Agreement, we have primary responsibility for early clinical development of RMC-4630 pursuant to an approved development plan. Sanofi is responsible to reimburse us for all internal and external costs and expenses to perform our activities under approved development plans, except for costs and expenses related to studies designated in the Sanofi Agreement as RevMed Studies, for which we will bear all costs and expenses, and for the RMC-4630-03 study, for which we have agreed that Sanofi will reimburse us for 50% of the costs and expenses. Unreimbursed costs borne by us for any RevMed Studies and for our 50% share of the RMC-4630-03 collaboration study are subject to future reimbursement by Sanofi through a buy-in payment pursuant to the terms of the Sanofi Agreement if they use data from a RevMed Study or the RMC-4630-03 study in support of a marketing approval application. There currently are no active RevMed Studies.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4" w:name="page85"/>
    <w:bookmarkEnd w:id="84"/>
    <w:p>
      <w:pPr>
        <w:ind w:right="200" w:firstLine="509"/>
        <w:spacing w:after="0" w:line="259" w:lineRule="auto"/>
        <w:rPr>
          <w:sz w:val="20"/>
          <w:szCs w:val="20"/>
          <w:color w:val="auto"/>
        </w:rPr>
      </w:pPr>
      <w:r>
        <w:rPr>
          <w:rFonts w:ascii="Arial" w:cs="Arial" w:eastAsia="Arial" w:hAnsi="Arial"/>
          <w:sz w:val="18"/>
          <w:szCs w:val="18"/>
          <w:color w:val="auto"/>
        </w:rPr>
        <w:t>We are responsible for the manufacture of SHP2 inhibitors for Phase 1 and non-registrational Phase 2 clinical trials pursuant to an approved development plan, while Sanofi is responsible for manufacturing SHP2 inhibitors for all other clinical trials and commercial supply. Sanofi has the sole right and responsibility to perform all regulatory activities under the Sanofi Agreement, except with respect to certain trials conducted by us or otherwise conducted under our IND, including our current clinical trials evaluating RMC-4630.</w:t>
      </w:r>
    </w:p>
    <w:p>
      <w:pPr>
        <w:spacing w:after="0" w:line="160"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Unless otherwise delegated to us by the joint commercialization committee, during the term of the Sanofi Agreement, Sanofi also has the sole right and responsibility for all aspects of the commercialization of SHP2 inhibitors in the world for any and all uses, at its expense, subject to our right to elect to co-promote SHP2 inhibitors in the United States. Sanofi agrees to provide us, and we agree to provide Sanofi, with research, development and commercialization updates through the joint committees.</w:t>
      </w:r>
    </w:p>
    <w:p>
      <w:pPr>
        <w:spacing w:after="0" w:line="146"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During the term of the Sanofi Agreement, we may not, alone or with any affiliate or third party, conduct certain research activities with respect to, or develop or commercialize, any product that contains a SHP2 inhibitor outside of the Sanofi Agreement.</w:t>
      </w:r>
    </w:p>
    <w:p>
      <w:pPr>
        <w:spacing w:after="0" w:line="130" w:lineRule="exact"/>
        <w:rPr>
          <w:sz w:val="20"/>
          <w:szCs w:val="20"/>
          <w:color w:val="auto"/>
        </w:rPr>
      </w:pPr>
    </w:p>
    <w:p>
      <w:pPr>
        <w:ind w:right="220" w:firstLine="509"/>
        <w:spacing w:after="0" w:line="263" w:lineRule="auto"/>
        <w:rPr>
          <w:sz w:val="20"/>
          <w:szCs w:val="20"/>
          <w:color w:val="auto"/>
        </w:rPr>
      </w:pPr>
      <w:r>
        <w:rPr>
          <w:rFonts w:ascii="Arial" w:cs="Arial" w:eastAsia="Arial" w:hAnsi="Arial"/>
          <w:sz w:val="18"/>
          <w:szCs w:val="18"/>
          <w:color w:val="auto"/>
        </w:rPr>
        <w:t>Pursuant to the Sanofi Agreement, we received an upfront payment of $50 million from Sanofi in July 2018. The Sanofi Agreement includes obligations for Sanofi to make certain milestone payments and royalty payments, all of which will expire upon effectiveness of termination of the Sanofi Agreement.</w:t>
      </w:r>
    </w:p>
    <w:p>
      <w:pPr>
        <w:spacing w:after="0" w:line="157" w:lineRule="exact"/>
        <w:rPr>
          <w:sz w:val="20"/>
          <w:szCs w:val="20"/>
          <w:color w:val="auto"/>
        </w:rPr>
      </w:pPr>
    </w:p>
    <w:p>
      <w:pPr>
        <w:ind w:right="160" w:firstLine="509"/>
        <w:spacing w:after="0" w:line="342" w:lineRule="auto"/>
        <w:rPr>
          <w:sz w:val="20"/>
          <w:szCs w:val="20"/>
          <w:color w:val="auto"/>
        </w:rPr>
      </w:pPr>
      <w:r>
        <w:rPr>
          <w:rFonts w:ascii="Arial" w:cs="Arial" w:eastAsia="Arial" w:hAnsi="Arial"/>
          <w:sz w:val="16"/>
          <w:szCs w:val="16"/>
          <w:color w:val="auto"/>
        </w:rPr>
        <w:t>During the term of the Sanofi Agreement, Sanofi has the sole and exclusive right to file, prosecute and maintain any patents licensed to it pursuant to the Sanofi Agreement, as well as to enforce infringement of or defend claims against such patents that relate to SHP2 inhibitor products.</w:t>
      </w:r>
    </w:p>
    <w:p>
      <w:pPr>
        <w:spacing w:after="0" w:line="83"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Upon effectiveness of the termination of the Sanofi Agreement, the licenses granted to Sanofi thereunder shall become fully paid-up, royalty-free, perpetual and irrevocable and all rights and obligations of Sanofi under the Sanofi Agreement will revert to us.</w:t>
      </w:r>
    </w:p>
    <w:p>
      <w:pPr>
        <w:spacing w:after="0" w:line="130" w:lineRule="exact"/>
        <w:rPr>
          <w:sz w:val="20"/>
          <w:szCs w:val="20"/>
          <w:color w:val="auto"/>
        </w:rPr>
      </w:pPr>
    </w:p>
    <w:p>
      <w:pPr>
        <w:ind w:right="600" w:firstLine="509"/>
        <w:spacing w:after="0" w:line="277" w:lineRule="auto"/>
        <w:rPr>
          <w:sz w:val="20"/>
          <w:szCs w:val="20"/>
          <w:color w:val="auto"/>
        </w:rPr>
      </w:pPr>
      <w:r>
        <w:rPr>
          <w:rFonts w:ascii="Arial" w:cs="Arial" w:eastAsia="Arial" w:hAnsi="Arial"/>
          <w:sz w:val="18"/>
          <w:szCs w:val="18"/>
          <w:color w:val="auto"/>
        </w:rPr>
        <w:t>Through December 31, 2022, we have received an aggregate of $176.9 million from Sanofi, including the upfront payment and research and development expense reimbursements.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85" w:lineRule="exact"/>
        <w:rPr>
          <w:sz w:val="20"/>
          <w:szCs w:val="20"/>
          <w:color w:val="auto"/>
        </w:rPr>
      </w:pPr>
    </w:p>
    <w:p>
      <w:pPr>
        <w:ind w:right="180" w:firstLine="509"/>
        <w:spacing w:after="0" w:line="342" w:lineRule="auto"/>
        <w:rPr>
          <w:sz w:val="20"/>
          <w:szCs w:val="20"/>
          <w:color w:val="auto"/>
        </w:rPr>
      </w:pPr>
      <w:r>
        <w:rPr>
          <w:rFonts w:ascii="Arial" w:cs="Arial" w:eastAsia="Arial" w:hAnsi="Arial"/>
          <w:sz w:val="16"/>
          <w:szCs w:val="16"/>
          <w:color w:val="auto"/>
        </w:rPr>
        <w:t>Collaboration revenue consists of revenue under the Sanofi Agreement for our SHP2 program. We received a $50.0 million upfront payment from Sanofi in July 2018 and receive reimbursement for research and development services. The Sanofi Agreement is expected to terminate in June 2023.</w:t>
      </w:r>
    </w:p>
    <w:p>
      <w:pPr>
        <w:spacing w:after="0" w:line="83"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For further information on our revenue recognition policies, see “Note 2. Summary of significant accounting policies” in the “Notes to Consolidated Financial Statements” contained in Part II, Item 8 of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right="80" w:firstLine="509"/>
        <w:spacing w:after="0" w:line="301" w:lineRule="auto"/>
        <w:rPr>
          <w:sz w:val="20"/>
          <w:szCs w:val="20"/>
          <w:color w:val="auto"/>
        </w:rPr>
      </w:pPr>
      <w:r>
        <w:rPr>
          <w:rFonts w:ascii="Arial" w:cs="Arial" w:eastAsia="Arial" w:hAnsi="Arial"/>
          <w:sz w:val="16"/>
          <w:szCs w:val="16"/>
          <w:color w:val="auto"/>
        </w:rPr>
        <w:t>We substantially rely on third parties to conduct our preclinical studies, clinical trials and manufacturing. We estimate research and development expenses based on estimates of services performed, and rely on third party contractors and vendors to provide us with timely and accurate estimates of expenses of services performed to assist us in these estimates. Research and development expenses consist primarily of costs incurred for the development of our product candidates and costs associated with identifying compounds through our discovery platform, which include:</w:t>
      </w:r>
    </w:p>
    <w:p>
      <w:pPr>
        <w:spacing w:after="0" w:line="49" w:lineRule="exact"/>
        <w:rPr>
          <w:sz w:val="20"/>
          <w:szCs w:val="20"/>
          <w:color w:val="auto"/>
        </w:rPr>
      </w:pPr>
    </w:p>
    <w:p>
      <w:pPr>
        <w:ind w:left="1020" w:right="600" w:hanging="503"/>
        <w:spacing w:after="0" w:line="277"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expenses incurred under agreements with third-party contract organizations, investigative clinical trial sites that conduct research and development activities on our behalf and consultants;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costs related to production of clinical and preclinical materials, including fees paid to contract manufacturers;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discovery programs, preclinical and clinical trials;</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and stock-based compensation; and</w:t>
      </w:r>
    </w:p>
    <w:p>
      <w:pPr>
        <w:spacing w:after="0" w:line="117" w:lineRule="exact"/>
        <w:rPr>
          <w:rFonts w:ascii="Arial" w:cs="Arial" w:eastAsia="Arial" w:hAnsi="Arial"/>
          <w:sz w:val="18"/>
          <w:szCs w:val="18"/>
          <w:color w:val="auto"/>
        </w:rPr>
      </w:pPr>
    </w:p>
    <w:p>
      <w:pPr>
        <w:ind w:left="1020" w:right="60" w:hanging="503"/>
        <w:spacing w:after="0" w:line="277" w:lineRule="auto"/>
        <w:tabs>
          <w:tab w:leader="none" w:pos="10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facilities and other expenses, which include allocated expenses for rent and maintenance of facilities, depreciation and amortization expense, information technology and other supplies.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01" w:right="359" w:bottom="1440" w:gutter="0" w:footer="0" w:header="0"/>
        </w:sectPr>
      </w:pPr>
    </w:p>
    <w:bookmarkStart w:id="85" w:name="page86"/>
    <w:bookmarkEnd w:id="85"/>
    <w:p>
      <w:pPr>
        <w:ind w:right="240" w:firstLine="509"/>
        <w:spacing w:after="0" w:line="257" w:lineRule="auto"/>
        <w:rPr>
          <w:sz w:val="20"/>
          <w:szCs w:val="20"/>
          <w:color w:val="auto"/>
        </w:rPr>
      </w:pPr>
      <w:r>
        <w:rPr>
          <w:rFonts w:ascii="Arial" w:cs="Arial" w:eastAsia="Arial" w:hAnsi="Arial"/>
          <w:sz w:val="18"/>
          <w:szCs w:val="18"/>
          <w:color w:val="auto"/>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collaborators and third-party service providers. Nonrefundable advance payments for goods or services to be received in future periods for use in research and development activities are deferred and recorded as prepaid assets. The prepaid amounts are then expensed as the related goods are delivered or as services are performed.</w:t>
      </w:r>
    </w:p>
    <w:p>
      <w:pPr>
        <w:spacing w:after="0" w:line="161"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Up to the termination date of the Sanofi Agreement, Sanofi is responsible to reimburse us for all internal and external costs and expenses to perform our activities under approved development plans, except for 50% of the RMC-4630-03 study. These reimbursements from Sanofi are recorded as collaboration revenue.</w:t>
      </w:r>
    </w:p>
    <w:p>
      <w:pPr>
        <w:spacing w:after="0" w:line="143"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We expect our research and development expenses to increase for the foreseeable future as we continue to invest in discovering and developing product candidates and advancing product candidates into later stages of development, which may include conducting larger clinical trials. The process of conducting the necessary research and development and clinical trials to seek regulatory approval for product candidates is costly and time-consuming, and the successful development of our product candidates is highly uncertain. As a result, we are unable to determine the duration and completion costs of our research and development projects or clinical trials or if and to what extent we will generate revenue from the commercialization and sale of any of our product candidates.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8"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General and administrative expenses consist primarily of personnel-related costs, consultants and professional services expenses, including legal, audit, accounting and human resources services, insurance, allocated facilities and information technology costs, and other general operating expenses not otherwise classified as research and development expenses. Personnel-related costs consist of salaries, benefits and stock-based compensation. Facilities costs consist of rent, utilities and maintenance of facilities. We expect our general and administrative expenses to increase for the foreseeable future due to anticipated increases in headcount and as a result of operating as a public company, including expenses related to compliance with the rules and regulations of the Securities and Exchange Commission, the Nasdaq Global Select Market, investor relations activities and other administrative and professional services.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primarily consists of interest earned on and accretion of our cash equivalents and marketable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primarily consists of interest related to our finance lease and interest on other outstanding obligations.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98"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Benefit from income taxes relates to net changes in the deferred tax liability associated with our Warp Drive acquisition resulting from changes in the effective state tax rate and changes in our valuation allowance.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Results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2022 and 2021</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right"/>
              <w:ind w:right="510"/>
              <w:spacing w:after="0"/>
              <w:rPr>
                <w:sz w:val="20"/>
                <w:szCs w:val="20"/>
                <w:color w:val="auto"/>
              </w:rPr>
            </w:pPr>
            <w:r>
              <w:rPr>
                <w:rFonts w:ascii="Arial" w:cs="Arial" w:eastAsia="Arial" w:hAnsi="Arial"/>
                <w:sz w:val="14"/>
                <w:szCs w:val="14"/>
                <w:b w:val="1"/>
                <w:bCs w:val="1"/>
                <w:color w:val="auto"/>
                <w:w w:val="97"/>
              </w:rPr>
              <w:t>Years Ended December 31,</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13"/>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281"/>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top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w w:val="97"/>
              </w:rPr>
              <w:t>(in thousands)</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20" w:type="dxa"/>
            <w:vAlign w:val="bottom"/>
          </w:tcPr>
          <w:p>
            <w:pPr>
              <w:ind w:left="180"/>
              <w:spacing w:after="0"/>
              <w:rPr>
                <w:sz w:val="20"/>
                <w:szCs w:val="20"/>
                <w:color w:val="auto"/>
              </w:rPr>
            </w:pPr>
            <w:r>
              <w:rPr>
                <w:rFonts w:ascii="Arial" w:cs="Arial" w:eastAsia="Arial" w:hAnsi="Arial"/>
                <w:sz w:val="18"/>
                <w:szCs w:val="18"/>
                <w:color w:val="auto"/>
              </w:rPr>
              <w:t>Collaboration revenue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35,380</w:t>
            </w:r>
          </w:p>
        </w:tc>
        <w:tc>
          <w:tcPr>
            <w:tcW w:w="220" w:type="dxa"/>
            <w:vAlign w:val="bottom"/>
          </w:tcPr>
          <w:p>
            <w:pPr>
              <w:spacing w:after="0"/>
              <w:rPr>
                <w:sz w:val="20"/>
                <w:szCs w:val="20"/>
                <w:color w:val="auto"/>
              </w:rPr>
            </w:pPr>
          </w:p>
        </w:tc>
        <w:tc>
          <w:tcPr>
            <w:tcW w:w="260" w:type="dxa"/>
            <w:vAlign w:val="bottom"/>
            <w:tcBorders>
              <w:bottom w:val="single" w:sz="8" w:color="auto"/>
            </w:tcBorders>
          </w:tcPr>
          <w:p>
            <w:pPr>
              <w:jc w:val="right"/>
              <w:ind w:right="76"/>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29,390</w:t>
            </w:r>
          </w:p>
        </w:tc>
        <w:tc>
          <w:tcPr>
            <w:tcW w:w="2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revenue</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35,380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29,390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5,990</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253,073</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186,948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66,125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40,586</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30,450</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293,659</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217,398</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76,261</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2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 xml:space="preserve">(258,279 </w:t>
            </w:r>
            <w:r>
              <w:rPr>
                <w:rFonts w:ascii="Arial" w:cs="Arial" w:eastAsia="Arial" w:hAnsi="Arial"/>
                <w:sz w:val="18"/>
                <w:szCs w:val="18"/>
                <w:color w:val="auto"/>
                <w:highlight w:val="white"/>
              </w:rPr>
              <w:t>)</w:t>
            </w:r>
          </w:p>
        </w:tc>
        <w:tc>
          <w:tcPr>
            <w:tcW w:w="260" w:type="dxa"/>
            <w:vAlign w:val="bottom"/>
          </w:tcPr>
          <w:p>
            <w:pPr>
              <w:spacing w:after="0"/>
              <w:rPr>
                <w:sz w:val="20"/>
                <w:szCs w:val="20"/>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 xml:space="preserve">(188,008 </w:t>
            </w:r>
            <w:r>
              <w:rPr>
                <w:rFonts w:ascii="Arial" w:cs="Arial" w:eastAsia="Arial" w:hAnsi="Arial"/>
                <w:sz w:val="18"/>
                <w:szCs w:val="18"/>
                <w:color w:val="auto"/>
                <w:highlight w:val="white"/>
              </w:rPr>
              <w:t>)</w:t>
            </w: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xml:space="preserve">(70,271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4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9,154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(12 )</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20" w:type="dxa"/>
            <w:vAlign w:val="bottom"/>
            <w:tcBorders>
              <w:top w:val="single" w:sz="8" w:color="CFF0FC"/>
            </w:tcBorders>
          </w:tcPr>
          <w:p>
            <w:pPr>
              <w:ind w:left="180"/>
              <w:spacing w:after="0"/>
              <w:rPr>
                <w:sz w:val="20"/>
                <w:szCs w:val="20"/>
                <w:color w:val="auto"/>
              </w:rPr>
            </w:pPr>
            <w:r>
              <w:rPr>
                <w:rFonts w:ascii="Arial" w:cs="Arial" w:eastAsia="Arial" w:hAnsi="Arial"/>
                <w:sz w:val="18"/>
                <w:szCs w:val="18"/>
                <w:color w:val="auto"/>
              </w:rPr>
              <w:t>Total other income, net</w:t>
            </w: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9,154</w:t>
            </w:r>
          </w:p>
        </w:tc>
        <w:tc>
          <w:tcPr>
            <w:tcW w:w="22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20" w:type="dxa"/>
            <w:vAlign w:val="bottom"/>
            <w:tcBorders>
              <w:top w:val="single" w:sz="8" w:color="CFF0FC"/>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8,237</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(249,125</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(187,091</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(62,034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(248,705</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(187,091</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(61,614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-676910</wp:posOffset>
            </wp:positionV>
            <wp:extent cx="5969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-676910</wp:posOffset>
            </wp:positionV>
            <wp:extent cx="51435"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-676910</wp:posOffset>
            </wp:positionV>
            <wp:extent cx="51435"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-351155</wp:posOffset>
            </wp:positionV>
            <wp:extent cx="5969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-351155</wp:posOffset>
            </wp:positionV>
            <wp:extent cx="51435"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-351155</wp:posOffset>
            </wp:positionV>
            <wp:extent cx="51435"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-25400</wp:posOffset>
            </wp:positionV>
            <wp:extent cx="596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-8255</wp:posOffset>
            </wp:positionV>
            <wp:extent cx="596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514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514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85" w:lineRule="exact"/>
        <w:rPr>
          <w:sz w:val="20"/>
          <w:szCs w:val="20"/>
          <w:color w:val="auto"/>
        </w:rPr>
      </w:pPr>
    </w:p>
    <w:p>
      <w:pPr>
        <w:ind w:right="100" w:firstLine="509"/>
        <w:spacing w:after="0" w:line="259" w:lineRule="auto"/>
        <w:rPr>
          <w:sz w:val="20"/>
          <w:szCs w:val="20"/>
          <w:color w:val="auto"/>
        </w:rPr>
      </w:pPr>
      <w:r>
        <w:rPr>
          <w:rFonts w:ascii="Arial" w:cs="Arial" w:eastAsia="Arial" w:hAnsi="Arial"/>
          <w:sz w:val="18"/>
          <w:szCs w:val="18"/>
          <w:color w:val="auto"/>
        </w:rPr>
        <w:t>Collaboration revenue consists of revenue under the Sanofi Agreement, which is expected to terminate in 2023. As a result of the expected termination of the agreement and development plan adjustments during the year, we revised our estimate of the accounting transaction price and increased our percentage of completion under the agreements with Sanofi, which resulted in total cumulative catch-up adjustments that increased collaboration revenue by $3.0 million for the year ended December 31, 2022.</w:t>
      </w:r>
    </w:p>
    <w:p>
      <w:pPr>
        <w:spacing w:after="0" w:line="146" w:lineRule="exact"/>
        <w:rPr>
          <w:sz w:val="20"/>
          <w:szCs w:val="20"/>
          <w:color w:val="auto"/>
        </w:rPr>
      </w:pPr>
    </w:p>
    <w:p>
      <w:pPr>
        <w:ind w:right="40" w:firstLine="509"/>
        <w:spacing w:after="0" w:line="259" w:lineRule="auto"/>
        <w:rPr>
          <w:sz w:val="20"/>
          <w:szCs w:val="20"/>
          <w:color w:val="auto"/>
        </w:rPr>
      </w:pPr>
      <w:r>
        <w:rPr>
          <w:rFonts w:ascii="Arial" w:cs="Arial" w:eastAsia="Arial" w:hAnsi="Arial"/>
          <w:sz w:val="18"/>
          <w:szCs w:val="18"/>
          <w:color w:val="auto"/>
        </w:rPr>
        <w:t>In August 2021, we entered into a Letter Agreement with Sanofi to include RMC-4630-03 under the development plan for RMC-4630 and decided to no longer enroll new patients in RMC-4630-02. As a result of these development plan adjustments, we revised the estimate of the accounting transaction price and decreased our estimated percentage of completion under the agreements with Sanofi, and resulted in a cumulative catch-up adjustment that reduced collaboration revenue by $8.5 million for the year ended December 31, 2021.</w:t>
      </w:r>
    </w:p>
    <w:p>
      <w:pPr>
        <w:spacing w:after="0" w:line="160" w:lineRule="exact"/>
        <w:rPr>
          <w:sz w:val="20"/>
          <w:szCs w:val="20"/>
          <w:color w:val="auto"/>
        </w:rPr>
      </w:pPr>
    </w:p>
    <w:p>
      <w:pPr>
        <w:jc w:val="both"/>
        <w:ind w:right="340" w:firstLine="509"/>
        <w:spacing w:after="0" w:line="311" w:lineRule="auto"/>
        <w:rPr>
          <w:sz w:val="20"/>
          <w:szCs w:val="20"/>
          <w:color w:val="auto"/>
        </w:rPr>
      </w:pPr>
      <w:r>
        <w:rPr>
          <w:rFonts w:ascii="Arial" w:cs="Arial" w:eastAsia="Arial" w:hAnsi="Arial"/>
          <w:sz w:val="16"/>
          <w:szCs w:val="16"/>
          <w:color w:val="auto"/>
        </w:rPr>
        <w:t>Collaboration revenue increased by $6.0 million, or 20%, during the year ended December 31, 2022 compared to the same period in 2021. The increase was due to the cumulative catch-up adjustments resulting from the Sanofi Agreement termination and development plan adjustments, partially offset by lower reimbursable SHP2 program research and development costs under the Sanofi Agreement for the year ended December 31, 2022.</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firstLine="509"/>
        <w:spacing w:after="0" w:line="291" w:lineRule="auto"/>
        <w:rPr>
          <w:sz w:val="20"/>
          <w:szCs w:val="20"/>
          <w:color w:val="auto"/>
        </w:rPr>
      </w:pPr>
      <w:r>
        <w:rPr>
          <w:rFonts w:ascii="Arial" w:cs="Arial" w:eastAsia="Arial" w:hAnsi="Arial"/>
          <w:sz w:val="16"/>
          <w:szCs w:val="16"/>
          <w:color w:val="auto"/>
        </w:rPr>
        <w:t>Research and development expenses increased by $66.1 million, or 35%, during the year ended December 31, 2022 compared to the same period in 2021. The increase in research and development expenses during the year ended December 31, 2022 was primarily due to a $16.1 million increase in third-party costs for our preclinical research portfolio, primarily driven by higher chemistry contract research organization, material sourcing and manufacturing costs; a $16.1 million increase in salaries and other employee-related expenses due to increased headcount to support our research and development programs; a $14.8 million increase in RMC-6236 costs, which commenced clinical trials in the second quarter of 2022; a $10.2 million increase in facilities and other allocated expenses as a result of higher rent, utilities and information technology expenses associated with increased headcount; a $6.3 million increase in stock-based compensation; and a $5.2 million increase in RMC-6291 costs, which commenced clinical trials in the third quarter of 2022.</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87" w:name="page88"/>
    <w:bookmarkEnd w:id="87"/>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98"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General and administrative expenses increased by $10.1 million, or 33%, during the year ended December 31, 2022 compared to the same period in 2021. The increase in general and administrative expenses during the year ended December 31, 2022 was primarily due to an increase of $4.2 million in stock-based compensation expense; an increase of $3.9 million in salaries and other employee-related expenses due to increased headcount; a $0.7 million increase in facilities and other allocated expenses as a result of higher rent, utilities and information technology expenses associated with increased headcount; and a $0.8 million increase in legal and accounting fees.</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85"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Interest income increased by $8.2 million for the year ended December 31, 2022, compared to the same period in 2021 due to a larger cash, cash equivalents and marketable securities balance and higher interest rates.</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was zero for the year ended December 31, 2022 and less than $0.1 million for the year ended December 31, 2021.</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98"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Benefit from income taxes was $0.4 million for the year ended December 31, 2022 and zero for the year ended December 31, 2021 and related to net changes in the valuation allowance resulting from the Warp Drive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80" w:type="dxa"/>
            <w:vAlign w:val="bottom"/>
            <w:gridSpan w:val="5"/>
          </w:tcPr>
          <w:p>
            <w:pPr>
              <w:jc w:val="right"/>
              <w:ind w:right="510"/>
              <w:spacing w:after="0"/>
              <w:rPr>
                <w:sz w:val="20"/>
                <w:szCs w:val="20"/>
                <w:color w:val="auto"/>
              </w:rPr>
            </w:pPr>
            <w:r>
              <w:rPr>
                <w:rFonts w:ascii="Arial" w:cs="Arial" w:eastAsia="Arial" w:hAnsi="Arial"/>
                <w:sz w:val="14"/>
                <w:szCs w:val="14"/>
                <w:b w:val="1"/>
                <w:bCs w:val="1"/>
                <w:color w:val="auto"/>
                <w:w w:val="97"/>
              </w:rPr>
              <w:t>Years Ended December 31,</w:t>
            </w: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5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281"/>
              <w:spacing w:after="0" w:line="133"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5"/>
        </w:trPr>
        <w:tc>
          <w:tcPr>
            <w:tcW w:w="5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41"/>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169"/>
        </w:trPr>
        <w:tc>
          <w:tcPr>
            <w:tcW w:w="52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Borders>
              <w:top w:val="single" w:sz="8" w:color="auto"/>
            </w:tcBorders>
            <w:gridSpan w:val="2"/>
          </w:tcPr>
          <w:p>
            <w:pPr>
              <w:jc w:val="right"/>
              <w:ind w:right="31"/>
              <w:spacing w:after="0"/>
              <w:rPr>
                <w:sz w:val="20"/>
                <w:szCs w:val="20"/>
                <w:color w:val="auto"/>
              </w:rPr>
            </w:pPr>
            <w:r>
              <w:rPr>
                <w:rFonts w:ascii="Arial" w:cs="Arial" w:eastAsia="Arial" w:hAnsi="Arial"/>
                <w:sz w:val="14"/>
                <w:szCs w:val="14"/>
                <w:b w:val="1"/>
                <w:bCs w:val="1"/>
                <w:color w:val="auto"/>
                <w:w w:val="97"/>
              </w:rPr>
              <w:t>(in thousands)</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20" w:type="dxa"/>
            <w:vAlign w:val="bottom"/>
          </w:tcPr>
          <w:p>
            <w:pPr>
              <w:ind w:left="180"/>
              <w:spacing w:after="0"/>
              <w:rPr>
                <w:sz w:val="20"/>
                <w:szCs w:val="20"/>
                <w:color w:val="auto"/>
              </w:rPr>
            </w:pPr>
            <w:r>
              <w:rPr>
                <w:rFonts w:ascii="Arial" w:cs="Arial" w:eastAsia="Arial" w:hAnsi="Arial"/>
                <w:sz w:val="18"/>
                <w:szCs w:val="18"/>
                <w:color w:val="auto"/>
              </w:rPr>
              <w:t>Collaboration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29,390</w:t>
            </w:r>
          </w:p>
        </w:tc>
        <w:tc>
          <w:tcPr>
            <w:tcW w:w="220" w:type="dxa"/>
            <w:vAlign w:val="bottom"/>
          </w:tcPr>
          <w:p>
            <w:pPr>
              <w:spacing w:after="0"/>
              <w:rPr>
                <w:sz w:val="20"/>
                <w:szCs w:val="20"/>
                <w:color w:val="auto"/>
              </w:rPr>
            </w:pPr>
          </w:p>
        </w:tc>
        <w:tc>
          <w:tcPr>
            <w:tcW w:w="260" w:type="dxa"/>
            <w:vAlign w:val="bottom"/>
          </w:tcPr>
          <w:p>
            <w:pPr>
              <w:jc w:val="right"/>
              <w:ind w:right="7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42,983</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(13,593 )</w:t>
            </w:r>
          </w:p>
        </w:tc>
        <w:tc>
          <w:tcPr>
            <w:tcW w:w="0" w:type="dxa"/>
            <w:vAlign w:val="bottom"/>
          </w:tcPr>
          <w:p>
            <w:pPr>
              <w:spacing w:after="0"/>
              <w:rPr>
                <w:sz w:val="1"/>
                <w:szCs w:val="1"/>
                <w:color w:val="auto"/>
              </w:rPr>
            </w:pPr>
          </w:p>
        </w:tc>
      </w:tr>
      <w:tr>
        <w:trPr>
          <w:trHeight w:val="243"/>
        </w:trPr>
        <w:tc>
          <w:tcPr>
            <w:tcW w:w="5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shd w:val="clear" w:color="auto" w:fill="CFF0FC"/>
          </w:tcPr>
          <w:p>
            <w:pPr>
              <w:spacing w:after="0"/>
              <w:rPr>
                <w:sz w:val="21"/>
                <w:szCs w:val="21"/>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29,390</w:t>
            </w:r>
          </w:p>
        </w:tc>
        <w:tc>
          <w:tcPr>
            <w:tcW w:w="22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42,983</w:t>
            </w:r>
          </w:p>
        </w:tc>
        <w:tc>
          <w:tcPr>
            <w:tcW w:w="22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(13,593</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186,948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132,252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54,696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2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21,428</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217,398</w:t>
            </w: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153,680</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63,718</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220" w:type="dxa"/>
            <w:vAlign w:val="bottom"/>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tcPr>
          <w:p>
            <w:pPr>
              <w:spacing w:after="0"/>
              <w:rPr>
                <w:sz w:val="20"/>
                <w:szCs w:val="20"/>
                <w:color w:val="auto"/>
              </w:rPr>
            </w:pPr>
          </w:p>
        </w:tc>
        <w:tc>
          <w:tcPr>
            <w:tcW w:w="1080" w:type="dxa"/>
            <w:vAlign w:val="bottom"/>
            <w:gridSpan w:val="2"/>
          </w:tcPr>
          <w:p>
            <w:pPr>
              <w:jc w:val="right"/>
              <w:ind w:right="81"/>
              <w:spacing w:after="0"/>
              <w:rPr>
                <w:sz w:val="20"/>
                <w:szCs w:val="20"/>
                <w:color w:val="auto"/>
              </w:rPr>
            </w:pPr>
            <w:r>
              <w:rPr>
                <w:rFonts w:ascii="Arial" w:cs="Arial" w:eastAsia="Arial" w:hAnsi="Arial"/>
                <w:sz w:val="18"/>
                <w:szCs w:val="18"/>
                <w:color w:val="auto"/>
              </w:rPr>
              <w:t xml:space="preserve">(188,008 </w:t>
            </w:r>
            <w:r>
              <w:rPr>
                <w:rFonts w:ascii="Arial" w:cs="Arial" w:eastAsia="Arial" w:hAnsi="Arial"/>
                <w:sz w:val="18"/>
                <w:szCs w:val="18"/>
                <w:color w:val="auto"/>
                <w:highlight w:val="white"/>
              </w:rPr>
              <w:t>)</w:t>
            </w:r>
          </w:p>
        </w:tc>
        <w:tc>
          <w:tcPr>
            <w:tcW w:w="260" w:type="dxa"/>
            <w:vAlign w:val="bottom"/>
          </w:tcPr>
          <w:p>
            <w:pPr>
              <w:spacing w:after="0"/>
              <w:rPr>
                <w:sz w:val="20"/>
                <w:szCs w:val="20"/>
                <w:color w:val="auto"/>
              </w:rPr>
            </w:pPr>
          </w:p>
        </w:tc>
        <w:tc>
          <w:tcPr>
            <w:tcW w:w="1040" w:type="dxa"/>
            <w:vAlign w:val="bottom"/>
            <w:gridSpan w:val="2"/>
          </w:tcPr>
          <w:p>
            <w:pPr>
              <w:jc w:val="right"/>
              <w:ind w:right="50"/>
              <w:spacing w:after="0"/>
              <w:rPr>
                <w:sz w:val="20"/>
                <w:szCs w:val="20"/>
                <w:color w:val="auto"/>
              </w:rPr>
            </w:pPr>
            <w:r>
              <w:rPr>
                <w:rFonts w:ascii="Arial" w:cs="Arial" w:eastAsia="Arial" w:hAnsi="Arial"/>
                <w:sz w:val="18"/>
                <w:szCs w:val="18"/>
                <w:color w:val="auto"/>
              </w:rPr>
              <w:t xml:space="preserve">(110,697 </w:t>
            </w:r>
            <w:r>
              <w:rPr>
                <w:rFonts w:ascii="Arial" w:cs="Arial" w:eastAsia="Arial" w:hAnsi="Arial"/>
                <w:sz w:val="18"/>
                <w:szCs w:val="18"/>
                <w:color w:val="auto"/>
                <w:highlight w:val="white"/>
              </w:rPr>
              <w:t>)</w:t>
            </w: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xml:space="preserve">(77,311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49"/>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2,238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(1,309 )</w:t>
            </w:r>
          </w:p>
        </w:tc>
        <w:tc>
          <w:tcPr>
            <w:tcW w:w="0" w:type="dxa"/>
            <w:vAlign w:val="bottom"/>
          </w:tcPr>
          <w:p>
            <w:pPr>
              <w:spacing w:after="0"/>
              <w:rPr>
                <w:sz w:val="1"/>
                <w:szCs w:val="1"/>
                <w:color w:val="auto"/>
              </w:rPr>
            </w:pPr>
          </w:p>
        </w:tc>
      </w:tr>
      <w:tr>
        <w:trPr>
          <w:trHeight w:val="249"/>
        </w:trPr>
        <w:tc>
          <w:tcPr>
            <w:tcW w:w="52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(12 )</w:t>
            </w:r>
          </w:p>
        </w:tc>
        <w:tc>
          <w:tcPr>
            <w:tcW w:w="2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(71 )</w:t>
            </w: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80"/>
              <w:spacing w:after="0"/>
              <w:rPr>
                <w:sz w:val="20"/>
                <w:szCs w:val="20"/>
                <w:color w:val="auto"/>
              </w:rPr>
            </w:pPr>
            <w:r>
              <w:rPr>
                <w:rFonts w:ascii="Arial" w:cs="Arial" w:eastAsia="Arial" w:hAnsi="Arial"/>
                <w:sz w:val="18"/>
                <w:szCs w:val="18"/>
                <w:color w:val="auto"/>
              </w:rPr>
              <w:t>Total interest income (expense), net</w:t>
            </w:r>
          </w:p>
        </w:tc>
        <w:tc>
          <w:tcPr>
            <w:tcW w:w="2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4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(187,091</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(108,530</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(78,561</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6"/>
        </w:trPr>
        <w:tc>
          <w:tcPr>
            <w:tcW w:w="522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40" w:type="dxa"/>
            <w:vAlign w:val="bottom"/>
          </w:tcPr>
          <w:p>
            <w:pPr>
              <w:spacing w:after="0"/>
              <w:rPr>
                <w:sz w:val="20"/>
                <w:szCs w:val="20"/>
                <w:color w:val="auto"/>
              </w:rPr>
            </w:pPr>
          </w:p>
        </w:tc>
        <w:tc>
          <w:tcPr>
            <w:tcW w:w="108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xml:space="preserve">(371 </w:t>
            </w:r>
            <w:r>
              <w:rPr>
                <w:rFonts w:ascii="Arial" w:cs="Arial" w:eastAsia="Arial" w:hAnsi="Arial"/>
                <w:sz w:val="18"/>
                <w:szCs w:val="18"/>
                <w:color w:val="auto"/>
                <w:highlight w:val="white"/>
              </w:rPr>
              <w:t>)</w:t>
            </w:r>
          </w:p>
        </w:tc>
        <w:tc>
          <w:tcPr>
            <w:tcW w:w="0" w:type="dxa"/>
            <w:vAlign w:val="bottom"/>
          </w:tcPr>
          <w:p>
            <w:pPr>
              <w:spacing w:after="0"/>
              <w:rPr>
                <w:sz w:val="1"/>
                <w:szCs w:val="1"/>
                <w:color w:val="auto"/>
              </w:rPr>
            </w:pPr>
          </w:p>
        </w:tc>
      </w:tr>
      <w:tr>
        <w:trPr>
          <w:trHeight w:val="277"/>
        </w:trPr>
        <w:tc>
          <w:tcPr>
            <w:tcW w:w="52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(187,091</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FF0FC"/>
          </w:tcPr>
          <w:p>
            <w:pPr>
              <w:jc w:val="right"/>
              <w:ind w:right="76"/>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(108,159</w:t>
            </w:r>
          </w:p>
        </w:tc>
        <w:tc>
          <w:tcPr>
            <w:tcW w:w="220" w:type="dxa"/>
            <w:vAlign w:val="bottom"/>
            <w:tcBorders>
              <w:bottom w:val="single" w:sz="8" w:color="CFF0FC"/>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(78,932</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4724400</wp:posOffset>
            </wp:positionH>
            <wp:positionV relativeFrom="paragraph">
              <wp:posOffset>-688975</wp:posOffset>
            </wp:positionV>
            <wp:extent cx="1713865" cy="1968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13865" cy="19685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-350520</wp:posOffset>
            </wp:positionV>
            <wp:extent cx="5969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17145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-350520</wp:posOffset>
            </wp:positionV>
            <wp:extent cx="5143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17145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-24765</wp:posOffset>
            </wp:positionV>
            <wp:extent cx="596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-7620</wp:posOffset>
            </wp:positionV>
            <wp:extent cx="596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Collaboration revenue</w:t>
      </w:r>
    </w:p>
    <w:p>
      <w:pPr>
        <w:spacing w:after="0" w:line="185"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In August 2021, we entered into a Letter Agreement with Sanofi to include RMC-4630-03 under the development plan for RMC-4630 and ceased enrollment of new patients in RMC-4630-02. As a result of these development plan adjustments, we revised our estimate of the accounting transaction price and our percentage of completion under the agreements with Sanofi, which resulted in a cumulative catch-up adjustment that reduced collaboration revenue by $8.5 million for the year ended December 31, 2021.</w:t>
      </w:r>
    </w:p>
    <w:p>
      <w:pPr>
        <w:spacing w:after="0" w:line="146"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Collaboration revenue decreased by $13.6 million, or 32%, during the year ended December 31, 2021 compared to the same period in 2020. The decreases in collaboration revenue during the year ended December 31, 2021 was primarily due to the cumulative catch-up adjustment and lower reimbursed manufacturing costs.</w:t>
      </w:r>
    </w:p>
    <w:p>
      <w:pPr>
        <w:spacing w:after="0" w:line="37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right="20" w:firstLine="509"/>
        <w:spacing w:after="0" w:line="277" w:lineRule="auto"/>
        <w:rPr>
          <w:sz w:val="20"/>
          <w:szCs w:val="20"/>
          <w:color w:val="auto"/>
        </w:rPr>
      </w:pPr>
      <w:r>
        <w:rPr>
          <w:rFonts w:ascii="Arial" w:cs="Arial" w:eastAsia="Arial" w:hAnsi="Arial"/>
          <w:sz w:val="18"/>
          <w:szCs w:val="18"/>
          <w:color w:val="auto"/>
        </w:rPr>
        <w:t>Research and development expenses increased by $54.7 million, or 41%, during the year ended December 31, 2021 compared to the same period in 2020. The increase in research and development expenses during the year ended December 31, 2021 was primarily</w:t>
      </w:r>
    </w:p>
    <w:p>
      <w:pPr>
        <w:sectPr>
          <w:pgSz w:w="11900" w:h="16838" w:orient="portrait"/>
          <w:cols w:equalWidth="0" w:num="1">
            <w:col w:w="11160"/>
          </w:cols>
          <w:pgMar w:left="320" w:top="301" w:right="419" w:bottom="1440" w:gutter="0" w:footer="0" w:header="0"/>
        </w:sectPr>
      </w:pP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01" w:right="419" w:bottom="1440" w:gutter="0" w:footer="0" w:header="0"/>
          <w:type w:val="continuous"/>
        </w:sectPr>
      </w:pPr>
    </w:p>
    <w:bookmarkStart w:id="88" w:name="page89"/>
    <w:bookmarkEnd w:id="88"/>
    <w:p>
      <w:pPr>
        <w:ind w:right="60"/>
        <w:spacing w:after="0" w:line="279" w:lineRule="auto"/>
        <w:rPr>
          <w:sz w:val="20"/>
          <w:szCs w:val="20"/>
          <w:color w:val="auto"/>
        </w:rPr>
      </w:pPr>
      <w:r>
        <w:rPr>
          <w:rFonts w:ascii="Arial" w:cs="Arial" w:eastAsia="Arial" w:hAnsi="Arial"/>
          <w:sz w:val="17"/>
          <w:szCs w:val="17"/>
          <w:color w:val="auto"/>
        </w:rPr>
        <w:t>due to a $34.5 million increase in third-party costs for our preclinical research portfolio, primarily driven by higher chemistry contract research organization, material sourcing and manufacturing costs; a $9.2 million increase in salaries and other employee-related expenses due to increased headcount to support our research and development programs, a $7.0 million increase in stock-based compensation, and a $5.4 million increase in facilities and other allocated expenses as a result of higher rent, utilities and information technology expenses associated with increased headcount.</w:t>
      </w:r>
    </w:p>
    <w:p>
      <w:pPr>
        <w:spacing w:after="0" w:line="14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General and administrative expenses increased by $9.0 million, or 42%, during the year ended December 31, 2021 compared to the same period in 2020. The increase in general and administrative expenses during the year ended December 31, 2021 was primarily due to an increase of $4.8 million in stock-based compensation expense; an increase of $2.3 million in salaries and other employee-related expenses due to increased headcount; and an increase of $0.8 million in insurance.</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Interest income decreased by $1.3 million for the year ended December 31, 2021, compared to the same period in 2020 due to lower interest rates.</w:t>
      </w:r>
    </w:p>
    <w:p>
      <w:pPr>
        <w:spacing w:after="0" w:line="20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expense was less than $0.1 million for both years ended December 31, 2021 and 2020.</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85" w:lineRule="exact"/>
        <w:rPr>
          <w:sz w:val="20"/>
          <w:szCs w:val="20"/>
          <w:color w:val="auto"/>
        </w:rPr>
      </w:pPr>
    </w:p>
    <w:p>
      <w:pPr>
        <w:ind w:right="260" w:firstLine="509"/>
        <w:spacing w:after="0" w:line="277" w:lineRule="auto"/>
        <w:rPr>
          <w:sz w:val="20"/>
          <w:szCs w:val="20"/>
          <w:color w:val="auto"/>
        </w:rPr>
      </w:pPr>
      <w:r>
        <w:rPr>
          <w:rFonts w:ascii="Arial" w:cs="Arial" w:eastAsia="Arial" w:hAnsi="Arial"/>
          <w:sz w:val="18"/>
          <w:szCs w:val="18"/>
          <w:color w:val="auto"/>
        </w:rPr>
        <w:t>Benefit from income taxes was zero for the year ended December 31, 2021 and $0.4 million for the year ended December 31, 2020 and related to net changes in the valuation allowance resulting from the Warp Drive acquisition.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2" w:lineRule="exact"/>
        <w:rPr>
          <w:sz w:val="20"/>
          <w:szCs w:val="20"/>
          <w:color w:val="auto"/>
        </w:rPr>
      </w:pPr>
    </w:p>
    <w:p>
      <w:pPr>
        <w:ind w:right="40" w:firstLine="509"/>
        <w:spacing w:after="0" w:line="308" w:lineRule="auto"/>
        <w:rPr>
          <w:sz w:val="20"/>
          <w:szCs w:val="20"/>
          <w:color w:val="auto"/>
        </w:rPr>
      </w:pPr>
      <w:r>
        <w:rPr>
          <w:rFonts w:ascii="Arial" w:cs="Arial" w:eastAsia="Arial" w:hAnsi="Arial"/>
          <w:sz w:val="17"/>
          <w:szCs w:val="17"/>
          <w:color w:val="auto"/>
        </w:rPr>
        <w:t>In February 2020, we closed our IPO and issued 16,100,000 shares of our common stock at a price to the public of $17.00 per share for net proceeds of approximately $250.7 million, after deducting underwriting discounts and commissions of $19.2 million and expenses of $3.8 million.</w:t>
      </w:r>
    </w:p>
    <w:p>
      <w:pPr>
        <w:spacing w:after="0" w:line="106" w:lineRule="exact"/>
        <w:rPr>
          <w:sz w:val="20"/>
          <w:szCs w:val="20"/>
          <w:color w:val="auto"/>
        </w:rPr>
      </w:pPr>
    </w:p>
    <w:p>
      <w:pPr>
        <w:ind w:right="100" w:firstLine="509"/>
        <w:spacing w:after="0" w:line="308" w:lineRule="auto"/>
        <w:rPr>
          <w:sz w:val="20"/>
          <w:szCs w:val="20"/>
          <w:color w:val="auto"/>
        </w:rPr>
      </w:pPr>
      <w:r>
        <w:rPr>
          <w:rFonts w:ascii="Arial" w:cs="Arial" w:eastAsia="Arial" w:hAnsi="Arial"/>
          <w:sz w:val="17"/>
          <w:szCs w:val="17"/>
          <w:color w:val="auto"/>
        </w:rPr>
        <w:t>In July 2020, we issued 6,900,000 shares of our common stock in an underwritten public offering at a price to the public of $26.00 per share for net proceeds of $167.8 million, after deducting underwriting discounts and commissions of $10.8 million and offering expenses of $0.8 million.</w:t>
      </w:r>
    </w:p>
    <w:p>
      <w:pPr>
        <w:spacing w:after="0" w:line="106" w:lineRule="exact"/>
        <w:rPr>
          <w:sz w:val="20"/>
          <w:szCs w:val="20"/>
          <w:color w:val="auto"/>
        </w:rPr>
      </w:pPr>
    </w:p>
    <w:p>
      <w:pPr>
        <w:ind w:right="20" w:firstLine="509"/>
        <w:spacing w:after="0" w:line="342" w:lineRule="auto"/>
        <w:rPr>
          <w:sz w:val="20"/>
          <w:szCs w:val="20"/>
          <w:color w:val="auto"/>
        </w:rPr>
      </w:pPr>
      <w:r>
        <w:rPr>
          <w:rFonts w:ascii="Arial" w:cs="Arial" w:eastAsia="Arial" w:hAnsi="Arial"/>
          <w:sz w:val="16"/>
          <w:szCs w:val="16"/>
          <w:color w:val="auto"/>
        </w:rPr>
        <w:t>In February 2021, we issued 6,666,666 shares of our common stock in an underwritten public offering at a price to the public of $45.00 per share for net proceeds of $281.1 million, after deducting underwriting discounts and commissions of $18.0 million and offering expenses of $0.9 million.</w:t>
      </w:r>
    </w:p>
    <w:p>
      <w:pPr>
        <w:spacing w:after="0" w:line="97" w:lineRule="exact"/>
        <w:rPr>
          <w:sz w:val="20"/>
          <w:szCs w:val="20"/>
          <w:color w:val="auto"/>
        </w:rPr>
      </w:pPr>
    </w:p>
    <w:p>
      <w:pPr>
        <w:ind w:right="120" w:firstLine="509"/>
        <w:spacing w:after="0" w:line="259" w:lineRule="auto"/>
        <w:rPr>
          <w:sz w:val="20"/>
          <w:szCs w:val="20"/>
          <w:color w:val="auto"/>
        </w:rPr>
      </w:pPr>
      <w:r>
        <w:rPr>
          <w:rFonts w:ascii="Arial" w:cs="Arial" w:eastAsia="Arial" w:hAnsi="Arial"/>
          <w:sz w:val="18"/>
          <w:szCs w:val="18"/>
          <w:color w:val="auto"/>
        </w:rPr>
        <w:t>In November 2021, we entered into a sales agreement with Cowen and Company, LLC (Cowen) to sell shares of our common stock, from time to time, with aggregate gross proceeds of up to $250 million, through an at-the-market equity offering program (ATM) under which Cowen agreed to act as our sales agent. In 2021, we sold an aggregate of 339,302 shares of common stock under the ATM resulting in gross proceeds to us of $10.4 million. After deducting commissions and expenses of $0.3 million, net proceeds to us were $10.1 million.</w:t>
      </w:r>
    </w:p>
    <w:p>
      <w:pPr>
        <w:spacing w:after="0" w:line="146" w:lineRule="exact"/>
        <w:rPr>
          <w:sz w:val="20"/>
          <w:szCs w:val="20"/>
          <w:color w:val="auto"/>
        </w:rPr>
      </w:pPr>
    </w:p>
    <w:p>
      <w:pPr>
        <w:ind w:right="140" w:firstLine="509"/>
        <w:spacing w:after="0" w:line="342" w:lineRule="auto"/>
        <w:rPr>
          <w:sz w:val="20"/>
          <w:szCs w:val="20"/>
          <w:color w:val="auto"/>
        </w:rPr>
      </w:pPr>
      <w:r>
        <w:rPr>
          <w:rFonts w:ascii="Arial" w:cs="Arial" w:eastAsia="Arial" w:hAnsi="Arial"/>
          <w:sz w:val="16"/>
          <w:szCs w:val="16"/>
          <w:color w:val="auto"/>
        </w:rPr>
        <w:t>In July 2022, we issued 13,225,000 shares of our common stock in an underwritten public offering at a price to the public of $20.00 per share, for net proceeds of $248.1 million, after deducting underwriting discounts and commissions of $15.9 million and estimated offering expenses of $0.5 million.</w:t>
      </w:r>
    </w:p>
    <w:p>
      <w:pPr>
        <w:spacing w:after="0" w:line="83" w:lineRule="exact"/>
        <w:rPr>
          <w:sz w:val="20"/>
          <w:szCs w:val="20"/>
          <w:color w:val="auto"/>
        </w:rPr>
      </w:pPr>
    </w:p>
    <w:p>
      <w:pPr>
        <w:ind w:firstLine="509"/>
        <w:spacing w:after="0" w:line="308" w:lineRule="auto"/>
        <w:rPr>
          <w:sz w:val="20"/>
          <w:szCs w:val="20"/>
          <w:color w:val="auto"/>
        </w:rPr>
      </w:pPr>
      <w:r>
        <w:rPr>
          <w:rFonts w:ascii="Arial" w:cs="Arial" w:eastAsia="Arial" w:hAnsi="Arial"/>
          <w:sz w:val="17"/>
          <w:szCs w:val="17"/>
          <w:color w:val="auto"/>
        </w:rPr>
        <w:t>During the year ended December 31, 2022, we sold an aggregate of 2,385,846 shares of common stock under the ATM resulting in gross proceeds of $51.3 million. After deducting commissions and expenses of $1.4 million, our net proceeds under the ATM were $49.9 million.</w:t>
      </w:r>
    </w:p>
    <w:p>
      <w:pPr>
        <w:spacing w:after="0" w:line="119" w:lineRule="exact"/>
        <w:rPr>
          <w:sz w:val="20"/>
          <w:szCs w:val="20"/>
          <w:color w:val="auto"/>
        </w:rPr>
      </w:pPr>
    </w:p>
    <w:p>
      <w:pPr>
        <w:jc w:val="both"/>
        <w:ind w:right="420" w:firstLine="509"/>
        <w:spacing w:after="0" w:line="342" w:lineRule="auto"/>
        <w:rPr>
          <w:sz w:val="20"/>
          <w:szCs w:val="20"/>
          <w:color w:val="auto"/>
        </w:rPr>
      </w:pPr>
      <w:r>
        <w:rPr>
          <w:rFonts w:ascii="Arial" w:cs="Arial" w:eastAsia="Arial" w:hAnsi="Arial"/>
          <w:sz w:val="16"/>
          <w:szCs w:val="16"/>
          <w:color w:val="auto"/>
        </w:rPr>
        <w:t>Our operations have been financed primarily by our public offerings of common stock, net proceeds of $230.6 million from the issuance of our preferred stock and $176.9 million received under the Sanofi Agreement for upfront payments and for research and development cost reimbursement.</w:t>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we had $644.9 million in cash, cash equivalents and marketable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89" w:name="page90"/>
    <w:bookmarkEnd w:id="89"/>
    <w:p>
      <w:pPr>
        <w:ind w:right="140" w:firstLine="509"/>
        <w:spacing w:after="0" w:line="259" w:lineRule="auto"/>
        <w:rPr>
          <w:sz w:val="20"/>
          <w:szCs w:val="20"/>
          <w:color w:val="auto"/>
        </w:rPr>
      </w:pPr>
      <w:r>
        <w:rPr>
          <w:rFonts w:ascii="Arial" w:cs="Arial" w:eastAsia="Arial" w:hAnsi="Arial"/>
          <w:sz w:val="18"/>
          <w:szCs w:val="18"/>
          <w:color w:val="auto"/>
        </w:rPr>
        <w:t>As of December 31, 2022, we had an accumulated deficit of $701.3 million. Our primary use of cash is to fund operating expenses, which consist primarily of research and development expenditures related to our product candidates and our preclinical research portfolio, and to a lesser extent, general and administrative expenditures. We expect our expenses to continue to increase in connection with our ongoing activities, particularly as we continue to advance our product candidates and preclinical research portfolio.</w:t>
      </w:r>
    </w:p>
    <w:p>
      <w:pPr>
        <w:spacing w:after="0" w:line="160"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We believe that our existing cash, cash equivalents and marketable securities will enable us to fund our planned operations for at least 12 months following the date of this report.</w:t>
      </w:r>
    </w:p>
    <w:p>
      <w:pPr>
        <w:spacing w:after="0" w:line="13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timing and amount of our future funding requirements depends on many factors, including:</w:t>
      </w:r>
    </w:p>
    <w:p>
      <w:pPr>
        <w:spacing w:after="0" w:line="117" w:lineRule="exact"/>
        <w:rPr>
          <w:sz w:val="20"/>
          <w:szCs w:val="20"/>
          <w:color w:val="auto"/>
        </w:rPr>
      </w:pPr>
    </w:p>
    <w:p>
      <w:pPr>
        <w:ind w:left="1020" w:right="440" w:hanging="503"/>
        <w:spacing w:after="0" w:line="277"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product candidates and programs, and of conducting preclinical studies and clinical trials;</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marketing approvals for product candidates we develop if clinical trials are successful;</w:t>
      </w:r>
    </w:p>
    <w:p>
      <w:pPr>
        <w:spacing w:after="0" w:line="128" w:lineRule="exact"/>
        <w:rPr>
          <w:rFonts w:ascii="Arial" w:cs="Arial" w:eastAsia="Arial" w:hAnsi="Arial"/>
          <w:sz w:val="17"/>
          <w:szCs w:val="17"/>
          <w:color w:val="auto"/>
        </w:rPr>
      </w:pPr>
    </w:p>
    <w:p>
      <w:pPr>
        <w:ind w:left="1020" w:right="60" w:hanging="503"/>
        <w:spacing w:after="0" w:line="263"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successful wind-up of our collaboration with Sanofi, which has been terminated effective as of June 2023, including the continued reimbursement by Sanofi of our research and development costs for our SHP2 program in accordance with the Sanofi Agreement prior to the effectiveness of termination;</w:t>
      </w:r>
    </w:p>
    <w:p>
      <w:pPr>
        <w:spacing w:after="0" w:line="75" w:lineRule="exact"/>
        <w:rPr>
          <w:rFonts w:ascii="Arial" w:cs="Arial" w:eastAsia="Arial" w:hAnsi="Arial"/>
          <w:sz w:val="18"/>
          <w:szCs w:val="18"/>
          <w:color w:val="auto"/>
        </w:rPr>
      </w:pPr>
    </w:p>
    <w:p>
      <w:pPr>
        <w:ind w:left="1020" w:right="100" w:hanging="503"/>
        <w:spacing w:after="0" w:line="277"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 of commercialization activities for any product candidates we develop, whether alone or in collaboration, including marketing, sales and distribution costs if any product candidate we develop is approved for sale;</w:t>
      </w:r>
    </w:p>
    <w:p>
      <w:pPr>
        <w:spacing w:after="0" w:line="62" w:lineRule="exact"/>
        <w:rPr>
          <w:rFonts w:ascii="Arial" w:cs="Arial" w:eastAsia="Arial" w:hAnsi="Arial"/>
          <w:sz w:val="18"/>
          <w:szCs w:val="18"/>
          <w:color w:val="auto"/>
        </w:rPr>
      </w:pPr>
    </w:p>
    <w:p>
      <w:pPr>
        <w:ind w:left="1020" w:right="20" w:hanging="503"/>
        <w:spacing w:after="0" w:line="277"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 of manufacturing our current and future product candidates for clinical trials in preparation for marketing approval and in preparation for commercialization;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licenses or other arrangements and the financial terms of such agreements;</w:t>
      </w:r>
    </w:p>
    <w:p>
      <w:pPr>
        <w:spacing w:after="0" w:line="117" w:lineRule="exact"/>
        <w:rPr>
          <w:rFonts w:ascii="Arial" w:cs="Arial" w:eastAsia="Arial" w:hAnsi="Arial"/>
          <w:sz w:val="18"/>
          <w:szCs w:val="18"/>
          <w:color w:val="auto"/>
        </w:rPr>
      </w:pPr>
    </w:p>
    <w:p>
      <w:pPr>
        <w:ind w:left="1020" w:right="80" w:hanging="503"/>
        <w:spacing w:after="0" w:line="277" w:lineRule="auto"/>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expanding, defending and enforcing patent claims, including litigation costs and the outcome of such litigation;</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timing, receipt and amount of sales of, profit share or royalties on, our future products, if any;</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emergence of competing cancer therapies or other adverse market developments; and</w:t>
      </w:r>
    </w:p>
    <w:p>
      <w:pPr>
        <w:spacing w:after="0" w:line="117" w:lineRule="exact"/>
        <w:rPr>
          <w:rFonts w:ascii="Arial" w:cs="Arial" w:eastAsia="Arial" w:hAnsi="Arial"/>
          <w:sz w:val="18"/>
          <w:szCs w:val="18"/>
          <w:color w:val="auto"/>
        </w:rPr>
      </w:pPr>
    </w:p>
    <w:p>
      <w:pPr>
        <w:ind w:left="1020" w:hanging="503"/>
        <w:spacing w:after="0"/>
        <w:tabs>
          <w:tab w:leader="none" w:pos="10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plans to acquire or in-license other programs or technologies.</w:t>
      </w:r>
    </w:p>
    <w:p>
      <w:pPr>
        <w:spacing w:after="0" w:line="185" w:lineRule="exact"/>
        <w:rPr>
          <w:sz w:val="20"/>
          <w:szCs w:val="20"/>
          <w:color w:val="auto"/>
        </w:rPr>
      </w:pPr>
    </w:p>
    <w:p>
      <w:pPr>
        <w:ind w:right="40" w:firstLine="509"/>
        <w:spacing w:after="0" w:line="288" w:lineRule="auto"/>
        <w:rPr>
          <w:sz w:val="20"/>
          <w:szCs w:val="20"/>
          <w:color w:val="auto"/>
        </w:rPr>
      </w:pPr>
      <w:r>
        <w:rPr>
          <w:rFonts w:ascii="Arial" w:cs="Arial" w:eastAsia="Arial" w:hAnsi="Arial"/>
          <w:sz w:val="16"/>
          <w:szCs w:val="16"/>
          <w:color w:val="auto"/>
        </w:rPr>
        <w:t>We expect to need to obtain substantial additional funding in the future to continue the preclinical and clinical development of our current and future programs and to prepare for their potential commercialization. If we need to raise additional capital to fund our operations, funding may not be available to us on acceptable terms, or at all. If we are unable to obtain adequate financing when needed, we may have to delay, reduce the scope of or suspend one or more of our clinical trials, research and development programs or commercialization efforts. We may seek to raise any necessary additional capital through a combination of public or private equity offerings, debt financings and collaborations or licensing arrangements.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 and if the debt is convertible into our common stock, the ownership interest of our stockholders may be diluted. If we are unable to raise capital, we may need to delay, reduce or terminate planned activities to reduce costs. Doing so will likely harm our ability to execute our business plans.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consolidated cash flows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right"/>
              <w:ind w:right="147"/>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9"/>
        </w:trPr>
        <w:tc>
          <w:tcPr>
            <w:tcW w:w="114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right"/>
              <w:ind w:right="54"/>
              <w:spacing w:after="0"/>
              <w:rPr>
                <w:sz w:val="20"/>
                <w:szCs w:val="20"/>
                <w:color w:val="auto"/>
              </w:rPr>
            </w:pPr>
            <w:r>
              <w:rPr>
                <w:rFonts w:ascii="Arial" w:cs="Arial" w:eastAsia="Arial" w:hAnsi="Arial"/>
                <w:sz w:val="14"/>
                <w:szCs w:val="14"/>
                <w:b w:val="1"/>
                <w:bCs w:val="1"/>
                <w:color w:val="auto"/>
                <w:w w:val="95"/>
              </w:rPr>
              <w:t>(in thousands)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43"/>
        </w:trPr>
        <w:tc>
          <w:tcPr>
            <w:tcW w:w="1140" w:type="dxa"/>
            <w:vAlign w:val="bottom"/>
          </w:tcPr>
          <w:p>
            <w:pPr>
              <w:spacing w:after="0"/>
              <w:rPr>
                <w:sz w:val="21"/>
                <w:szCs w:val="21"/>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provided by (used in):</w:t>
            </w:r>
          </w:p>
        </w:tc>
        <w:tc>
          <w:tcPr>
            <w:tcW w:w="1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rPr>
              <w:t>Operating activities</w:t>
            </w:r>
          </w:p>
        </w:tc>
        <w:tc>
          <w:tcPr>
            <w:tcW w:w="18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(224,401 )</w:t>
            </w:r>
          </w:p>
        </w:tc>
        <w:tc>
          <w:tcPr>
            <w:tcW w:w="240" w:type="dxa"/>
            <w:vAlign w:val="bottom"/>
          </w:tcPr>
          <w:p>
            <w:pPr>
              <w:jc w:val="right"/>
              <w:ind w:right="56"/>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(147,180 )</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(100,064 )</w:t>
            </w: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3660" w:type="dxa"/>
            <w:vAlign w:val="bottom"/>
            <w:shd w:val="clear" w:color="auto" w:fill="CFF0FC"/>
          </w:tcPr>
          <w:p>
            <w:pPr>
              <w:ind w:left="100"/>
              <w:spacing w:after="0"/>
              <w:rPr>
                <w:sz w:val="20"/>
                <w:szCs w:val="20"/>
                <w:color w:val="auto"/>
              </w:rPr>
            </w:pPr>
            <w:r>
              <w:rPr>
                <w:rFonts w:ascii="Arial" w:cs="Arial" w:eastAsia="Arial" w:hAnsi="Arial"/>
                <w:sz w:val="18"/>
                <w:szCs w:val="18"/>
                <w:color w:val="auto"/>
              </w:rPr>
              <w:t>Investing activities</w:t>
            </w:r>
          </w:p>
        </w:tc>
        <w:tc>
          <w:tcPr>
            <w:tcW w:w="16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(24,116 )</w:t>
            </w:r>
          </w:p>
        </w:tc>
        <w:tc>
          <w:tcPr>
            <w:tcW w:w="24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(142,117 )</w:t>
            </w:r>
          </w:p>
        </w:tc>
        <w:tc>
          <w:tcPr>
            <w:tcW w:w="2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(234,233 )</w:t>
            </w: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660" w:type="dxa"/>
            <w:vAlign w:val="bottom"/>
          </w:tcPr>
          <w:p>
            <w:pPr>
              <w:ind w:left="100"/>
              <w:spacing w:after="0"/>
              <w:rPr>
                <w:sz w:val="20"/>
                <w:szCs w:val="20"/>
                <w:color w:val="auto"/>
              </w:rPr>
            </w:pPr>
            <w:r>
              <w:rPr>
                <w:rFonts w:ascii="Arial" w:cs="Arial" w:eastAsia="Arial" w:hAnsi="Arial"/>
                <w:sz w:val="18"/>
                <w:szCs w:val="18"/>
                <w:color w:val="auto"/>
              </w:rPr>
              <w:t>Financing activities</w:t>
            </w:r>
          </w:p>
        </w:tc>
        <w:tc>
          <w:tcPr>
            <w:tcW w:w="1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301,432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294,179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422,776</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6"/>
        </w:trPr>
        <w:tc>
          <w:tcPr>
            <w:tcW w:w="1140" w:type="dxa"/>
            <w:vAlign w:val="bottom"/>
          </w:tcPr>
          <w:p>
            <w:pPr>
              <w:spacing w:after="0"/>
              <w:rPr>
                <w:sz w:val="24"/>
                <w:szCs w:val="24"/>
                <w:color w:val="auto"/>
              </w:rPr>
            </w:pPr>
          </w:p>
        </w:tc>
        <w:tc>
          <w:tcPr>
            <w:tcW w:w="3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16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52,915</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4,882</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88,479</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35"/>
        </w:trPr>
        <w:tc>
          <w:tcPr>
            <w:tcW w:w="11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600" w:type="dxa"/>
            <w:vAlign w:val="bottom"/>
          </w:tcPr>
          <w:p>
            <w:pPr>
              <w:jc w:val="right"/>
              <w:ind w:right="59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-522605</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-504825</wp:posOffset>
            </wp:positionV>
            <wp:extent cx="6032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-522605</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-504825</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-522605</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-504825</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185" w:lineRule="exact"/>
        <w:rPr>
          <w:sz w:val="20"/>
          <w:szCs w:val="20"/>
          <w:color w:val="auto"/>
        </w:rPr>
      </w:pPr>
    </w:p>
    <w:p>
      <w:pPr>
        <w:ind w:right="40" w:firstLine="509"/>
        <w:spacing w:after="0" w:line="271" w:lineRule="auto"/>
        <w:rPr>
          <w:sz w:val="20"/>
          <w:szCs w:val="20"/>
          <w:color w:val="auto"/>
        </w:rPr>
      </w:pPr>
      <w:r>
        <w:rPr>
          <w:rFonts w:ascii="Arial" w:cs="Arial" w:eastAsia="Arial" w:hAnsi="Arial"/>
          <w:sz w:val="17"/>
          <w:szCs w:val="17"/>
          <w:color w:val="auto"/>
        </w:rPr>
        <w:t>During the year ended December 31, 2022, cash used in operating activities of $224.4 million was attributable to a net loss of $248.7 million partially offset by $37.8 million in non-cash charges and by a net change of $13.5 million in our operating assets and liabilities. The non-cash charges primarily consisted of stock-based compensation expense of $31.2 million, depreciation and amortization of $5.0 million, amortization of operating lease right-of-use asset of $4.6 million offset by net amortization of premium on marketable securities of $3.1 million. The change in operating assets and liabilities was primarily due to a $3.8 million increase in prepaid expenses and other current assets primarily resulting from the timing of prepayments made for research and development activities, a $14.5 million decrease in deferred revenue associated with the Sanofi Agreement, a $2.4 million decrease in operating lease liability, offset by a $7.3 million increase in accounts payable, $1.5 million increase in accrued expenses and other current liabilities and a $1.3 million decrease in accounts receivable.</w:t>
      </w:r>
    </w:p>
    <w:p>
      <w:pPr>
        <w:spacing w:after="0" w:line="151" w:lineRule="exact"/>
        <w:rPr>
          <w:sz w:val="20"/>
          <w:szCs w:val="20"/>
          <w:color w:val="auto"/>
        </w:rPr>
      </w:pPr>
    </w:p>
    <w:p>
      <w:pPr>
        <w:ind w:right="60" w:firstLine="509"/>
        <w:spacing w:after="0" w:line="273" w:lineRule="auto"/>
        <w:rPr>
          <w:sz w:val="20"/>
          <w:szCs w:val="20"/>
          <w:color w:val="auto"/>
        </w:rPr>
      </w:pPr>
      <w:r>
        <w:rPr>
          <w:rFonts w:ascii="Arial" w:cs="Arial" w:eastAsia="Arial" w:hAnsi="Arial"/>
          <w:sz w:val="17"/>
          <w:szCs w:val="17"/>
          <w:color w:val="auto"/>
        </w:rPr>
        <w:t>During the year ended December 31, 2021, cash used in operating activities of $147.2 million was attributable to a net loss of $187.1 million partially offset by $31.2 million in non-cash charges and by net change of $8.7 million in our operating assets and liabilities. The non-cash charges primarily consisted of stock-based compensation expense of $20.7 million, depreciation and amortization of $4.2 million, net amortization of premium on marketable securities of $3.0 million and amortization of operating lease right-of-use asset of $3.2 million. The change in operating assets and liabilities was primarily due to an $11.0 million increase in accrued expenses and accounts payable partially offset by a $1.7 million decrease in deferred revenue associated with the Sanofi Agreement and a $1.5 million decrease in operating lease liability.</w:t>
      </w:r>
    </w:p>
    <w:p>
      <w:pPr>
        <w:spacing w:after="0" w:line="13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During the year ended December 31, 2020, cash used in operating activities of $100.1 million was attributable to a net loss of $108.2 million and a net change of $8.3 million in our operating assets and liabilities, partially offset by $16.4 million in non-cash charges. The non-cash charges primarily consisted of stock-based compensation expense of $8.9 million, depreciation and amortization of $3.7 million, net amortization of premium on marketable securities of $0.1 million and amortization of operating lease right-of-use asset of $2.9 million. The change in operating assets and liabilities was primarily due to an $11.3 million decrease in deferred revenue associated with the Sanofi Agreement partially offset by a $4.9 million increase in accrued expenses and other current assets.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98"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During the year ended December 31, 2022, cash used in investing activities of $24.1 million was primarily comprised of purchases of marketable securities of $612.8 million and purchases of property and equipment of $10.8 million, offset by cash provided by maturities of marketable securities of $599.5 million.</w:t>
      </w:r>
    </w:p>
    <w:p>
      <w:pPr>
        <w:spacing w:after="0" w:line="143"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During the year ended December 31, 2021, cash used in investing activities of $142.1 million was primarily comprised of purchases of marketable securities of $671.3 million and purchases of property and equipment of $6.5 million, offset by cash provided by maturities of marketable securities of $526.8 million and sale of marketable securities of $9.0 million.</w:t>
      </w:r>
    </w:p>
    <w:p>
      <w:pPr>
        <w:spacing w:after="0" w:line="143"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During the year ended December 31, 2020, cash used in investing activities of $234.2 million was primarily comprised of purchases of marketable securities of $544.1 million and purchases of property and equipment of $2.9 million, partially offset by cash provided by maturities of marketable securities of $309.8 million and sale of marketable securities of $3.0 million.</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i w:val="1"/>
          <w:iCs w:val="1"/>
          <w:color w:val="auto"/>
        </w:rPr>
        <w:t>Cash provided by financing activities</w:t>
      </w:r>
    </w:p>
    <w:p>
      <w:pPr>
        <w:spacing w:after="0" w:line="198"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During the year ended December 31, 2022, cash provided by financing activities of $301.4 million was comprised of $248.1 million in net proceeds from the July 2022 underwritten public offering, $49.9 million in net proceeds from the issuance of common stock under the ATM, $1.9 million in proceeds from the issuance of common stock under the employee stock purchase plan and $1.5 million in proceeds from the issuance of common stock upon the exercise of stock options.</w:t>
      </w:r>
    </w:p>
    <w:p>
      <w:pPr>
        <w:spacing w:after="0" w:line="146"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During the year ended December 31, 2021, cash provided by financing activities of $294.2 million was comprised of $281.1 million in net proceeds from the issuance of common stock related from the February 2021 underwritten public offering, $10.1 million in net proceeds from the issuance of common stock under the ATM, $1.9 million in proceeds from the issuance of common stock under the employee stock purchase plan and $ 1.5 million in proceeds from the issuance of common stock upon the exercise of stock options.</w:t>
      </w:r>
    </w:p>
    <w:p>
      <w:pPr>
        <w:spacing w:after="0" w:line="146"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During the year ended December 31, 2020, cash provided by financing activities of $422.8 million was comprised of $420.1 million in net proceeds from the issuance of common stock related to our IPO in February 2020 and our underwritten public offering in July 2020, $1.9 million in proceeds from the issuance of common stock upon the exercise of stock options and $0.8 million in proceeds from the issuance of common stock under the employee stock purchase plan.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We have contractual obligations related to office and laboratory space leases in Redwood City, California and Cambridge, Massachusetts, described in “Note 7. Commitments and contingencies” in the “Notes to Consolidated Financial Statements” contained in Part II, Item 8 of this Annual Report on Form 10-K.</w:t>
      </w:r>
    </w:p>
    <w:p>
      <w:pPr>
        <w:spacing w:after="0" w:line="143" w:lineRule="exact"/>
        <w:rPr>
          <w:sz w:val="20"/>
          <w:szCs w:val="20"/>
          <w:color w:val="auto"/>
        </w:rPr>
      </w:pPr>
    </w:p>
    <w:p>
      <w:pPr>
        <w:ind w:right="260" w:firstLine="509"/>
        <w:spacing w:after="0" w:line="263" w:lineRule="auto"/>
        <w:rPr>
          <w:sz w:val="20"/>
          <w:szCs w:val="20"/>
          <w:color w:val="auto"/>
        </w:rPr>
      </w:pPr>
      <w:r>
        <w:rPr>
          <w:rFonts w:ascii="Arial" w:cs="Arial" w:eastAsia="Arial" w:hAnsi="Arial"/>
          <w:sz w:val="18"/>
          <w:szCs w:val="18"/>
          <w:color w:val="auto"/>
        </w:rPr>
        <w:t>We enter into agreements in the ordinary course of business with contract research organizations for clinical trials, contract manufacturing organizations to provide clinical trial materials and with vendors for preclinical studies and other services and products for operating purposes which are generally cancelable at any time by us upon 30 to 90 days prior written notice.</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89"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w:t>
      </w:r>
    </w:p>
    <w:p>
      <w:pPr>
        <w:spacing w:after="0" w:line="202" w:lineRule="exact"/>
        <w:rPr>
          <w:sz w:val="20"/>
          <w:szCs w:val="20"/>
          <w:color w:val="auto"/>
        </w:rPr>
      </w:pPr>
    </w:p>
    <w:p>
      <w:pPr>
        <w:ind w:firstLine="509"/>
        <w:spacing w:after="0" w:line="290"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consolidated financial statements, which have been prepared in accordance with United States generally accepted accounting principles (U.S. GAAP). The preparation of these consolidated financial statements requires us to make estimates and assumptions that affect the reported amounts of assets and liabilities and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85"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We recognize revenue is accordance with Accounting Standards Codification Topic 606, Revenue from Contracts with Customers (ASC 606). Under ASC 606, an entity recognizes revenue when its customer obtains control of promised goods or services, in an amount that reflects the consideration which such entity expects to receive in exchange for those goods or services. In determining the appropriate amount of revenue to be recognized as we fulfill our obligations under arrangements, we perform the following steps: (i) identify the contract(s) with a customer, (ii) identify the performance obligations in the contract, (iii) determine the transaction price, (iv) allocate the transaction price to the performance obligations in the contract, and (v) recognize revenue when (or as) the entity satisfies the performance obligation. At contract inception, once the contract is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154" w:lineRule="exact"/>
        <w:rPr>
          <w:sz w:val="20"/>
          <w:szCs w:val="20"/>
          <w:color w:val="auto"/>
        </w:rPr>
      </w:pPr>
    </w:p>
    <w:p>
      <w:pPr>
        <w:ind w:right="380" w:firstLine="509"/>
        <w:spacing w:after="0" w:line="259" w:lineRule="auto"/>
        <w:rPr>
          <w:sz w:val="20"/>
          <w:szCs w:val="20"/>
          <w:color w:val="auto"/>
        </w:rPr>
      </w:pPr>
      <w:r>
        <w:rPr>
          <w:rFonts w:ascii="Arial" w:cs="Arial" w:eastAsia="Arial" w:hAnsi="Arial"/>
          <w:sz w:val="18"/>
          <w:szCs w:val="18"/>
          <w:color w:val="auto"/>
        </w:rPr>
        <w:t>We enter into collaboration agreements under which we may obtain upfront license fees, research and development funding, and development, regulatory and commercial milestone payments and royalty payments. Our performance obligations under these arrangements may include licenses of intellectual property, sales and distribution rights, research and development services, delivery of manufactured product and/or participation on joint steering committees.</w:t>
      </w:r>
    </w:p>
    <w:p>
      <w:pPr>
        <w:spacing w:after="0" w:line="146" w:lineRule="exact"/>
        <w:rPr>
          <w:sz w:val="20"/>
          <w:szCs w:val="20"/>
          <w:color w:val="auto"/>
        </w:rPr>
      </w:pPr>
    </w:p>
    <w:p>
      <w:pPr>
        <w:ind w:right="160" w:firstLine="509"/>
        <w:spacing w:after="0" w:line="293" w:lineRule="auto"/>
        <w:rPr>
          <w:sz w:val="20"/>
          <w:szCs w:val="20"/>
          <w:color w:val="auto"/>
        </w:rPr>
      </w:pPr>
      <w:r>
        <w:rPr>
          <w:rFonts w:ascii="Arial" w:cs="Arial" w:eastAsia="Arial" w:hAnsi="Arial"/>
          <w:sz w:val="16"/>
          <w:szCs w:val="16"/>
          <w:i w:val="1"/>
          <w:iCs w:val="1"/>
          <w:color w:val="auto"/>
        </w:rPr>
        <w:t xml:space="preserve">Licenses of intellectual property: </w:t>
      </w:r>
      <w:r>
        <w:rPr>
          <w:rFonts w:ascii="Arial" w:cs="Arial" w:eastAsia="Arial" w:hAnsi="Arial"/>
          <w:sz w:val="16"/>
          <w:szCs w:val="16"/>
          <w:color w:val="auto"/>
        </w:rPr>
        <w:t>If the license to our intellectual property is determined to be distinct from the other performance obligations</w:t>
      </w:r>
      <w:r>
        <w:rPr>
          <w:rFonts w:ascii="Arial" w:cs="Arial" w:eastAsia="Arial" w:hAnsi="Arial"/>
          <w:sz w:val="16"/>
          <w:szCs w:val="16"/>
          <w:i w:val="1"/>
          <w:iCs w:val="1"/>
          <w:color w:val="auto"/>
        </w:rPr>
        <w:t xml:space="preserve"> </w:t>
      </w:r>
      <w:r>
        <w:rPr>
          <w:rFonts w:ascii="Arial" w:cs="Arial" w:eastAsia="Arial" w:hAnsi="Arial"/>
          <w:sz w:val="16"/>
          <w:szCs w:val="16"/>
          <w:color w:val="auto"/>
        </w:rPr>
        <w:t>identified in the arrangement, we recognize revenue from upfront license fees allocated to the license when the license is transferred to the customer and the customer is able to use and benefit from the license. For licenses that are bundled with other promises, we utilize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fees. We evaluate the measure of proportional performance each reporting period and, if necessary, adjust the measure of performance and related revenue recognition.</w:t>
      </w:r>
    </w:p>
    <w:p>
      <w:pPr>
        <w:spacing w:after="0" w:line="124" w:lineRule="exact"/>
        <w:rPr>
          <w:sz w:val="20"/>
          <w:szCs w:val="20"/>
          <w:color w:val="auto"/>
        </w:rPr>
      </w:pPr>
    </w:p>
    <w:p>
      <w:pPr>
        <w:ind w:right="20" w:firstLine="509"/>
        <w:spacing w:after="0" w:line="275" w:lineRule="auto"/>
        <w:rPr>
          <w:sz w:val="20"/>
          <w:szCs w:val="20"/>
          <w:color w:val="auto"/>
        </w:rPr>
      </w:pPr>
      <w:r>
        <w:rPr>
          <w:rFonts w:ascii="Arial" w:cs="Arial" w:eastAsia="Arial" w:hAnsi="Arial"/>
          <w:sz w:val="17"/>
          <w:szCs w:val="17"/>
          <w:i w:val="1"/>
          <w:iCs w:val="1"/>
          <w:color w:val="auto"/>
        </w:rPr>
        <w:t xml:space="preserve">Research, development and regulatory milestone payments: </w:t>
      </w:r>
      <w:r>
        <w:rPr>
          <w:rFonts w:ascii="Arial" w:cs="Arial" w:eastAsia="Arial" w:hAnsi="Arial"/>
          <w:sz w:val="17"/>
          <w:szCs w:val="17"/>
          <w:color w:val="auto"/>
        </w:rPr>
        <w:t>At the inception of each arrangement that includes research, development, or regulatory</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 payments, we evaluate whether the milestones are considered probable of being reached and estimate the amount to be included in the transaction price. We use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value is included in the transaction price.</w:t>
      </w:r>
    </w:p>
    <w:p>
      <w:pPr>
        <w:spacing w:after="0" w:line="149" w:lineRule="exact"/>
        <w:rPr>
          <w:sz w:val="20"/>
          <w:szCs w:val="20"/>
          <w:color w:val="auto"/>
        </w:rPr>
      </w:pPr>
    </w:p>
    <w:p>
      <w:pPr>
        <w:ind w:right="220" w:firstLine="509"/>
        <w:spacing w:after="0" w:line="279" w:lineRule="auto"/>
        <w:rPr>
          <w:sz w:val="20"/>
          <w:szCs w:val="20"/>
          <w:color w:val="auto"/>
        </w:rPr>
      </w:pPr>
      <w:r>
        <w:rPr>
          <w:rFonts w:ascii="Arial" w:cs="Arial" w:eastAsia="Arial" w:hAnsi="Arial"/>
          <w:sz w:val="17"/>
          <w:szCs w:val="17"/>
          <w:i w:val="1"/>
          <w:iCs w:val="1"/>
          <w:color w:val="auto"/>
        </w:rPr>
        <w:t xml:space="preserve">Sales-based milestones and royalties: </w:t>
      </w:r>
      <w:r>
        <w:rPr>
          <w:rFonts w:ascii="Arial" w:cs="Arial" w:eastAsia="Arial" w:hAnsi="Arial"/>
          <w:sz w:val="17"/>
          <w:szCs w:val="17"/>
          <w:color w:val="auto"/>
        </w:rPr>
        <w:t>For arrangements that include sales-based milestone or royalty payments based on the level of sales, and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license is deemed to be the predominant item to which the sales-based milestone or royalties relate to, we recognize revenue in the period in which the sales-based milestone is achieved and in the period in which the sales associated with the royalty occur. To date, we have not recognized any sales-based milestone or royalty revenue resulting from our collaboration arrangements.</w:t>
      </w:r>
    </w:p>
    <w:p>
      <w:pPr>
        <w:spacing w:after="0" w:line="131" w:lineRule="exact"/>
        <w:rPr>
          <w:sz w:val="20"/>
          <w:szCs w:val="20"/>
          <w:color w:val="auto"/>
        </w:rPr>
      </w:pPr>
    </w:p>
    <w:p>
      <w:pPr>
        <w:jc w:val="both"/>
        <w:ind w:firstLine="509"/>
        <w:spacing w:after="0" w:line="259" w:lineRule="auto"/>
        <w:rPr>
          <w:sz w:val="20"/>
          <w:szCs w:val="20"/>
          <w:color w:val="auto"/>
        </w:rPr>
      </w:pPr>
      <w:r>
        <w:rPr>
          <w:rFonts w:ascii="Arial" w:cs="Arial" w:eastAsia="Arial" w:hAnsi="Arial"/>
          <w:sz w:val="18"/>
          <w:szCs w:val="18"/>
          <w:color w:val="auto"/>
        </w:rPr>
        <w:t>The transaction price for each collaboration agreement is determined based on the amount of consideration we expect to be entitled for satisfying all performance obligations within the agreement. Significant judgment may be required in determining the amount of variable consideration to be included in the transaction price. We use the most likely amount method to determine variable consideration and will re-evaluate the transaction price in each reporting period and as uncertain events are resolved or other changes in circumstances occur.</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97" w:right="379" w:bottom="1440" w:gutter="0" w:footer="0" w:header="0"/>
        </w:sectPr>
      </w:pPr>
    </w:p>
    <w:bookmarkStart w:id="93" w:name="page94"/>
    <w:bookmarkEnd w:id="93"/>
    <w:p>
      <w:pPr>
        <w:ind w:right="180" w:firstLine="509"/>
        <w:spacing w:after="0" w:line="257" w:lineRule="auto"/>
        <w:rPr>
          <w:sz w:val="20"/>
          <w:szCs w:val="20"/>
          <w:color w:val="auto"/>
        </w:rPr>
      </w:pPr>
      <w:r>
        <w:rPr>
          <w:rFonts w:ascii="Arial" w:cs="Arial" w:eastAsia="Arial" w:hAnsi="Arial"/>
          <w:sz w:val="18"/>
          <w:szCs w:val="18"/>
          <w:color w:val="auto"/>
        </w:rPr>
        <w:t>Revenue is recognized based on actual costs incurred as a percentage of total estimated costs to be incurred over the performance obligation as we fulfill our performance obligations. A cost-based input method of revenue recognition requires management to make estimates of costs to complete our performance obligations. In making such estimates, significant judgment is required to evaluate assumptions related to cost estimates. The cumulative effect of revisions to estimated costs to fulfill our performance obligations will be recorded in the period in which changes are identified and amounts can be reasonably estimated.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85" w:lineRule="exact"/>
        <w:rPr>
          <w:sz w:val="20"/>
          <w:szCs w:val="20"/>
          <w:color w:val="auto"/>
        </w:rPr>
      </w:pPr>
    </w:p>
    <w:p>
      <w:pPr>
        <w:ind w:right="160" w:firstLine="509"/>
        <w:spacing w:after="0" w:line="272" w:lineRule="auto"/>
        <w:rPr>
          <w:sz w:val="20"/>
          <w:szCs w:val="20"/>
          <w:color w:val="auto"/>
        </w:rPr>
      </w:pPr>
      <w:r>
        <w:rPr>
          <w:rFonts w:ascii="Arial" w:cs="Arial" w:eastAsia="Arial" w:hAnsi="Arial"/>
          <w:sz w:val="17"/>
          <w:szCs w:val="17"/>
          <w:color w:val="auto"/>
        </w:rPr>
        <w:t>We record accrued expenses for estimated preclinical studies and clinical trial expenses. Estimates are based on the services performed pursuant to contracts with research institutions and contract research organizations and clinical manufacturing organizations that conduct and manage preclinical studies and clinical trials on our behalf based on actual time and expenses incurred by them. Further, we accrue expenses related to clinical trials based on the level of patient enrollment and activity according to the related agreement. We monitor patient enrollment levels and related activity to the extent reasonably possible and make judgments and estimates in determining the accrued balance in each reporting period. If we underestimate or overestimate the level of services performed or the costs of these services, our actual expenses could differ from our estimates. To date, we have not experienced significant changes in our estimates of preclinical studies and clinical trial accruals.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98"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We maintain an equity incentive plan as a long-term incentive for employees, consultants and members of our board of directors. The plan allows for the issuance of non-statutory options, or NSOs, incentive stock options, or ISOs, restricted stock unit awards, or RSUs to employees and NSOs and RSUs to nonemployees.</w:t>
      </w:r>
    </w:p>
    <w:p>
      <w:pPr>
        <w:spacing w:after="0" w:line="143"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Stock-based compensation is measured using estimated grant date fair value and recognized as compensation expense over the service period in which the awards are expected to vest. The grant date fair value of an RSU award is based on our stock price on the date of grant. For options, we estimate the grant date fair value, and the resulting stock-based compensation, using the Black-Scholes option-pricing model, and we use the straight-line method for expense attribution. The Black-Scholes model requires us to make assumptions and judgments about the variables used in the calculations, including the expected term (weighted-average period of time that the options granted are expected to be outstanding), the expected volatility of our common stock, the related risk-free interest rate and the expected dividend. We have elected to recognize forfeitures of stock-based awards as they occur.</w:t>
      </w:r>
    </w:p>
    <w:p>
      <w:pPr>
        <w:spacing w:after="0" w:line="124"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Black-Scholes option-pricing model requires the use of highly subjective assumptions to determine the fair value of stock-based awards. These assumptions include:</w:t>
      </w:r>
    </w:p>
    <w:p>
      <w:pPr>
        <w:spacing w:after="0" w:line="62" w:lineRule="exact"/>
        <w:rPr>
          <w:sz w:val="20"/>
          <w:szCs w:val="20"/>
          <w:color w:val="auto"/>
        </w:rPr>
      </w:pPr>
    </w:p>
    <w:p>
      <w:pPr>
        <w:ind w:left="1020" w:right="180" w:hanging="503"/>
        <w:spacing w:after="0" w:line="279" w:lineRule="auto"/>
        <w:tabs>
          <w:tab w:leader="none" w:pos="102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Expected Term</w:t>
      </w:r>
      <w:r>
        <w:rPr>
          <w:rFonts w:ascii="Arial" w:cs="Arial" w:eastAsia="Arial" w:hAnsi="Arial"/>
          <w:sz w:val="17"/>
          <w:szCs w:val="17"/>
          <w:color w:val="auto"/>
        </w:rPr>
        <w:t>—The expected term is calculated using the simplified method, which is available where there is insufficient historical data</w:t>
      </w:r>
      <w:r>
        <w:rPr>
          <w:rFonts w:ascii="Arial" w:cs="Arial" w:eastAsia="Arial" w:hAnsi="Arial"/>
          <w:sz w:val="17"/>
          <w:szCs w:val="17"/>
          <w:i w:val="1"/>
          <w:iCs w:val="1"/>
          <w:color w:val="auto"/>
        </w:rPr>
        <w:t xml:space="preserve"> </w:t>
      </w:r>
      <w:r>
        <w:rPr>
          <w:rFonts w:ascii="Arial" w:cs="Arial" w:eastAsia="Arial" w:hAnsi="Arial"/>
          <w:sz w:val="17"/>
          <w:szCs w:val="17"/>
          <w:color w:val="auto"/>
        </w:rPr>
        <w:t>about 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w:t>
      </w:r>
    </w:p>
    <w:p>
      <w:pPr>
        <w:spacing w:after="0" w:line="63" w:lineRule="exact"/>
        <w:rPr>
          <w:rFonts w:ascii="Arial" w:cs="Arial" w:eastAsia="Arial" w:hAnsi="Arial"/>
          <w:sz w:val="17"/>
          <w:szCs w:val="17"/>
          <w:color w:val="auto"/>
        </w:rPr>
      </w:pPr>
    </w:p>
    <w:p>
      <w:pPr>
        <w:jc w:val="both"/>
        <w:ind w:left="1020" w:right="120" w:hanging="503"/>
        <w:spacing w:after="0" w:line="311" w:lineRule="auto"/>
        <w:tabs>
          <w:tab w:leader="none" w:pos="1020" w:val="left"/>
        </w:tabs>
        <w:numPr>
          <w:ilvl w:val="0"/>
          <w:numId w:val="63"/>
        </w:numPr>
        <w:rPr>
          <w:rFonts w:ascii="Arial" w:cs="Arial" w:eastAsia="Arial" w:hAnsi="Arial"/>
          <w:sz w:val="16"/>
          <w:szCs w:val="16"/>
          <w:color w:val="auto"/>
        </w:rPr>
      </w:pPr>
      <w:r>
        <w:rPr>
          <w:rFonts w:ascii="Arial" w:cs="Arial" w:eastAsia="Arial" w:hAnsi="Arial"/>
          <w:sz w:val="16"/>
          <w:szCs w:val="16"/>
          <w:i w:val="1"/>
          <w:iCs w:val="1"/>
          <w:color w:val="auto"/>
        </w:rPr>
        <w:t>Expected Volatility</w:t>
      </w:r>
      <w:r>
        <w:rPr>
          <w:rFonts w:ascii="Arial" w:cs="Arial" w:eastAsia="Arial" w:hAnsi="Arial"/>
          <w:sz w:val="16"/>
          <w:szCs w:val="16"/>
          <w:color w:val="auto"/>
        </w:rPr>
        <w:t>—Given that we do not have sufficient trading history for our common stock, the expected volatility was estimated based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average volatility of the Company and comparable publicly traded biotechnology companies over a period equal to the expected term of the stock option grants. The comparable companies were chosen based on their similar size, stage in the life cycle or area of specialty.</w:t>
      </w:r>
    </w:p>
    <w:p>
      <w:pPr>
        <w:spacing w:after="0" w:line="40" w:lineRule="exact"/>
        <w:rPr>
          <w:rFonts w:ascii="Arial" w:cs="Arial" w:eastAsia="Arial" w:hAnsi="Arial"/>
          <w:sz w:val="16"/>
          <w:szCs w:val="16"/>
          <w:color w:val="auto"/>
        </w:rPr>
      </w:pPr>
    </w:p>
    <w:p>
      <w:pPr>
        <w:ind w:left="1020" w:right="100" w:hanging="503"/>
        <w:spacing w:after="0" w:line="277" w:lineRule="auto"/>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62" w:lineRule="exact"/>
        <w:rPr>
          <w:rFonts w:ascii="Arial" w:cs="Arial" w:eastAsia="Arial" w:hAnsi="Arial"/>
          <w:sz w:val="18"/>
          <w:szCs w:val="18"/>
          <w:color w:val="auto"/>
        </w:rPr>
      </w:pPr>
    </w:p>
    <w:p>
      <w:pPr>
        <w:ind w:left="1020" w:right="660" w:hanging="503"/>
        <w:spacing w:after="0" w:line="277" w:lineRule="auto"/>
        <w:tabs>
          <w:tab w:leader="none" w:pos="102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—We have never paid dividends on our common stock and have no plans to pay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we used an expected dividend yield of zero.</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For a description of the expected impact of recent accounting pronouncements, see “Note 2. Summary of significant accounting policies” in the “Notes to Consolidated Financial Statements” contained in Part II, Item 8 of this Annual Report on Form 10-K.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85" w:lineRule="exact"/>
        <w:rPr>
          <w:sz w:val="20"/>
          <w:szCs w:val="20"/>
          <w:color w:val="auto"/>
        </w:rPr>
      </w:pPr>
    </w:p>
    <w:p>
      <w:pPr>
        <w:ind w:right="60" w:firstLine="509"/>
        <w:spacing w:after="0" w:line="259" w:lineRule="auto"/>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 The primary objective of our investment activities is to preserve capital to fund our operations. We also seek to maximize income from our investments without assuming significant risk. To achieve our objectives, we maintain a portfolio of investments in a variety of securities of high credit quality and short-term duration, invested in compliance with our policy.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94" w:name="page95"/>
    <w:bookmarkEnd w:id="94"/>
    <w:p>
      <w:pPr>
        <w:ind w:right="20" w:firstLine="509"/>
        <w:spacing w:after="0" w:line="275" w:lineRule="auto"/>
        <w:rPr>
          <w:sz w:val="20"/>
          <w:szCs w:val="20"/>
          <w:color w:val="auto"/>
        </w:rPr>
      </w:pPr>
      <w:r>
        <w:rPr>
          <w:rFonts w:ascii="Arial" w:cs="Arial" w:eastAsia="Arial" w:hAnsi="Arial"/>
          <w:sz w:val="17"/>
          <w:szCs w:val="17"/>
          <w:color w:val="auto"/>
        </w:rPr>
        <w:t>We held cash, cash equivalents and marketable securities of $644.9 million and $577.1 million as of December 31, 2022 and December 31, 2021, respectively, which consisted of bank deposits, money market funds, U.S. government debt securities, U.S. government agency bonds, commercial paper and corporate bonds. Such interest-earning instruments carry a degree of interest rate risk; however, historical fluctuations in interest income have not been significant for us. Due to the short-term maturities of our cash equivalents and marketable securities, an immediate one percent change in interest rates would not have a material effect on the fair value of our cash equivalents and marketable securities.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85"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Our expenses are generally denominated in U.S. dollars. However, we have entered into a limited number of contracts with vendors for research and development services with payments denominated in foreign currencies, including the Euro, British Pound and Chinese Yuan. We are subject to foreign currency transaction gains or losses on our contracts denominated in foreign currencies. To date, foreign currency transaction gains and losses have not been material to our consolidated financial statements, and we have not had a formal hedging program with respect to foreign currency. A 10% increase or decrease in current exchange rates would not have a material effect on our financial results.</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01" w:right="37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REVOLUTION MEDICINES,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2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Page</w:t>
            </w:r>
          </w:p>
        </w:tc>
      </w:tr>
      <w:tr>
        <w:trPr>
          <w:trHeight w:val="183"/>
        </w:trPr>
        <w:tc>
          <w:tcPr>
            <w:tcW w:w="10620" w:type="dxa"/>
            <w:vAlign w:val="bottom"/>
            <w:gridSpan w:val="10"/>
          </w:tcPr>
          <w:p>
            <w:pPr>
              <w:ind w:left="20"/>
              <w:spacing w:after="0" w:line="182" w:lineRule="exact"/>
              <w:rPr>
                <w:sz w:val="20"/>
                <w:szCs w:val="20"/>
                <w:color w:val="auto"/>
              </w:rPr>
            </w:pPr>
            <w:r>
              <w:rPr>
                <w:rFonts w:ascii="Arial" w:cs="Arial" w:eastAsia="Arial" w:hAnsi="Arial"/>
                <w:sz w:val="18"/>
                <w:szCs w:val="18"/>
                <w:color w:val="0000FF"/>
              </w:rPr>
              <w:t>Report of Independent Registered Public Accounting Firm (PCAOB ID: 238)</w:t>
            </w:r>
          </w:p>
        </w:tc>
        <w:tc>
          <w:tcPr>
            <w:tcW w:w="620" w:type="dxa"/>
            <w:vAlign w:val="bottom"/>
          </w:tcPr>
          <w:p>
            <w:pPr>
              <w:jc w:val="right"/>
              <w:spacing w:after="0" w:line="182" w:lineRule="exact"/>
              <w:rPr>
                <w:sz w:val="20"/>
                <w:szCs w:val="20"/>
                <w:color w:val="auto"/>
              </w:rPr>
            </w:pPr>
            <w:r>
              <w:rPr>
                <w:rFonts w:ascii="Arial" w:cs="Arial" w:eastAsia="Arial" w:hAnsi="Arial"/>
                <w:sz w:val="18"/>
                <w:szCs w:val="18"/>
                <w:color w:val="auto"/>
              </w:rPr>
              <w:t>94</w:t>
            </w:r>
          </w:p>
        </w:tc>
      </w:tr>
      <w:tr>
        <w:trPr>
          <w:trHeight w:val="223"/>
        </w:trPr>
        <w:tc>
          <w:tcPr>
            <w:tcW w:w="5600" w:type="dxa"/>
            <w:vAlign w:val="bottom"/>
            <w:tcBorders>
              <w:top w:val="single" w:sz="8" w:color="0000FF"/>
            </w:tcBorders>
            <w:gridSpan w:val="8"/>
          </w:tcPr>
          <w:p>
            <w:pPr>
              <w:ind w:left="20"/>
              <w:spacing w:after="0"/>
              <w:rPr>
                <w:sz w:val="20"/>
                <w:szCs w:val="20"/>
                <w:color w:val="auto"/>
              </w:rPr>
            </w:pPr>
            <w:r>
              <w:rPr>
                <w:rFonts w:ascii="Arial" w:cs="Arial" w:eastAsia="Arial" w:hAnsi="Arial"/>
                <w:sz w:val="18"/>
                <w:szCs w:val="18"/>
                <w:color w:val="0000FF"/>
              </w:rPr>
              <w:t>Consolidated Balance Sheets</w:t>
            </w:r>
          </w:p>
        </w:tc>
        <w:tc>
          <w:tcPr>
            <w:tcW w:w="5020" w:type="dxa"/>
            <w:vAlign w:val="bottom"/>
            <w:gridSpan w:val="2"/>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212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6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284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89"/>
              </w:rPr>
              <w:t>Consolidated Statements of Operations</w:t>
            </w:r>
          </w:p>
        </w:tc>
        <w:tc>
          <w:tcPr>
            <w:tcW w:w="20" w:type="dxa"/>
            <w:vAlign w:val="bottom"/>
            <w:tcBorders>
              <w:bottom w:val="single" w:sz="8" w:color="0000EE"/>
            </w:tcBorders>
          </w:tcPr>
          <w:p>
            <w:pPr>
              <w:spacing w:after="0"/>
              <w:rPr>
                <w:sz w:val="19"/>
                <w:szCs w:val="19"/>
                <w:color w:val="auto"/>
              </w:rPr>
            </w:pPr>
          </w:p>
        </w:tc>
        <w:tc>
          <w:tcPr>
            <w:tcW w:w="7760" w:type="dxa"/>
            <w:vAlign w:val="bottom"/>
            <w:gridSpan w:val="7"/>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3"/>
        </w:trPr>
        <w:tc>
          <w:tcPr>
            <w:tcW w:w="3560" w:type="dxa"/>
            <w:vAlign w:val="bottom"/>
            <w:tcBorders>
              <w:bottom w:val="single" w:sz="8" w:color="0000FF"/>
            </w:tcBorders>
            <w:gridSpan w:val="6"/>
          </w:tcPr>
          <w:p>
            <w:pPr>
              <w:ind w:left="20"/>
              <w:spacing w:after="0"/>
              <w:rPr>
                <w:sz w:val="20"/>
                <w:szCs w:val="20"/>
                <w:color w:val="auto"/>
              </w:rPr>
            </w:pPr>
            <w:r>
              <w:rPr>
                <w:rFonts w:ascii="Arial" w:cs="Arial" w:eastAsia="Arial" w:hAnsi="Arial"/>
                <w:sz w:val="18"/>
                <w:szCs w:val="18"/>
                <w:color w:val="0000FF"/>
                <w:w w:val="89"/>
              </w:rPr>
              <w:t>Consolidated Statements of Comprehensive Loss</w:t>
            </w:r>
          </w:p>
        </w:tc>
        <w:tc>
          <w:tcPr>
            <w:tcW w:w="20" w:type="dxa"/>
            <w:vAlign w:val="bottom"/>
            <w:tcBorders>
              <w:bottom w:val="single" w:sz="8" w:color="0000EE"/>
            </w:tcBorders>
          </w:tcPr>
          <w:p>
            <w:pPr>
              <w:spacing w:after="0"/>
              <w:rPr>
                <w:sz w:val="19"/>
                <w:szCs w:val="19"/>
                <w:color w:val="auto"/>
              </w:rPr>
            </w:pPr>
          </w:p>
        </w:tc>
        <w:tc>
          <w:tcPr>
            <w:tcW w:w="7040" w:type="dxa"/>
            <w:vAlign w:val="bottom"/>
            <w:gridSpan w:val="3"/>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7540" w:type="dxa"/>
            <w:vAlign w:val="bottom"/>
            <w:tcBorders>
              <w:bottom w:val="single" w:sz="8" w:color="0000FF"/>
            </w:tcBorders>
            <w:gridSpan w:val="9"/>
          </w:tcPr>
          <w:p>
            <w:pPr>
              <w:ind w:left="20"/>
              <w:spacing w:after="0"/>
              <w:rPr>
                <w:sz w:val="20"/>
                <w:szCs w:val="20"/>
                <w:color w:val="auto"/>
              </w:rPr>
            </w:pPr>
            <w:r>
              <w:rPr>
                <w:rFonts w:ascii="Arial" w:cs="Arial" w:eastAsia="Arial" w:hAnsi="Arial"/>
                <w:sz w:val="18"/>
                <w:szCs w:val="18"/>
                <w:color w:val="0000FF"/>
                <w:w w:val="90"/>
              </w:rPr>
              <w:t>Consolidated Statements of Redeemable Convertible Preferred Stock and Stockholders’ Equity (Deficit)</w:t>
            </w:r>
          </w:p>
        </w:tc>
        <w:tc>
          <w:tcPr>
            <w:tcW w:w="30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23"/>
        </w:trPr>
        <w:tc>
          <w:tcPr>
            <w:tcW w:w="2900" w:type="dxa"/>
            <w:vAlign w:val="bottom"/>
            <w:tcBorders>
              <w:bottom w:val="single" w:sz="8" w:color="0000FF"/>
            </w:tcBorders>
            <w:gridSpan w:val="4"/>
          </w:tcPr>
          <w:p>
            <w:pPr>
              <w:ind w:left="20"/>
              <w:spacing w:after="0"/>
              <w:rPr>
                <w:sz w:val="20"/>
                <w:szCs w:val="20"/>
                <w:color w:val="auto"/>
              </w:rPr>
            </w:pPr>
            <w:r>
              <w:rPr>
                <w:rFonts w:ascii="Arial" w:cs="Arial" w:eastAsia="Arial" w:hAnsi="Arial"/>
                <w:sz w:val="18"/>
                <w:szCs w:val="18"/>
                <w:color w:val="0000FF"/>
                <w:w w:val="89"/>
              </w:rPr>
              <w:t>Consolidated Statements of Cash Flows</w:t>
            </w:r>
          </w:p>
        </w:tc>
        <w:tc>
          <w:tcPr>
            <w:tcW w:w="7720" w:type="dxa"/>
            <w:vAlign w:val="bottom"/>
            <w:gridSpan w:val="6"/>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10620" w:type="dxa"/>
            <w:vAlign w:val="bottom"/>
            <w:gridSpan w:val="10"/>
          </w:tcPr>
          <w:p>
            <w:pPr>
              <w:ind w:left="20"/>
              <w:spacing w:after="0"/>
              <w:rPr>
                <w:sz w:val="20"/>
                <w:szCs w:val="20"/>
                <w:color w:val="auto"/>
              </w:rPr>
            </w:pPr>
            <w:r>
              <w:rPr>
                <w:rFonts w:ascii="Arial" w:cs="Arial" w:eastAsia="Arial" w:hAnsi="Arial"/>
                <w:sz w:val="18"/>
                <w:szCs w:val="18"/>
                <w:color w:val="0000FF"/>
              </w:rPr>
              <w:t>Notes to Consolidated Financial Statements</w:t>
            </w:r>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682"/>
        </w:trPr>
        <w:tc>
          <w:tcPr>
            <w:tcW w:w="3160" w:type="dxa"/>
            <w:vAlign w:val="bottom"/>
            <w:tcBorders>
              <w:top w:val="single" w:sz="8" w:color="0000FF"/>
            </w:tcBorders>
            <w:gridSpan w:val="5"/>
          </w:tcPr>
          <w:p>
            <w:pPr>
              <w:spacing w:after="0"/>
              <w:rPr>
                <w:sz w:val="24"/>
                <w:szCs w:val="24"/>
                <w:color w:val="auto"/>
              </w:rPr>
            </w:pPr>
          </w:p>
        </w:tc>
        <w:tc>
          <w:tcPr>
            <w:tcW w:w="4380" w:type="dxa"/>
            <w:vAlign w:val="bottom"/>
            <w:gridSpan w:val="4"/>
          </w:tcPr>
          <w:p>
            <w:pPr>
              <w:jc w:val="right"/>
              <w:ind w:right="1820"/>
              <w:spacing w:after="0"/>
              <w:rPr>
                <w:sz w:val="20"/>
                <w:szCs w:val="20"/>
                <w:color w:val="auto"/>
              </w:rPr>
            </w:pPr>
            <w:r>
              <w:rPr>
                <w:rFonts w:ascii="Arial" w:cs="Arial" w:eastAsia="Arial" w:hAnsi="Arial"/>
                <w:sz w:val="18"/>
                <w:szCs w:val="18"/>
                <w:color w:val="auto"/>
              </w:rPr>
              <w:t>93</w:t>
            </w:r>
          </w:p>
        </w:tc>
        <w:tc>
          <w:tcPr>
            <w:tcW w:w="30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15"/>
        </w:trPr>
        <w:tc>
          <w:tcPr>
            <w:tcW w:w="2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194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ind w:right="3360" w:firstLine="3364"/>
        <w:spacing w:after="0" w:line="48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Revolution Medicines, Inc.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We have audited the accompanying consolidated balance sheets of Revolution Medicines, Inc. and its subsidiary (the “Company”) as of December 31, 2022 and 2021, and the related consolidated statements of operations, of comprehensive loss, of redeemable convertible preferred stock and stockholders’ equity (deficit) and of cash flows for each of the three years in the period ended December 31, 2022, including the related notes (collectively referred to as the “consolidated financial statements”). We also have audited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9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(2013) issued by the COSO.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1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Actual Costs Incurred under the Collaboration Agreement with Sanofi</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described in Note 8 to the consolidated financial statements the Company’s consolidated revenue was $35.4 million for the year ended December 31, 2022. Revenue is recognized under the collaboration agreement with Sanofi based on actual costs incurred as a percentage of total estimated costs to be incurred over the performance obligation as the Company completes its performance obligation. A cost-based input method of revenue recognition requires management to make estimates of costs to fulfill their performance obligation. A percentage of the actual costs incurred under approved research and development plans are reimbursed by Sanofi under the collaboration agreement. The research and development plans are determined by a joint research and development committee, over which Sanofi has final decision-making, subject to certain exceptions.</w:t>
      </w:r>
    </w:p>
    <w:p>
      <w:pPr>
        <w:spacing w:after="0" w:line="178"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principal considerations for our determination that performing procedures relating to revenue recognition – actual costs incurred under the collaboration agreement with Sanofi is a critical audit matter are a high degree of auditor effort in performing procedures and evaluating audit evidence related to the Company’s revenue recognition and determination of actual costs incurred subject to approved development plans related to the collaboration agreement with Sanofi. 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inputs and assumptions used to estimate the total effort required to complete the performance obligation. These procedures also included, among others, (i) testing management’s process for recognizing revenue under the collaboration agreement with Sanofi, (ii) testing the mathematical accuracy of the cost-based input method; (iii) evaluating the terms of the master service agreement; (iv) testing the accuracy and existence of actual costs used in the cost-based input method; and (v) testing the accuracy, existence and classification of costs that are reimbursable by the collaborative partner under the approved research and development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REVOLUTION MEDICINES,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76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34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23"/>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161,412</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108,497</w:t>
            </w:r>
          </w:p>
        </w:tc>
        <w:tc>
          <w:tcPr>
            <w:tcW w:w="100" w:type="dxa"/>
            <w:vAlign w:val="bottom"/>
            <w:shd w:val="clear" w:color="auto" w:fill="CFF0FC"/>
          </w:tcPr>
          <w:p>
            <w:pPr>
              <w:spacing w:after="0"/>
              <w:rPr>
                <w:sz w:val="20"/>
                <w:szCs w:val="20"/>
                <w:color w:val="auto"/>
              </w:rPr>
            </w:pPr>
          </w:p>
        </w:tc>
      </w:tr>
      <w:tr>
        <w:trPr>
          <w:trHeight w:val="223"/>
        </w:trPr>
        <w:tc>
          <w:tcPr>
            <w:tcW w:w="7680" w:type="dxa"/>
            <w:vAlign w:val="bottom"/>
          </w:tcPr>
          <w:p>
            <w:pPr>
              <w:ind w:left="200"/>
              <w:spacing w:after="0"/>
              <w:rPr>
                <w:sz w:val="20"/>
                <w:szCs w:val="20"/>
                <w:color w:val="auto"/>
              </w:rPr>
            </w:pPr>
            <w:r>
              <w:rPr>
                <w:rFonts w:ascii="Arial" w:cs="Arial" w:eastAsia="Arial" w:hAnsi="Arial"/>
                <w:sz w:val="17"/>
                <w:szCs w:val="17"/>
                <w:color w:val="auto"/>
              </w:rPr>
              <w:t>Marketable securities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483,531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468,557</w:t>
            </w:r>
          </w:p>
        </w:tc>
        <w:tc>
          <w:tcPr>
            <w:tcW w:w="100" w:type="dxa"/>
            <w:vAlign w:val="bottom"/>
          </w:tcPr>
          <w:p>
            <w:pPr>
              <w:spacing w:after="0"/>
              <w:rPr>
                <w:sz w:val="19"/>
                <w:szCs w:val="19"/>
                <w:color w:val="auto"/>
              </w:rPr>
            </w:pPr>
          </w:p>
        </w:tc>
      </w:tr>
      <w:tr>
        <w:trPr>
          <w:trHeight w:val="236"/>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Accounts receivable</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4,673</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5,929</w:t>
            </w:r>
          </w:p>
        </w:tc>
        <w:tc>
          <w:tcPr>
            <w:tcW w:w="100" w:type="dxa"/>
            <w:vAlign w:val="bottom"/>
            <w:shd w:val="clear" w:color="auto" w:fill="CFF0FC"/>
          </w:tcPr>
          <w:p>
            <w:pPr>
              <w:spacing w:after="0"/>
              <w:rPr>
                <w:sz w:val="20"/>
                <w:szCs w:val="20"/>
                <w:color w:val="auto"/>
              </w:rPr>
            </w:pPr>
          </w:p>
        </w:tc>
      </w:tr>
      <w:tr>
        <w:trPr>
          <w:trHeight w:val="223"/>
        </w:trPr>
        <w:tc>
          <w:tcPr>
            <w:tcW w:w="7680" w:type="dxa"/>
            <w:vAlign w:val="bottom"/>
          </w:tcPr>
          <w:p>
            <w:pPr>
              <w:ind w:left="200"/>
              <w:spacing w:after="0"/>
              <w:rPr>
                <w:sz w:val="20"/>
                <w:szCs w:val="20"/>
                <w:color w:val="auto"/>
              </w:rPr>
            </w:pPr>
            <w:r>
              <w:rPr>
                <w:rFonts w:ascii="Arial" w:cs="Arial" w:eastAsia="Arial" w:hAnsi="Arial"/>
                <w:sz w:val="17"/>
                <w:szCs w:val="17"/>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10,569</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6,790</w:t>
            </w:r>
          </w:p>
        </w:tc>
        <w:tc>
          <w:tcPr>
            <w:tcW w:w="100" w:type="dxa"/>
            <w:vAlign w:val="bottom"/>
          </w:tcPr>
          <w:p>
            <w:pPr>
              <w:spacing w:after="0"/>
              <w:rPr>
                <w:sz w:val="19"/>
                <w:szCs w:val="19"/>
                <w:color w:val="auto"/>
              </w:rPr>
            </w:pPr>
          </w:p>
        </w:tc>
      </w:tr>
      <w:tr>
        <w:trPr>
          <w:trHeight w:val="229"/>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Total current assets</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660,185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589,773</w:t>
            </w:r>
          </w:p>
        </w:tc>
        <w:tc>
          <w:tcPr>
            <w:tcW w:w="100" w:type="dxa"/>
            <w:vAlign w:val="bottom"/>
            <w:shd w:val="clear" w:color="auto" w:fill="CFF0FC"/>
          </w:tcPr>
          <w:p>
            <w:pPr>
              <w:spacing w:after="0"/>
              <w:rPr>
                <w:sz w:val="19"/>
                <w:szCs w:val="19"/>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7"/>
                <w:szCs w:val="17"/>
                <w:color w:val="auto"/>
              </w:rPr>
              <w:t>Property and equipment, net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18,659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11,544</w:t>
            </w:r>
          </w:p>
        </w:tc>
        <w:tc>
          <w:tcPr>
            <w:tcW w:w="100" w:type="dxa"/>
            <w:vAlign w:val="bottom"/>
          </w:tcPr>
          <w:p>
            <w:pPr>
              <w:spacing w:after="0"/>
              <w:rPr>
                <w:sz w:val="19"/>
                <w:szCs w:val="19"/>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Operating lease right-of-use asset</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55,077</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59,692</w:t>
            </w:r>
          </w:p>
        </w:tc>
        <w:tc>
          <w:tcPr>
            <w:tcW w:w="100" w:type="dxa"/>
            <w:vAlign w:val="bottom"/>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58,807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59,876</w:t>
            </w:r>
          </w:p>
        </w:tc>
        <w:tc>
          <w:tcPr>
            <w:tcW w:w="100" w:type="dxa"/>
            <w:vAlign w:val="bottom"/>
          </w:tcPr>
          <w:p>
            <w:pPr>
              <w:spacing w:after="0"/>
              <w:rPr>
                <w:sz w:val="19"/>
                <w:szCs w:val="19"/>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Goodwill</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14,608</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14,608</w:t>
            </w:r>
          </w:p>
        </w:tc>
        <w:tc>
          <w:tcPr>
            <w:tcW w:w="100" w:type="dxa"/>
            <w:vAlign w:val="bottom"/>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7"/>
                <w:szCs w:val="17"/>
                <w:color w:val="auto"/>
              </w:rPr>
              <w:t>Restricted cash</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1,737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1,737</w:t>
            </w:r>
          </w:p>
        </w:tc>
        <w:tc>
          <w:tcPr>
            <w:tcW w:w="100" w:type="dxa"/>
            <w:vAlign w:val="bottom"/>
          </w:tcPr>
          <w:p>
            <w:pPr>
              <w:spacing w:after="0"/>
              <w:rPr>
                <w:sz w:val="19"/>
                <w:szCs w:val="19"/>
                <w:color w:val="auto"/>
              </w:rPr>
            </w:pPr>
          </w:p>
        </w:tc>
      </w:tr>
      <w:tr>
        <w:trPr>
          <w:trHeight w:val="23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Other noncurrent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2,857</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758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811,930</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737,988</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Accounts payable</w:t>
            </w: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21,306</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14,057</w:t>
            </w:r>
          </w:p>
        </w:tc>
        <w:tc>
          <w:tcPr>
            <w:tcW w:w="100" w:type="dxa"/>
            <w:vAlign w:val="bottom"/>
            <w:shd w:val="clear" w:color="auto" w:fill="CFF0FC"/>
          </w:tcPr>
          <w:p>
            <w:pPr>
              <w:spacing w:after="0"/>
              <w:rPr>
                <w:sz w:val="20"/>
                <w:szCs w:val="20"/>
                <w:color w:val="auto"/>
              </w:rPr>
            </w:pPr>
          </w:p>
        </w:tc>
      </w:tr>
      <w:tr>
        <w:trPr>
          <w:trHeight w:val="223"/>
        </w:trPr>
        <w:tc>
          <w:tcPr>
            <w:tcW w:w="7680" w:type="dxa"/>
            <w:vAlign w:val="bottom"/>
          </w:tcPr>
          <w:p>
            <w:pPr>
              <w:ind w:left="200"/>
              <w:spacing w:after="0"/>
              <w:rPr>
                <w:sz w:val="20"/>
                <w:szCs w:val="20"/>
                <w:color w:val="auto"/>
              </w:rPr>
            </w:pPr>
            <w:r>
              <w:rPr>
                <w:rFonts w:ascii="Arial" w:cs="Arial" w:eastAsia="Arial" w:hAnsi="Arial"/>
                <w:sz w:val="17"/>
                <w:szCs w:val="17"/>
                <w:color w:val="auto"/>
              </w:rPr>
              <w:t>Accrued expenses and other current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29,446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27,721</w:t>
            </w:r>
          </w:p>
        </w:tc>
        <w:tc>
          <w:tcPr>
            <w:tcW w:w="100" w:type="dxa"/>
            <w:vAlign w:val="bottom"/>
          </w:tcPr>
          <w:p>
            <w:pPr>
              <w:spacing w:after="0"/>
              <w:rPr>
                <w:sz w:val="19"/>
                <w:szCs w:val="19"/>
                <w:color w:val="auto"/>
              </w:rPr>
            </w:pPr>
          </w:p>
        </w:tc>
      </w:tr>
      <w:tr>
        <w:trPr>
          <w:trHeight w:val="236"/>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Operating lease liability, current</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6,773</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6,214</w:t>
            </w:r>
          </w:p>
        </w:tc>
        <w:tc>
          <w:tcPr>
            <w:tcW w:w="100" w:type="dxa"/>
            <w:vAlign w:val="bottom"/>
            <w:shd w:val="clear" w:color="auto" w:fill="CFF0FC"/>
          </w:tcPr>
          <w:p>
            <w:pPr>
              <w:spacing w:after="0"/>
              <w:rPr>
                <w:sz w:val="20"/>
                <w:szCs w:val="20"/>
                <w:color w:val="auto"/>
              </w:rPr>
            </w:pPr>
          </w:p>
        </w:tc>
      </w:tr>
      <w:tr>
        <w:trPr>
          <w:trHeight w:val="223"/>
        </w:trPr>
        <w:tc>
          <w:tcPr>
            <w:tcW w:w="7680" w:type="dxa"/>
            <w:vAlign w:val="bottom"/>
          </w:tcPr>
          <w:p>
            <w:pPr>
              <w:ind w:left="200"/>
              <w:spacing w:after="0"/>
              <w:rPr>
                <w:sz w:val="20"/>
                <w:szCs w:val="20"/>
                <w:color w:val="auto"/>
              </w:rPr>
            </w:pPr>
            <w:r>
              <w:rPr>
                <w:rFonts w:ascii="Arial" w:cs="Arial" w:eastAsia="Arial" w:hAnsi="Arial"/>
                <w:sz w:val="17"/>
                <w:szCs w:val="17"/>
                <w:color w:val="auto"/>
              </w:rPr>
              <w:t>Deferred revenue, current</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4,459</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12,358</w:t>
            </w:r>
          </w:p>
        </w:tc>
        <w:tc>
          <w:tcPr>
            <w:tcW w:w="100" w:type="dxa"/>
            <w:vAlign w:val="bottom"/>
          </w:tcPr>
          <w:p>
            <w:pPr>
              <w:spacing w:after="0"/>
              <w:rPr>
                <w:sz w:val="19"/>
                <w:szCs w:val="19"/>
                <w:color w:val="auto"/>
              </w:rPr>
            </w:pPr>
          </w:p>
        </w:tc>
      </w:tr>
      <w:tr>
        <w:trPr>
          <w:trHeight w:val="230"/>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Total current liabilities</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61,984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60,350</w:t>
            </w:r>
          </w:p>
        </w:tc>
        <w:tc>
          <w:tcPr>
            <w:tcW w:w="100" w:type="dxa"/>
            <w:vAlign w:val="bottom"/>
            <w:shd w:val="clear" w:color="auto" w:fill="CFF0FC"/>
          </w:tcPr>
          <w:p>
            <w:pPr>
              <w:spacing w:after="0"/>
              <w:rPr>
                <w:sz w:val="19"/>
                <w:szCs w:val="19"/>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7"/>
                <w:szCs w:val="17"/>
                <w:color w:val="auto"/>
              </w:rPr>
              <w:t>Deferred revenue, noncurrent</w:t>
            </w:r>
          </w:p>
        </w:tc>
        <w:tc>
          <w:tcPr>
            <w:tcW w:w="240" w:type="dxa"/>
            <w:vAlign w:val="bottom"/>
          </w:tcPr>
          <w:p>
            <w:pPr>
              <w:spacing w:after="0"/>
              <w:rPr>
                <w:sz w:val="19"/>
                <w:szCs w:val="19"/>
                <w:color w:val="auto"/>
              </w:rPr>
            </w:pPr>
          </w:p>
        </w:tc>
        <w:tc>
          <w:tcPr>
            <w:tcW w:w="16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6,573</w:t>
            </w:r>
          </w:p>
        </w:tc>
        <w:tc>
          <w:tcPr>
            <w:tcW w:w="100" w:type="dxa"/>
            <w:vAlign w:val="bottom"/>
          </w:tcPr>
          <w:p>
            <w:pPr>
              <w:spacing w:after="0"/>
              <w:rPr>
                <w:sz w:val="19"/>
                <w:szCs w:val="19"/>
                <w:color w:val="auto"/>
              </w:rPr>
            </w:pPr>
          </w:p>
        </w:tc>
      </w:tr>
      <w:tr>
        <w:trPr>
          <w:trHeight w:val="236"/>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Deferred tax liability</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7,025</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7,444</w:t>
            </w:r>
          </w:p>
        </w:tc>
        <w:tc>
          <w:tcPr>
            <w:tcW w:w="100" w:type="dxa"/>
            <w:vAlign w:val="bottom"/>
            <w:shd w:val="clear" w:color="auto" w:fill="CFF0FC"/>
          </w:tcPr>
          <w:p>
            <w:pPr>
              <w:spacing w:after="0"/>
              <w:rPr>
                <w:sz w:val="20"/>
                <w:szCs w:val="20"/>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7"/>
                <w:szCs w:val="17"/>
                <w:color w:val="auto"/>
              </w:rPr>
              <w:t>Operating lease liability, noncurrent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57,432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60,419</w:t>
            </w:r>
          </w:p>
        </w:tc>
        <w:tc>
          <w:tcPr>
            <w:tcW w:w="100" w:type="dxa"/>
            <w:vAlign w:val="bottom"/>
          </w:tcPr>
          <w:p>
            <w:pPr>
              <w:spacing w:after="0"/>
              <w:rPr>
                <w:sz w:val="19"/>
                <w:szCs w:val="19"/>
                <w:color w:val="auto"/>
              </w:rPr>
            </w:pPr>
          </w:p>
        </w:tc>
      </w:tr>
      <w:tr>
        <w:trPr>
          <w:trHeight w:val="230"/>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Other noncurrent liabilities</w:t>
            </w:r>
          </w:p>
        </w:tc>
        <w:tc>
          <w:tcPr>
            <w:tcW w:w="2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301</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634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126,742</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135,420</w:t>
            </w:r>
          </w:p>
        </w:tc>
        <w:tc>
          <w:tcPr>
            <w:tcW w:w="100" w:type="dxa"/>
            <w:vAlign w:val="bottom"/>
          </w:tcPr>
          <w:p>
            <w:pPr>
              <w:spacing w:after="0"/>
              <w:rPr>
                <w:sz w:val="19"/>
                <w:szCs w:val="19"/>
                <w:color w:val="auto"/>
              </w:rPr>
            </w:pPr>
          </w:p>
        </w:tc>
      </w:tr>
      <w:tr>
        <w:trPr>
          <w:trHeight w:val="230"/>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Commitments and contingencies (Note 7)</w:t>
            </w:r>
          </w:p>
        </w:tc>
        <w:tc>
          <w:tcPr>
            <w:tcW w:w="2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768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5"/>
        </w:trPr>
        <w:tc>
          <w:tcPr>
            <w:tcW w:w="768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Preferred stock, $0.0001 par value; 10,000,000 shares authorized at</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6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December 31, 2022 and December 31, 2021, respectively; zero shares</w:t>
            </w:r>
          </w:p>
        </w:tc>
        <w:tc>
          <w:tcPr>
            <w:tcW w:w="2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680" w:type="dxa"/>
            <w:vAlign w:val="bottom"/>
            <w:shd w:val="clear" w:color="auto" w:fill="CFF0FC"/>
          </w:tcPr>
          <w:p>
            <w:pPr>
              <w:ind w:left="140"/>
              <w:spacing w:after="0"/>
              <w:rPr>
                <w:sz w:val="20"/>
                <w:szCs w:val="20"/>
                <w:color w:val="auto"/>
              </w:rPr>
            </w:pPr>
            <w:r>
              <w:rPr>
                <w:rFonts w:ascii="Arial" w:cs="Arial" w:eastAsia="Arial" w:hAnsi="Arial"/>
                <w:sz w:val="17"/>
                <w:szCs w:val="17"/>
                <w:color w:val="auto"/>
              </w:rPr>
              <w:t>issued and outstanding at December 31, 2022 and December 31, 2021, respectively</w:t>
            </w:r>
          </w:p>
        </w:tc>
        <w:tc>
          <w:tcPr>
            <w:tcW w:w="24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198"/>
        </w:trPr>
        <w:tc>
          <w:tcPr>
            <w:tcW w:w="7680" w:type="dxa"/>
            <w:vAlign w:val="bottom"/>
          </w:tcPr>
          <w:p>
            <w:pPr>
              <w:ind w:left="20"/>
              <w:spacing w:after="0"/>
              <w:rPr>
                <w:sz w:val="20"/>
                <w:szCs w:val="20"/>
                <w:color w:val="auto"/>
              </w:rPr>
            </w:pPr>
            <w:r>
              <w:rPr>
                <w:rFonts w:ascii="Arial" w:cs="Arial" w:eastAsia="Arial" w:hAnsi="Arial"/>
                <w:sz w:val="17"/>
                <w:szCs w:val="17"/>
                <w:color w:val="auto"/>
              </w:rPr>
              <w:t>Common stock, $0.0001 par value; 300,000,000 shares authorized at</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tcPr>
          <w:p>
            <w:pPr>
              <w:ind w:left="140"/>
              <w:spacing w:after="0"/>
              <w:rPr>
                <w:sz w:val="20"/>
                <w:szCs w:val="20"/>
                <w:color w:val="auto"/>
              </w:rPr>
            </w:pPr>
            <w:r>
              <w:rPr>
                <w:rFonts w:ascii="Arial" w:cs="Arial" w:eastAsia="Arial" w:hAnsi="Arial"/>
                <w:sz w:val="17"/>
                <w:szCs w:val="17"/>
                <w:color w:val="auto"/>
              </w:rPr>
              <w:t>December 31, 2022 and December 31, 2021, respectively; 90,411,912 and 74,142,619</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680" w:type="dxa"/>
            <w:vAlign w:val="bottom"/>
          </w:tcPr>
          <w:p>
            <w:pPr>
              <w:ind w:left="140"/>
              <w:spacing w:after="0"/>
              <w:rPr>
                <w:sz w:val="20"/>
                <w:szCs w:val="20"/>
                <w:color w:val="auto"/>
              </w:rPr>
            </w:pPr>
            <w:r>
              <w:rPr>
                <w:rFonts w:ascii="Arial" w:cs="Arial" w:eastAsia="Arial" w:hAnsi="Arial"/>
                <w:sz w:val="17"/>
                <w:szCs w:val="17"/>
                <w:color w:val="auto"/>
              </w:rPr>
              <w:t>shares issued and outstanding at December 31, 2022 and December 31, 2021,</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7680" w:type="dxa"/>
            <w:vAlign w:val="bottom"/>
          </w:tcPr>
          <w:p>
            <w:pPr>
              <w:ind w:left="140"/>
              <w:spacing w:after="0"/>
              <w:rPr>
                <w:sz w:val="20"/>
                <w:szCs w:val="20"/>
                <w:color w:val="auto"/>
              </w:rPr>
            </w:pPr>
            <w:r>
              <w:rPr>
                <w:rFonts w:ascii="Arial" w:cs="Arial" w:eastAsia="Arial" w:hAnsi="Arial"/>
                <w:sz w:val="17"/>
                <w:szCs w:val="17"/>
                <w:color w:val="auto"/>
              </w:rPr>
              <w:t>respectively</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r>
      <w:tr>
        <w:trPr>
          <w:trHeight w:val="238"/>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Additional paid-in capital</w:t>
            </w: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1,388,300</w:t>
            </w: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1,055,572</w:t>
            </w:r>
          </w:p>
        </w:tc>
        <w:tc>
          <w:tcPr>
            <w:tcW w:w="100" w:type="dxa"/>
            <w:vAlign w:val="bottom"/>
            <w:shd w:val="clear" w:color="auto" w:fill="CFF0FC"/>
          </w:tcPr>
          <w:p>
            <w:pPr>
              <w:spacing w:after="0"/>
              <w:rPr>
                <w:sz w:val="20"/>
                <w:szCs w:val="20"/>
                <w:color w:val="auto"/>
              </w:rPr>
            </w:pPr>
          </w:p>
        </w:tc>
      </w:tr>
      <w:tr>
        <w:trPr>
          <w:trHeight w:val="223"/>
        </w:trPr>
        <w:tc>
          <w:tcPr>
            <w:tcW w:w="7680" w:type="dxa"/>
            <w:vAlign w:val="bottom"/>
          </w:tcPr>
          <w:p>
            <w:pPr>
              <w:ind w:left="20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7"/>
                <w:szCs w:val="17"/>
                <w:color w:val="auto"/>
              </w:rPr>
              <w:t>(1,780 )</w:t>
            </w:r>
          </w:p>
        </w:tc>
        <w:tc>
          <w:tcPr>
            <w:tcW w:w="24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7"/>
                <w:szCs w:val="17"/>
                <w:color w:val="auto"/>
              </w:rPr>
              <w:t>(376 )</w:t>
            </w:r>
          </w:p>
        </w:tc>
      </w:tr>
      <w:tr>
        <w:trPr>
          <w:trHeight w:val="230"/>
        </w:trPr>
        <w:tc>
          <w:tcPr>
            <w:tcW w:w="7680" w:type="dxa"/>
            <w:vAlign w:val="bottom"/>
            <w:shd w:val="clear" w:color="auto" w:fill="CFF0FC"/>
          </w:tcPr>
          <w:p>
            <w:pPr>
              <w:ind w:left="200"/>
              <w:spacing w:after="0"/>
              <w:rPr>
                <w:sz w:val="20"/>
                <w:szCs w:val="20"/>
                <w:color w:val="auto"/>
              </w:rPr>
            </w:pPr>
            <w:r>
              <w:rPr>
                <w:rFonts w:ascii="Arial" w:cs="Arial" w:eastAsia="Arial" w:hAnsi="Arial"/>
                <w:sz w:val="17"/>
                <w:szCs w:val="17"/>
                <w:color w:val="auto"/>
              </w:rPr>
              <w:t>Accumulated deficit</w:t>
            </w: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7"/>
                <w:szCs w:val="17"/>
                <w:color w:val="auto"/>
              </w:rPr>
              <w:t>(701,341 )</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(452,636 )</w:t>
            </w:r>
          </w:p>
        </w:tc>
      </w:tr>
      <w:tr>
        <w:trPr>
          <w:trHeight w:val="223"/>
        </w:trPr>
        <w:tc>
          <w:tcPr>
            <w:tcW w:w="7680" w:type="dxa"/>
            <w:vAlign w:val="bottom"/>
            <w:tcBorders>
              <w:top w:val="single" w:sz="8" w:color="CFF0FC"/>
            </w:tcBorders>
          </w:tcPr>
          <w:p>
            <w:pPr>
              <w:ind w:left="20"/>
              <w:spacing w:after="0"/>
              <w:rPr>
                <w:sz w:val="20"/>
                <w:szCs w:val="20"/>
                <w:color w:val="auto"/>
              </w:rPr>
            </w:pPr>
            <w:r>
              <w:rPr>
                <w:rFonts w:ascii="Arial" w:cs="Arial" w:eastAsia="Arial" w:hAnsi="Arial"/>
                <w:sz w:val="17"/>
                <w:szCs w:val="17"/>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685,188</w:t>
            </w:r>
          </w:p>
        </w:tc>
        <w:tc>
          <w:tcPr>
            <w:tcW w:w="28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602,568</w:t>
            </w:r>
          </w:p>
        </w:tc>
        <w:tc>
          <w:tcPr>
            <w:tcW w:w="100" w:type="dxa"/>
            <w:vAlign w:val="bottom"/>
            <w:tcBorders>
              <w:top w:val="single" w:sz="8" w:color="CFF0FC"/>
            </w:tcBorders>
          </w:tcPr>
          <w:p>
            <w:pPr>
              <w:spacing w:after="0"/>
              <w:rPr>
                <w:sz w:val="19"/>
                <w:szCs w:val="19"/>
                <w:color w:val="auto"/>
              </w:rPr>
            </w:pPr>
          </w:p>
        </w:tc>
      </w:tr>
      <w:tr>
        <w:trPr>
          <w:trHeight w:val="26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7"/>
                <w:szCs w:val="17"/>
                <w:color w:val="auto"/>
              </w:rPr>
              <w:t>Total liabilities and stockholders' equity</w:t>
            </w: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811,930</w:t>
            </w:r>
          </w:p>
        </w:tc>
        <w:tc>
          <w:tcPr>
            <w:tcW w:w="2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737,988</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-3950970</wp:posOffset>
            </wp:positionV>
            <wp:extent cx="68580" cy="1797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-3950970</wp:posOffset>
            </wp:positionV>
            <wp:extent cx="68580" cy="1797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-2159635</wp:posOffset>
            </wp:positionV>
            <wp:extent cx="68580" cy="1631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1631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-333375</wp:posOffset>
            </wp:positionV>
            <wp:extent cx="68580" cy="16256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162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REVOLUTION MEDICINES,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4"/>
                <w:szCs w:val="14"/>
                <w:b w:val="1"/>
                <w:bCs w:val="1"/>
                <w:color w:val="auto"/>
                <w:w w:val="94"/>
              </w:rPr>
              <w:t>Year Ended December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320" w:type="dxa"/>
            <w:vAlign w:val="bottom"/>
          </w:tcPr>
          <w:p>
            <w:pPr>
              <w:ind w:left="200"/>
              <w:spacing w:after="0"/>
              <w:rPr>
                <w:sz w:val="20"/>
                <w:szCs w:val="20"/>
                <w:color w:val="auto"/>
              </w:rPr>
            </w:pPr>
            <w:r>
              <w:rPr>
                <w:rFonts w:ascii="Arial" w:cs="Arial" w:eastAsia="Arial" w:hAnsi="Arial"/>
                <w:sz w:val="18"/>
                <w:szCs w:val="18"/>
                <w:color w:val="auto"/>
              </w:rPr>
              <w:t>Collaboration revenue</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35,380</w:t>
            </w:r>
          </w:p>
        </w:tc>
        <w:tc>
          <w:tcPr>
            <w:tcW w:w="140" w:type="dxa"/>
            <w:vAlign w:val="bottom"/>
          </w:tcPr>
          <w:p>
            <w:pPr>
              <w:spacing w:after="0"/>
              <w:rPr>
                <w:sz w:val="20"/>
                <w:szCs w:val="20"/>
                <w:color w:val="auto"/>
              </w:rPr>
            </w:pP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29,390</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42,983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35,380</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29,390</w:t>
            </w:r>
          </w:p>
        </w:tc>
        <w:tc>
          <w:tcPr>
            <w:tcW w:w="260" w:type="dxa"/>
            <w:vAlign w:val="bottom"/>
            <w:shd w:val="clear" w:color="auto" w:fill="CFF0FC"/>
          </w:tcPr>
          <w:p>
            <w:pPr>
              <w:spacing w:after="0"/>
              <w:rPr>
                <w:sz w:val="21"/>
                <w:szCs w:val="21"/>
                <w:color w:val="auto"/>
              </w:rPr>
            </w:pPr>
          </w:p>
        </w:tc>
        <w:tc>
          <w:tcPr>
            <w:tcW w:w="340" w:type="dxa"/>
            <w:vAlign w:val="bottom"/>
            <w:tcBorders>
              <w:top w:val="single" w:sz="8" w:color="auto"/>
            </w:tcBorders>
            <w:shd w:val="clear" w:color="auto" w:fill="CFF0FC"/>
          </w:tcPr>
          <w:p>
            <w:pPr>
              <w:spacing w:after="0"/>
              <w:rPr>
                <w:sz w:val="21"/>
                <w:szCs w:val="21"/>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42,983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6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253,073</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186,948</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132,252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2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40,586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30,450</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3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293,659</w:t>
            </w:r>
          </w:p>
        </w:tc>
        <w:tc>
          <w:tcPr>
            <w:tcW w:w="1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217,398</w:t>
            </w:r>
          </w:p>
        </w:tc>
        <w:tc>
          <w:tcPr>
            <w:tcW w:w="2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153,680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2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(258,279 )</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(188,008 )</w:t>
            </w:r>
          </w:p>
        </w:tc>
        <w:tc>
          <w:tcPr>
            <w:tcW w:w="34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(110,697 )</w:t>
            </w:r>
          </w:p>
        </w:tc>
        <w:tc>
          <w:tcPr>
            <w:tcW w:w="0" w:type="dxa"/>
            <w:vAlign w:val="bottom"/>
          </w:tcPr>
          <w:p>
            <w:pPr>
              <w:spacing w:after="0"/>
              <w:rPr>
                <w:sz w:val="1"/>
                <w:szCs w:val="1"/>
                <w:color w:val="auto"/>
              </w:rPr>
            </w:pPr>
          </w:p>
        </w:tc>
      </w:tr>
      <w:tr>
        <w:trPr>
          <w:trHeight w:val="249"/>
        </w:trPr>
        <w:tc>
          <w:tcPr>
            <w:tcW w:w="63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9,154</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929</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3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5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(12 )</w:t>
            </w:r>
          </w:p>
        </w:tc>
        <w:tc>
          <w:tcPr>
            <w:tcW w:w="34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(71 )</w:t>
            </w:r>
          </w:p>
        </w:tc>
        <w:tc>
          <w:tcPr>
            <w:tcW w:w="0" w:type="dxa"/>
            <w:vAlign w:val="bottom"/>
          </w:tcPr>
          <w:p>
            <w:pPr>
              <w:spacing w:after="0"/>
              <w:rPr>
                <w:sz w:val="1"/>
                <w:szCs w:val="1"/>
                <w:color w:val="auto"/>
              </w:rPr>
            </w:pPr>
          </w:p>
        </w:tc>
      </w:tr>
      <w:tr>
        <w:trPr>
          <w:trHeight w:val="237"/>
        </w:trPr>
        <w:tc>
          <w:tcPr>
            <w:tcW w:w="632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other income, net</w:t>
            </w:r>
          </w:p>
        </w:tc>
        <w:tc>
          <w:tcPr>
            <w:tcW w:w="3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9,154</w:t>
            </w: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6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(249,125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(187,091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(108,530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6320" w:type="dxa"/>
            <w:vAlign w:val="bottom"/>
          </w:tcPr>
          <w:p>
            <w:pPr>
              <w:ind w:left="20"/>
              <w:spacing w:after="0"/>
              <w:rPr>
                <w:sz w:val="20"/>
                <w:szCs w:val="20"/>
                <w:color w:val="auto"/>
              </w:rPr>
            </w:pPr>
            <w:r>
              <w:rPr>
                <w:rFonts w:ascii="Arial" w:cs="Arial" w:eastAsia="Arial" w:hAnsi="Arial"/>
                <w:sz w:val="18"/>
                <w:szCs w:val="18"/>
                <w:color w:val="auto"/>
              </w:rPr>
              <w:t>Benefit from income taxes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(248,705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(187,091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(108,159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2"/>
        </w:trPr>
        <w:tc>
          <w:tcPr>
            <w:tcW w:w="6320" w:type="dxa"/>
            <w:vAlign w:val="bottom"/>
          </w:tcPr>
          <w:p>
            <w:pPr>
              <w:ind w:left="20"/>
              <w:spacing w:after="0" w:line="202" w:lineRule="exact"/>
              <w:rPr>
                <w:sz w:val="20"/>
                <w:szCs w:val="20"/>
                <w:color w:val="auto"/>
              </w:rPr>
            </w:pPr>
            <w:r>
              <w:rPr>
                <w:rFonts w:ascii="Arial" w:cs="Arial" w:eastAsia="Arial" w:hAnsi="Arial"/>
                <w:sz w:val="18"/>
                <w:szCs w:val="18"/>
                <w:color w:val="auto"/>
              </w:rPr>
              <w:t>Redeemable convertible preferred stock dividends – undeclared and</w:t>
            </w:r>
          </w:p>
        </w:tc>
        <w:tc>
          <w:tcPr>
            <w:tcW w:w="340" w:type="dxa"/>
            <w:vAlign w:val="bottom"/>
          </w:tcPr>
          <w:p>
            <w:pPr>
              <w:spacing w:after="0"/>
              <w:rPr>
                <w:sz w:val="17"/>
                <w:szCs w:val="17"/>
                <w:color w:val="auto"/>
              </w:rPr>
            </w:pPr>
          </w:p>
        </w:tc>
        <w:tc>
          <w:tcPr>
            <w:tcW w:w="122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gridSpan w:val="2"/>
            <w:vMerge w:val="restart"/>
          </w:tcPr>
          <w:p>
            <w:pPr>
              <w:jc w:val="right"/>
              <w:ind w:right="17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(2,219 )</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cumulative</w:t>
            </w:r>
          </w:p>
        </w:tc>
        <w:tc>
          <w:tcPr>
            <w:tcW w:w="34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(248,705</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23"/>
                <w:szCs w:val="23"/>
                <w:color w:val="auto"/>
              </w:rPr>
            </w:pPr>
          </w:p>
        </w:tc>
        <w:tc>
          <w:tcPr>
            <w:tcW w:w="34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(187,091</w:t>
            </w:r>
          </w:p>
        </w:tc>
        <w:tc>
          <w:tcPr>
            <w:tcW w:w="26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(110,378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4"/>
        </w:trPr>
        <w:tc>
          <w:tcPr>
            <w:tcW w:w="6320" w:type="dxa"/>
            <w:vAlign w:val="bottom"/>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(3.08 )</w:t>
            </w:r>
          </w:p>
        </w:tc>
        <w:tc>
          <w:tcPr>
            <w:tcW w:w="4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(2.57 )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(2.01 )</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3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w w:val="96"/>
              </w:rPr>
              <w:t>Weighted-average common shares used to compute net loss per share, basic and</w:t>
            </w:r>
          </w:p>
        </w:tc>
        <w:tc>
          <w:tcPr>
            <w:tcW w:w="34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80,626,525</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72,806,079</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54,874,119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320" w:type="dxa"/>
            <w:vAlign w:val="bottom"/>
            <w:tcBorders>
              <w:bottom w:val="single" w:sz="8" w:color="CFF0FC"/>
            </w:tcBorders>
            <w:shd w:val="clear" w:color="auto" w:fill="CFF0FC"/>
          </w:tcPr>
          <w:p>
            <w:pPr>
              <w:ind w:left="20"/>
              <w:spacing w:after="0" w:line="203" w:lineRule="exact"/>
              <w:rPr>
                <w:sz w:val="20"/>
                <w:szCs w:val="20"/>
                <w:color w:val="auto"/>
              </w:rPr>
            </w:pPr>
            <w:r>
              <w:rPr>
                <w:rFonts w:ascii="Arial" w:cs="Arial" w:eastAsia="Arial" w:hAnsi="Arial"/>
                <w:sz w:val="18"/>
                <w:szCs w:val="18"/>
                <w:color w:val="auto"/>
              </w:rPr>
              <w:t>diluted</w:t>
            </w: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vMerge w:val="continue"/>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-2245360</wp:posOffset>
            </wp:positionV>
            <wp:extent cx="77470" cy="1631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7470" cy="16319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-2245360</wp:posOffset>
            </wp:positionV>
            <wp:extent cx="68580" cy="1631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1631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-1619885</wp:posOffset>
            </wp:positionV>
            <wp:extent cx="77470" cy="1714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-1619885</wp:posOffset>
            </wp:positionV>
            <wp:extent cx="68580" cy="1714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-1293495</wp:posOffset>
            </wp:positionV>
            <wp:extent cx="77470"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-1293495</wp:posOffset>
            </wp:positionV>
            <wp:extent cx="68580" cy="1714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-967740</wp:posOffset>
            </wp:positionV>
            <wp:extent cx="2219960" cy="316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219960" cy="31686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-496570</wp:posOffset>
            </wp:positionV>
            <wp:extent cx="2219960" cy="2057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219960" cy="20574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77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77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REVOLUTION MEDICINES,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gridSpan w:val="4"/>
          </w:tcPr>
          <w:p>
            <w:pPr>
              <w:jc w:val="right"/>
              <w:ind w:right="41"/>
              <w:spacing w:after="0"/>
              <w:rPr>
                <w:sz w:val="20"/>
                <w:szCs w:val="20"/>
                <w:color w:val="auto"/>
              </w:rPr>
            </w:pPr>
            <w:r>
              <w:rPr>
                <w:rFonts w:ascii="Arial" w:cs="Arial" w:eastAsia="Arial" w:hAnsi="Arial"/>
                <w:sz w:val="14"/>
                <w:szCs w:val="14"/>
                <w:b w:val="1"/>
                <w:bCs w:val="1"/>
                <w:color w:val="auto"/>
                <w:w w:val="93"/>
              </w:rPr>
              <w:t>Year Ended December 31,</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37"/>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(248,705</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(187,091</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(108,159</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6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Unrealized gain (loss) on investments, net</w:t>
            </w:r>
          </w:p>
        </w:tc>
        <w:tc>
          <w:tcPr>
            <w:tcW w:w="32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(1,404 )</w:t>
            </w:r>
          </w:p>
        </w:tc>
        <w:tc>
          <w:tcPr>
            <w:tcW w:w="1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(492 )</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21"/>
                <w:szCs w:val="21"/>
                <w:color w:val="auto"/>
              </w:rPr>
            </w:pPr>
          </w:p>
        </w:tc>
      </w:tr>
      <w:tr>
        <w:trPr>
          <w:trHeight w:val="20"/>
        </w:trPr>
        <w:tc>
          <w:tcPr>
            <w:tcW w:w="66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62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(250,109 )</w:t>
            </w: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1"/>
              <w:spacing w:after="0"/>
              <w:rPr>
                <w:sz w:val="20"/>
                <w:szCs w:val="20"/>
                <w:color w:val="auto"/>
              </w:rPr>
            </w:pPr>
            <w:r>
              <w:rPr>
                <w:rFonts w:ascii="Arial" w:cs="Arial" w:eastAsia="Arial" w:hAnsi="Arial"/>
                <w:sz w:val="18"/>
                <w:szCs w:val="18"/>
                <w:color w:val="auto"/>
              </w:rPr>
              <w:t>(187,583 )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(108,117 )</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-187960</wp:posOffset>
            </wp:positionV>
            <wp:extent cx="77470" cy="18859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18859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1885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1885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8859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3"/>
          <w:szCs w:val="13"/>
          <w:b w:val="1"/>
          <w:bCs w:val="1"/>
          <w:color w:val="auto"/>
        </w:rPr>
        <w:t>REVOLUTION MEDICINES, INC.</w:t>
      </w:r>
    </w:p>
    <w:p>
      <w:pPr>
        <w:jc w:val="center"/>
        <w:spacing w:after="0" w:line="234" w:lineRule="auto"/>
        <w:rPr>
          <w:sz w:val="20"/>
          <w:szCs w:val="20"/>
          <w:color w:val="auto"/>
        </w:rPr>
      </w:pPr>
      <w:r>
        <w:rPr>
          <w:rFonts w:ascii="Arial" w:cs="Arial" w:eastAsia="Arial" w:hAnsi="Arial"/>
          <w:sz w:val="12"/>
          <w:szCs w:val="12"/>
          <w:b w:val="1"/>
          <w:bCs w:val="1"/>
          <w:color w:val="auto"/>
        </w:rPr>
        <w:t>CONSOLIDATED STATEMENTS OF REDEEMABLE CONVERTIBLE PREFERRED STOCK AND STOCKHOLDERS’ EQUITY (DEFICIT)</w:t>
      </w:r>
    </w:p>
    <w:p>
      <w:pPr>
        <w:jc w:val="center"/>
        <w:spacing w:after="0"/>
        <w:rPr>
          <w:sz w:val="20"/>
          <w:szCs w:val="20"/>
          <w:color w:val="auto"/>
        </w:rPr>
      </w:pPr>
      <w:r>
        <w:rPr>
          <w:rFonts w:ascii="Arial" w:cs="Arial" w:eastAsia="Arial" w:hAnsi="Arial"/>
          <w:sz w:val="13"/>
          <w:szCs w:val="13"/>
          <w:b w:val="1"/>
          <w:bCs w:val="1"/>
          <w:color w:val="auto"/>
        </w:rPr>
        <w:t>(in thousands, except share and per share data)</w:t>
      </w:r>
    </w:p>
    <w:p>
      <w:pPr>
        <w:jc w:val="center"/>
        <w:ind w:left="6560"/>
        <w:spacing w:after="0" w:line="236" w:lineRule="auto"/>
        <w:rPr>
          <w:sz w:val="20"/>
          <w:szCs w:val="20"/>
          <w:color w:val="auto"/>
        </w:rPr>
      </w:pPr>
      <w:r>
        <w:rPr>
          <w:rFonts w:ascii="Arial" w:cs="Arial" w:eastAsia="Arial" w:hAnsi="Arial"/>
          <w:sz w:val="13"/>
          <w:szCs w:val="13"/>
          <w:b w:val="1"/>
          <w:bCs w:val="1"/>
          <w:color w:val="auto"/>
        </w:rPr>
        <w:t>Accumulate</w:t>
      </w:r>
    </w:p>
    <w:p>
      <w:pPr>
        <w:spacing w:after="0" w:line="1" w:lineRule="exact"/>
        <w:rPr>
          <w:sz w:val="20"/>
          <w:szCs w:val="20"/>
          <w:color w:val="auto"/>
        </w:rPr>
      </w:pPr>
    </w:p>
    <w:p>
      <w:pPr>
        <w:jc w:val="center"/>
        <w:ind w:left="6560"/>
        <w:spacing w:after="0"/>
        <w:rPr>
          <w:sz w:val="20"/>
          <w:szCs w:val="20"/>
          <w:color w:val="auto"/>
        </w:rPr>
      </w:pPr>
      <w:r>
        <w:rPr>
          <w:rFonts w:ascii="Arial" w:cs="Arial" w:eastAsia="Arial" w:hAnsi="Arial"/>
          <w:sz w:val="13"/>
          <w:szCs w:val="13"/>
          <w:b w:val="1"/>
          <w:bCs w:val="1"/>
          <w:color w:val="auto"/>
        </w:rPr>
        <w:t>d</w:t>
      </w:r>
    </w:p>
    <w:p>
      <w:pPr>
        <w:sectPr>
          <w:pgSz w:w="11900" w:h="16838" w:orient="portrait"/>
          <w:cols w:equalWidth="0" w:num="1">
            <w:col w:w="11240"/>
          </w:cols>
          <w:pgMar w:left="320" w:top="121" w:right="339" w:bottom="1440" w:gutter="0" w:footer="0" w:header="0"/>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spacing w:after="0"/>
              <w:rPr>
                <w:sz w:val="16"/>
                <w:szCs w:val="16"/>
                <w:color w:val="auto"/>
              </w:rPr>
            </w:pPr>
          </w:p>
        </w:tc>
        <w:tc>
          <w:tcPr>
            <w:tcW w:w="1900" w:type="dxa"/>
            <w:vAlign w:val="bottom"/>
            <w:tcBorders>
              <w:right w:val="single" w:sz="8" w:color="auto"/>
            </w:tcBorders>
            <w:gridSpan w:val="6"/>
          </w:tcPr>
          <w:p>
            <w:pPr>
              <w:ind w:left="160"/>
              <w:spacing w:after="0"/>
              <w:rPr>
                <w:sz w:val="20"/>
                <w:szCs w:val="20"/>
                <w:color w:val="auto"/>
              </w:rPr>
            </w:pPr>
            <w:r>
              <w:rPr>
                <w:rFonts w:ascii="Arial" w:cs="Arial" w:eastAsia="Arial" w:hAnsi="Arial"/>
                <w:sz w:val="13"/>
                <w:szCs w:val="13"/>
                <w:b w:val="1"/>
                <w:bCs w:val="1"/>
                <w:color w:val="auto"/>
              </w:rPr>
              <w:t>Redeemable Convertible</w:t>
            </w:r>
          </w:p>
        </w:tc>
      </w:tr>
      <w:tr>
        <w:trPr>
          <w:trHeight w:val="243"/>
        </w:trPr>
        <w:tc>
          <w:tcPr>
            <w:tcW w:w="4100" w:type="dxa"/>
            <w:vAlign w:val="bottom"/>
          </w:tcPr>
          <w:p>
            <w:pPr>
              <w:spacing w:after="0"/>
              <w:rPr>
                <w:sz w:val="21"/>
                <w:szCs w:val="21"/>
                <w:color w:val="auto"/>
              </w:rPr>
            </w:pPr>
          </w:p>
        </w:tc>
        <w:tc>
          <w:tcPr>
            <w:tcW w:w="166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3"/>
                <w:szCs w:val="13"/>
                <w:b w:val="1"/>
                <w:bCs w:val="1"/>
                <w:color w:val="auto"/>
              </w:rPr>
              <w:t>Preferred Stock</w:t>
            </w:r>
          </w:p>
        </w:tc>
        <w:tc>
          <w:tcPr>
            <w:tcW w:w="240" w:type="dxa"/>
            <w:vAlign w:val="bottom"/>
            <w:tcBorders>
              <w:right w:val="single" w:sz="8" w:color="auto"/>
            </w:tcBorders>
            <w:gridSpan w:val="2"/>
          </w:tcPr>
          <w:p>
            <w:pPr>
              <w:spacing w:after="0"/>
              <w:rPr>
                <w:sz w:val="21"/>
                <w:szCs w:val="21"/>
                <w:color w:val="auto"/>
              </w:rPr>
            </w:pPr>
          </w:p>
        </w:tc>
      </w:tr>
      <w:tr>
        <w:trPr>
          <w:trHeight w:val="289"/>
        </w:trPr>
        <w:tc>
          <w:tcPr>
            <w:tcW w:w="4100" w:type="dxa"/>
            <w:vAlign w:val="bottom"/>
          </w:tcPr>
          <w:p>
            <w:pPr>
              <w:spacing w:after="0"/>
              <w:rPr>
                <w:sz w:val="24"/>
                <w:szCs w:val="2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24"/>
                <w:szCs w:val="24"/>
                <w:color w:val="auto"/>
              </w:rPr>
            </w:pPr>
          </w:p>
        </w:tc>
        <w:tc>
          <w:tcPr>
            <w:tcW w:w="820" w:type="dxa"/>
            <w:vAlign w:val="bottom"/>
            <w:tcBorders>
              <w:right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Amount</w:t>
            </w:r>
          </w:p>
        </w:tc>
      </w:tr>
      <w:tr>
        <w:trPr>
          <w:trHeight w:val="156"/>
        </w:trPr>
        <w:tc>
          <w:tcPr>
            <w:tcW w:w="410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2019</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39,600,423</w:t>
            </w: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305,109</w:t>
            </w:r>
          </w:p>
        </w:tc>
        <w:tc>
          <w:tcPr>
            <w:tcW w:w="1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r>
      <w:tr>
        <w:trPr>
          <w:trHeight w:val="136"/>
        </w:trPr>
        <w:tc>
          <w:tcPr>
            <w:tcW w:w="4100" w:type="dxa"/>
            <w:vAlign w:val="bottom"/>
          </w:tcPr>
          <w:p>
            <w:pPr>
              <w:ind w:left="200"/>
              <w:spacing w:after="0" w:line="136" w:lineRule="exact"/>
              <w:rPr>
                <w:sz w:val="20"/>
                <w:szCs w:val="20"/>
                <w:color w:val="auto"/>
              </w:rPr>
            </w:pPr>
            <w:r>
              <w:rPr>
                <w:rFonts w:ascii="Arial" w:cs="Arial" w:eastAsia="Arial" w:hAnsi="Arial"/>
                <w:sz w:val="13"/>
                <w:szCs w:val="13"/>
                <w:color w:val="auto"/>
                <w:w w:val="92"/>
              </w:rPr>
              <w:t>Conversion of redeemable convertible preferred stock into common stock</w:t>
            </w:r>
          </w:p>
        </w:tc>
        <w:tc>
          <w:tcPr>
            <w:tcW w:w="760" w:type="dxa"/>
            <w:vAlign w:val="bottom"/>
          </w:tcPr>
          <w:p>
            <w:pPr>
              <w:jc w:val="right"/>
              <w:spacing w:after="0" w:line="136" w:lineRule="exact"/>
              <w:rPr>
                <w:sz w:val="20"/>
                <w:szCs w:val="20"/>
                <w:color w:val="auto"/>
              </w:rPr>
            </w:pPr>
            <w:r>
              <w:rPr>
                <w:rFonts w:ascii="Arial" w:cs="Arial" w:eastAsia="Arial" w:hAnsi="Arial"/>
                <w:sz w:val="13"/>
                <w:szCs w:val="13"/>
                <w:color w:val="auto"/>
              </w:rPr>
              <w:t>(39,600,42</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r>
      <w:tr>
        <w:trPr>
          <w:trHeight w:val="160"/>
        </w:trPr>
        <w:tc>
          <w:tcPr>
            <w:tcW w:w="410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3 )</w:t>
            </w:r>
          </w:p>
        </w:tc>
        <w:tc>
          <w:tcPr>
            <w:tcW w:w="10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3"/>
                <w:szCs w:val="13"/>
                <w:color w:val="auto"/>
              </w:rPr>
              <w:t>(305,109 )</w:t>
            </w:r>
          </w:p>
        </w:tc>
        <w:tc>
          <w:tcPr>
            <w:tcW w:w="120" w:type="dxa"/>
            <w:vAlign w:val="bottom"/>
            <w:tcBorders>
              <w:right w:val="single" w:sz="8" w:color="auto"/>
            </w:tcBorders>
          </w:tcPr>
          <w:p>
            <w:pPr>
              <w:spacing w:after="0"/>
              <w:rPr>
                <w:sz w:val="13"/>
                <w:szCs w:val="13"/>
                <w:color w:val="auto"/>
              </w:rPr>
            </w:pPr>
          </w:p>
        </w:tc>
      </w:tr>
      <w:tr>
        <w:trPr>
          <w:trHeight w:val="137"/>
        </w:trPr>
        <w:tc>
          <w:tcPr>
            <w:tcW w:w="4100" w:type="dxa"/>
            <w:vAlign w:val="bottom"/>
          </w:tcPr>
          <w:p>
            <w:pPr>
              <w:ind w:left="200"/>
              <w:spacing w:after="0" w:line="137" w:lineRule="exact"/>
              <w:rPr>
                <w:sz w:val="20"/>
                <w:szCs w:val="20"/>
                <w:color w:val="auto"/>
              </w:rPr>
            </w:pPr>
            <w:r>
              <w:rPr>
                <w:rFonts w:ascii="Arial" w:cs="Arial" w:eastAsia="Arial" w:hAnsi="Arial"/>
                <w:sz w:val="13"/>
                <w:szCs w:val="13"/>
                <w:color w:val="auto"/>
                <w:w w:val="99"/>
              </w:rPr>
              <w:t>Issuance of common stock from initial public offering, net of offering</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r>
      <w:tr>
        <w:trPr>
          <w:trHeight w:val="160"/>
        </w:trPr>
        <w:tc>
          <w:tcPr>
            <w:tcW w:w="4100" w:type="dxa"/>
            <w:vAlign w:val="bottom"/>
          </w:tcPr>
          <w:p>
            <w:pPr>
              <w:ind w:left="200"/>
              <w:spacing w:after="0"/>
              <w:rPr>
                <w:sz w:val="20"/>
                <w:szCs w:val="20"/>
                <w:color w:val="auto"/>
              </w:rPr>
            </w:pPr>
            <w:r>
              <w:rPr>
                <w:rFonts w:ascii="Arial" w:cs="Arial" w:eastAsia="Arial" w:hAnsi="Arial"/>
                <w:sz w:val="13"/>
                <w:szCs w:val="13"/>
                <w:color w:val="auto"/>
              </w:rPr>
              <w:t>costs of $23,003</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37"/>
        </w:trPr>
        <w:tc>
          <w:tcPr>
            <w:tcW w:w="4100" w:type="dxa"/>
            <w:vAlign w:val="bottom"/>
          </w:tcPr>
          <w:p>
            <w:pPr>
              <w:ind w:left="200"/>
              <w:spacing w:after="0" w:line="137" w:lineRule="exact"/>
              <w:rPr>
                <w:sz w:val="20"/>
                <w:szCs w:val="20"/>
                <w:color w:val="auto"/>
              </w:rPr>
            </w:pPr>
            <w:r>
              <w:rPr>
                <w:rFonts w:ascii="Arial" w:cs="Arial" w:eastAsia="Arial" w:hAnsi="Arial"/>
                <w:sz w:val="13"/>
                <w:szCs w:val="13"/>
                <w:color w:val="auto"/>
                <w:w w:val="95"/>
              </w:rPr>
              <w:t>Issuance of common stock from follow-on offering, net of offering costs</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r>
      <w:tr>
        <w:trPr>
          <w:trHeight w:val="160"/>
        </w:trPr>
        <w:tc>
          <w:tcPr>
            <w:tcW w:w="4100" w:type="dxa"/>
            <w:vAlign w:val="bottom"/>
          </w:tcPr>
          <w:p>
            <w:pPr>
              <w:ind w:left="200"/>
              <w:spacing w:after="0"/>
              <w:rPr>
                <w:sz w:val="20"/>
                <w:szCs w:val="20"/>
                <w:color w:val="auto"/>
              </w:rPr>
            </w:pPr>
            <w:r>
              <w:rPr>
                <w:rFonts w:ascii="Arial" w:cs="Arial" w:eastAsia="Arial" w:hAnsi="Arial"/>
                <w:sz w:val="13"/>
                <w:szCs w:val="13"/>
                <w:color w:val="auto"/>
              </w:rPr>
              <w:t>of $11,633</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rPr>
              <w:t>Issuance of common stock pursuant to stock option exercises</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w w:val="99"/>
              </w:rPr>
              <w:t>Issuance of common stock related to employee stock purchase plan</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w w:val="98"/>
              </w:rPr>
              <w:t>Issuance of common stock related to vesting of restricted stock units</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rPr>
              <w:t>Vesting of early exercised stock options</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rPr>
              <w:t>Repurchases of early exercised stock</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rPr>
              <w:t>Stock-based compensation expense</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rPr>
              <w:t>Net unrealized gain on marketable securities</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rPr>
              <w:t>Net loss</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56"/>
        </w:trPr>
        <w:tc>
          <w:tcPr>
            <w:tcW w:w="410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r>
      <w:tr>
        <w:trPr>
          <w:trHeight w:val="161"/>
        </w:trPr>
        <w:tc>
          <w:tcPr>
            <w:tcW w:w="4100" w:type="dxa"/>
            <w:vAlign w:val="bottom"/>
          </w:tcPr>
          <w:p>
            <w:pPr>
              <w:ind w:left="200"/>
              <w:spacing w:after="0"/>
              <w:rPr>
                <w:sz w:val="20"/>
                <w:szCs w:val="20"/>
                <w:color w:val="auto"/>
              </w:rPr>
            </w:pPr>
            <w:r>
              <w:rPr>
                <w:rFonts w:ascii="Arial" w:cs="Arial" w:eastAsia="Arial" w:hAnsi="Arial"/>
                <w:sz w:val="13"/>
                <w:szCs w:val="13"/>
                <w:color w:val="auto"/>
              </w:rPr>
              <w:t>Issuance of common stock pursuant to stock option exercises</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w w:val="99"/>
              </w:rPr>
              <w:t>Issuance of common stock related to employee stock purchase plan</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w w:val="98"/>
              </w:rPr>
              <w:t>Issuance of common stock related to vesting of restricted stock units</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rPr>
              <w:t>Vesting of early exercised stock options</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rPr>
              <w:t>Repurchases of early exercised stock</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37"/>
        </w:trPr>
        <w:tc>
          <w:tcPr>
            <w:tcW w:w="4100" w:type="dxa"/>
            <w:vAlign w:val="bottom"/>
          </w:tcPr>
          <w:p>
            <w:pPr>
              <w:ind w:left="200"/>
              <w:spacing w:after="0" w:line="137" w:lineRule="exact"/>
              <w:rPr>
                <w:sz w:val="20"/>
                <w:szCs w:val="20"/>
                <w:color w:val="auto"/>
              </w:rPr>
            </w:pPr>
            <w:r>
              <w:rPr>
                <w:rFonts w:ascii="Arial" w:cs="Arial" w:eastAsia="Arial" w:hAnsi="Arial"/>
                <w:sz w:val="13"/>
                <w:szCs w:val="13"/>
                <w:color w:val="auto"/>
                <w:w w:val="95"/>
              </w:rPr>
              <w:t>Issuance of common stock from follow-on offering, net of offering costs</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r>
      <w:tr>
        <w:trPr>
          <w:trHeight w:val="160"/>
        </w:trPr>
        <w:tc>
          <w:tcPr>
            <w:tcW w:w="4100" w:type="dxa"/>
            <w:vAlign w:val="bottom"/>
          </w:tcPr>
          <w:p>
            <w:pPr>
              <w:ind w:left="200"/>
              <w:spacing w:after="0"/>
              <w:rPr>
                <w:sz w:val="20"/>
                <w:szCs w:val="20"/>
                <w:color w:val="auto"/>
              </w:rPr>
            </w:pPr>
            <w:r>
              <w:rPr>
                <w:rFonts w:ascii="Arial" w:cs="Arial" w:eastAsia="Arial" w:hAnsi="Arial"/>
                <w:sz w:val="13"/>
                <w:szCs w:val="13"/>
                <w:color w:val="auto"/>
              </w:rPr>
              <w:t>of $18,855</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rPr>
              <w:t>Issuance of common stock from at-the-market offering</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rPr>
              <w:t>Stock-based compensation expense</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rPr>
              <w:t>Net unrealized loss on marketable securities</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rPr>
              <w:t>Net loss</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56"/>
        </w:trPr>
        <w:tc>
          <w:tcPr>
            <w:tcW w:w="4100" w:type="dxa"/>
            <w:vAlign w:val="bottom"/>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r>
      <w:tr>
        <w:trPr>
          <w:trHeight w:val="161"/>
        </w:trPr>
        <w:tc>
          <w:tcPr>
            <w:tcW w:w="4100" w:type="dxa"/>
            <w:vAlign w:val="bottom"/>
          </w:tcPr>
          <w:p>
            <w:pPr>
              <w:ind w:left="200"/>
              <w:spacing w:after="0"/>
              <w:rPr>
                <w:sz w:val="20"/>
                <w:szCs w:val="20"/>
                <w:color w:val="auto"/>
              </w:rPr>
            </w:pPr>
            <w:r>
              <w:rPr>
                <w:rFonts w:ascii="Arial" w:cs="Arial" w:eastAsia="Arial" w:hAnsi="Arial"/>
                <w:sz w:val="13"/>
                <w:szCs w:val="13"/>
                <w:color w:val="auto"/>
              </w:rPr>
              <w:t>Issuance of common stock pursuant to stock option exercises</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37"/>
        </w:trPr>
        <w:tc>
          <w:tcPr>
            <w:tcW w:w="4100" w:type="dxa"/>
            <w:vAlign w:val="bottom"/>
          </w:tcPr>
          <w:p>
            <w:pPr>
              <w:ind w:left="200"/>
              <w:spacing w:after="0" w:line="137" w:lineRule="exact"/>
              <w:rPr>
                <w:sz w:val="20"/>
                <w:szCs w:val="20"/>
                <w:color w:val="auto"/>
              </w:rPr>
            </w:pPr>
            <w:r>
              <w:rPr>
                <w:rFonts w:ascii="Arial" w:cs="Arial" w:eastAsia="Arial" w:hAnsi="Arial"/>
                <w:sz w:val="13"/>
                <w:szCs w:val="13"/>
                <w:color w:val="auto"/>
                <w:w w:val="94"/>
              </w:rPr>
              <w:t>Issuance of common stock upon follow-on offering, net of offering costs</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r>
      <w:tr>
        <w:trPr>
          <w:trHeight w:val="160"/>
        </w:trPr>
        <w:tc>
          <w:tcPr>
            <w:tcW w:w="4100" w:type="dxa"/>
            <w:vAlign w:val="bottom"/>
          </w:tcPr>
          <w:p>
            <w:pPr>
              <w:ind w:left="200"/>
              <w:spacing w:after="0"/>
              <w:rPr>
                <w:sz w:val="20"/>
                <w:szCs w:val="20"/>
                <w:color w:val="auto"/>
              </w:rPr>
            </w:pPr>
            <w:r>
              <w:rPr>
                <w:rFonts w:ascii="Arial" w:cs="Arial" w:eastAsia="Arial" w:hAnsi="Arial"/>
                <w:sz w:val="13"/>
                <w:szCs w:val="13"/>
                <w:color w:val="auto"/>
              </w:rPr>
              <w:t>of $16,374</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w w:val="98"/>
              </w:rPr>
              <w:t>Issuance of common stock related to vesting of restricted stock units</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w w:val="99"/>
              </w:rPr>
              <w:t>Issuance of common stock related to employee stock purchase plan</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rPr>
              <w:t>Issuance of common stock from at-the-market offering</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rPr>
              <w:t>Repurchases of early exercised stock</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rPr>
              <w:t>Vesting of early exercised stock options</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rPr>
              <w:t>Stock-based compensation expense</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2"/>
        </w:trPr>
        <w:tc>
          <w:tcPr>
            <w:tcW w:w="4100" w:type="dxa"/>
            <w:vAlign w:val="bottom"/>
          </w:tcPr>
          <w:p>
            <w:pPr>
              <w:ind w:left="200"/>
              <w:spacing w:after="0"/>
              <w:rPr>
                <w:sz w:val="20"/>
                <w:szCs w:val="20"/>
                <w:color w:val="auto"/>
              </w:rPr>
            </w:pPr>
            <w:r>
              <w:rPr>
                <w:rFonts w:ascii="Arial" w:cs="Arial" w:eastAsia="Arial" w:hAnsi="Arial"/>
                <w:sz w:val="13"/>
                <w:szCs w:val="13"/>
                <w:color w:val="auto"/>
              </w:rPr>
              <w:t>Net unrealized loss on marketable securities</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63"/>
        </w:trPr>
        <w:tc>
          <w:tcPr>
            <w:tcW w:w="4100" w:type="dxa"/>
            <w:vAlign w:val="bottom"/>
          </w:tcPr>
          <w:p>
            <w:pPr>
              <w:ind w:left="200"/>
              <w:spacing w:after="0"/>
              <w:rPr>
                <w:sz w:val="20"/>
                <w:szCs w:val="20"/>
                <w:color w:val="auto"/>
              </w:rPr>
            </w:pPr>
            <w:r>
              <w:rPr>
                <w:rFonts w:ascii="Arial" w:cs="Arial" w:eastAsia="Arial" w:hAnsi="Arial"/>
                <w:sz w:val="13"/>
                <w:szCs w:val="13"/>
                <w:color w:val="auto"/>
              </w:rPr>
              <w:t>Net loss</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20" w:type="dxa"/>
            <w:vAlign w:val="bottom"/>
            <w:tcBorders>
              <w:right w:val="single" w:sz="8" w:color="auto"/>
            </w:tcBorders>
            <w:gridSpan w:val="3"/>
          </w:tcPr>
          <w:p>
            <w:pPr>
              <w:jc w:val="right"/>
              <w:ind w:right="260"/>
              <w:spacing w:after="0"/>
              <w:rPr>
                <w:sz w:val="20"/>
                <w:szCs w:val="20"/>
                <w:color w:val="auto"/>
              </w:rPr>
            </w:pPr>
            <w:r>
              <w:rPr>
                <w:rFonts w:ascii="Arial" w:cs="Arial" w:eastAsia="Arial" w:hAnsi="Arial"/>
                <w:sz w:val="13"/>
                <w:szCs w:val="13"/>
                <w:color w:val="auto"/>
              </w:rPr>
              <w:t>—</w:t>
            </w:r>
          </w:p>
        </w:tc>
      </w:tr>
      <w:tr>
        <w:trPr>
          <w:trHeight w:val="197"/>
        </w:trPr>
        <w:tc>
          <w:tcPr>
            <w:tcW w:w="4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2022</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right w:val="single" w:sz="8" w:color="auto"/>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-4079875</wp:posOffset>
            </wp:positionV>
            <wp:extent cx="7132320" cy="1028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-3788410</wp:posOffset>
            </wp:positionV>
            <wp:extent cx="7132320" cy="1885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7132320" cy="1028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-3205480</wp:posOffset>
            </wp:positionV>
            <wp:extent cx="7132320" cy="1028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-2999740</wp:posOffset>
            </wp:positionV>
            <wp:extent cx="7132320" cy="1028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-2794000</wp:posOffset>
            </wp:positionV>
            <wp:extent cx="7132320" cy="1028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-2579370</wp:posOffset>
            </wp:positionV>
            <wp:extent cx="7132320" cy="1028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-2373630</wp:posOffset>
            </wp:positionV>
            <wp:extent cx="7132320" cy="1028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-2167890</wp:posOffset>
            </wp:positionV>
            <wp:extent cx="7132320" cy="1028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-1962150</wp:posOffset>
            </wp:positionV>
            <wp:extent cx="7132320" cy="1885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-1670685</wp:posOffset>
            </wp:positionV>
            <wp:extent cx="7132320" cy="10287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-1464945</wp:posOffset>
            </wp:positionV>
            <wp:extent cx="7132320" cy="31686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3168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028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-753745</wp:posOffset>
            </wp:positionV>
            <wp:extent cx="7132320" cy="10287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028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028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-24765</wp:posOffset>
            </wp:positionV>
            <wp:extent cx="7683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-7620</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-24765</wp:posOffset>
            </wp:positionV>
            <wp:extent cx="774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-7620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gridSpan w:val="2"/>
          </w:tcPr>
          <w:p>
            <w:pPr>
              <w:ind w:left="40"/>
              <w:spacing w:after="0"/>
              <w:rPr>
                <w:sz w:val="20"/>
                <w:szCs w:val="20"/>
                <w:color w:val="auto"/>
              </w:rPr>
            </w:pPr>
            <w:r>
              <w:rPr>
                <w:rFonts w:ascii="Arial" w:cs="Arial" w:eastAsia="Arial" w:hAnsi="Arial"/>
                <w:sz w:val="13"/>
                <w:szCs w:val="13"/>
                <w:b w:val="1"/>
                <w:bCs w:val="1"/>
                <w:color w:val="auto"/>
                <w:w w:val="94"/>
              </w:rPr>
              <w:t>Additional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37"/>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318"/>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1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w:t>
            </w:r>
          </w:p>
        </w:tc>
        <w:tc>
          <w:tcPr>
            <w:tcW w:w="86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Accumulat</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 w:type="dxa"/>
            <w:vAlign w:val="bottom"/>
          </w:tcPr>
          <w:p>
            <w:pPr>
              <w:spacing w:after="0"/>
              <w:rPr>
                <w:sz w:val="13"/>
                <w:szCs w:val="13"/>
                <w:color w:val="auto"/>
              </w:rPr>
            </w:pPr>
          </w:p>
        </w:tc>
        <w:tc>
          <w:tcPr>
            <w:tcW w:w="112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b w:val="1"/>
                <w:bCs w:val="1"/>
                <w:color w:val="auto"/>
                <w:w w:val="92"/>
              </w:rPr>
              <w:t>Paid-in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237"/>
              <w:spacing w:after="0"/>
              <w:rPr>
                <w:sz w:val="20"/>
                <w:szCs w:val="20"/>
                <w:color w:val="auto"/>
              </w:rPr>
            </w:pPr>
            <w:r>
              <w:rPr>
                <w:rFonts w:ascii="Arial" w:cs="Arial" w:eastAsia="Arial" w:hAnsi="Arial"/>
                <w:sz w:val="13"/>
                <w:szCs w:val="13"/>
                <w:b w:val="1"/>
                <w:bCs w:val="1"/>
                <w:color w:val="auto"/>
                <w:w w:val="88"/>
              </w:rPr>
              <w:t>ive</w:t>
            </w:r>
          </w:p>
        </w:tc>
        <w:tc>
          <w:tcPr>
            <w:tcW w:w="120" w:type="dxa"/>
            <w:vAlign w:val="bottom"/>
          </w:tcPr>
          <w:p>
            <w:pPr>
              <w:spacing w:after="0"/>
              <w:rPr>
                <w:sz w:val="13"/>
                <w:szCs w:val="13"/>
                <w:color w:val="auto"/>
              </w:rPr>
            </w:pPr>
          </w:p>
        </w:tc>
        <w:tc>
          <w:tcPr>
            <w:tcW w:w="740" w:type="dxa"/>
            <w:vAlign w:val="bottom"/>
            <w:gridSpan w:val="2"/>
          </w:tcPr>
          <w:p>
            <w:pPr>
              <w:jc w:val="right"/>
              <w:ind w:right="418"/>
              <w:spacing w:after="0"/>
              <w:rPr>
                <w:sz w:val="20"/>
                <w:szCs w:val="20"/>
                <w:color w:val="auto"/>
              </w:rPr>
            </w:pPr>
            <w:r>
              <w:rPr>
                <w:rFonts w:ascii="Arial" w:cs="Arial" w:eastAsia="Arial" w:hAnsi="Arial"/>
                <w:sz w:val="13"/>
                <w:szCs w:val="13"/>
                <w:b w:val="1"/>
                <w:bCs w:val="1"/>
                <w:color w:val="auto"/>
              </w:rPr>
              <w:t>ed</w:t>
            </w: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24"/>
        </w:trPr>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gridSpan w:val="2"/>
          </w:tcPr>
          <w:p>
            <w:pPr>
              <w:jc w:val="right"/>
              <w:spacing w:after="0" w:line="124" w:lineRule="exact"/>
              <w:rPr>
                <w:sz w:val="20"/>
                <w:szCs w:val="20"/>
                <w:color w:val="auto"/>
              </w:rPr>
            </w:pPr>
            <w:r>
              <w:rPr>
                <w:rFonts w:ascii="Arial" w:cs="Arial" w:eastAsia="Arial" w:hAnsi="Arial"/>
                <w:sz w:val="13"/>
                <w:szCs w:val="13"/>
                <w:b w:val="1"/>
                <w:bCs w:val="1"/>
                <w:color w:val="auto"/>
                <w:w w:val="97"/>
              </w:rPr>
              <w:t>Amou</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277"/>
              <w:spacing w:after="0" w:line="124" w:lineRule="exact"/>
              <w:rPr>
                <w:sz w:val="20"/>
                <w:szCs w:val="20"/>
                <w:color w:val="auto"/>
              </w:rPr>
            </w:pPr>
            <w:r>
              <w:rPr>
                <w:rFonts w:ascii="Arial" w:cs="Arial" w:eastAsia="Arial" w:hAnsi="Arial"/>
                <w:sz w:val="13"/>
                <w:szCs w:val="13"/>
                <w:b w:val="1"/>
                <w:bCs w:val="1"/>
                <w:color w:val="auto"/>
                <w:w w:val="89"/>
              </w:rPr>
              <w:t>Income/</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3"/>
          </w:tcPr>
          <w:p>
            <w:pPr>
              <w:ind w:left="20"/>
              <w:spacing w:after="0" w:line="124" w:lineRule="exact"/>
              <w:rPr>
                <w:sz w:val="20"/>
                <w:szCs w:val="20"/>
                <w:color w:val="auto"/>
              </w:rPr>
            </w:pPr>
            <w:r>
              <w:rPr>
                <w:rFonts w:ascii="Arial" w:cs="Arial" w:eastAsia="Arial" w:hAnsi="Arial"/>
                <w:sz w:val="13"/>
                <w:szCs w:val="13"/>
                <w:b w:val="1"/>
                <w:bCs w:val="1"/>
                <w:color w:val="auto"/>
              </w:rPr>
              <w:t>Equity/(Defici</w:t>
            </w:r>
          </w:p>
        </w:tc>
        <w:tc>
          <w:tcPr>
            <w:tcW w:w="0" w:type="dxa"/>
            <w:vAlign w:val="bottom"/>
          </w:tcPr>
          <w:p>
            <w:pPr>
              <w:spacing w:after="0"/>
              <w:rPr>
                <w:sz w:val="1"/>
                <w:szCs w:val="1"/>
                <w:color w:val="auto"/>
              </w:rPr>
            </w:pPr>
          </w:p>
        </w:tc>
      </w:tr>
      <w:tr>
        <w:trPr>
          <w:trHeight w:val="164"/>
        </w:trPr>
        <w:tc>
          <w:tcPr>
            <w:tcW w:w="12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4"/>
                <w:szCs w:val="14"/>
                <w:color w:val="auto"/>
              </w:rPr>
            </w:pPr>
          </w:p>
        </w:tc>
        <w:tc>
          <w:tcPr>
            <w:tcW w:w="280" w:type="dxa"/>
            <w:vAlign w:val="bottom"/>
          </w:tcPr>
          <w:p>
            <w:pPr>
              <w:jc w:val="right"/>
              <w:ind w:right="97"/>
              <w:spacing w:after="0"/>
              <w:rPr>
                <w:sz w:val="20"/>
                <w:szCs w:val="20"/>
                <w:color w:val="auto"/>
              </w:rPr>
            </w:pPr>
            <w:r>
              <w:rPr>
                <w:rFonts w:ascii="Arial" w:cs="Arial" w:eastAsia="Arial" w:hAnsi="Arial"/>
                <w:sz w:val="13"/>
                <w:szCs w:val="13"/>
                <w:b w:val="1"/>
                <w:bCs w:val="1"/>
                <w:color w:val="auto"/>
                <w:w w:val="81"/>
              </w:rPr>
              <w:t>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Arial" w:cs="Arial" w:eastAsia="Arial" w:hAnsi="Arial"/>
                <w:sz w:val="13"/>
                <w:szCs w:val="13"/>
                <w:b w:val="1"/>
                <w:bCs w:val="1"/>
                <w:color w:val="auto"/>
                <w:w w:val="92"/>
              </w:rPr>
              <w:t>Capital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37"/>
              <w:spacing w:after="0"/>
              <w:rPr>
                <w:sz w:val="20"/>
                <w:szCs w:val="20"/>
                <w:color w:val="auto"/>
              </w:rPr>
            </w:pPr>
            <w:r>
              <w:rPr>
                <w:rFonts w:ascii="Arial" w:cs="Arial" w:eastAsia="Arial" w:hAnsi="Arial"/>
                <w:sz w:val="13"/>
                <w:szCs w:val="13"/>
                <w:b w:val="1"/>
                <w:bCs w:val="1"/>
                <w:color w:val="auto"/>
                <w:w w:val="81"/>
              </w:rPr>
              <w:t>(Loss)</w:t>
            </w:r>
          </w:p>
        </w:tc>
        <w:tc>
          <w:tcPr>
            <w:tcW w:w="120" w:type="dxa"/>
            <w:vAlign w:val="bottom"/>
          </w:tcPr>
          <w:p>
            <w:pPr>
              <w:spacing w:after="0"/>
              <w:rPr>
                <w:sz w:val="14"/>
                <w:szCs w:val="14"/>
                <w:color w:val="auto"/>
              </w:rPr>
            </w:pPr>
          </w:p>
        </w:tc>
        <w:tc>
          <w:tcPr>
            <w:tcW w:w="740" w:type="dxa"/>
            <w:vAlign w:val="bottom"/>
            <w:gridSpan w:val="2"/>
          </w:tcPr>
          <w:p>
            <w:pPr>
              <w:jc w:val="right"/>
              <w:ind w:right="318"/>
              <w:spacing w:after="0"/>
              <w:rPr>
                <w:sz w:val="20"/>
                <w:szCs w:val="20"/>
                <w:color w:val="auto"/>
              </w:rPr>
            </w:pPr>
            <w:r>
              <w:rPr>
                <w:rFonts w:ascii="Arial" w:cs="Arial" w:eastAsia="Arial" w:hAnsi="Arial"/>
                <w:sz w:val="13"/>
                <w:szCs w:val="13"/>
                <w:b w:val="1"/>
                <w:bCs w:val="1"/>
                <w:color w:val="auto"/>
                <w:w w:val="90"/>
              </w:rPr>
              <w:t>Deficit</w:t>
            </w:r>
          </w:p>
        </w:tc>
        <w:tc>
          <w:tcPr>
            <w:tcW w:w="160" w:type="dxa"/>
            <w:vAlign w:val="bottom"/>
          </w:tcPr>
          <w:p>
            <w:pPr>
              <w:spacing w:after="0"/>
              <w:rPr>
                <w:sz w:val="14"/>
                <w:szCs w:val="14"/>
                <w:color w:val="auto"/>
              </w:rPr>
            </w:pPr>
          </w:p>
        </w:tc>
        <w:tc>
          <w:tcPr>
            <w:tcW w:w="740" w:type="dxa"/>
            <w:vAlign w:val="bottom"/>
            <w:gridSpan w:val="2"/>
          </w:tcPr>
          <w:p>
            <w:pPr>
              <w:jc w:val="right"/>
              <w:ind w:right="418"/>
              <w:spacing w:after="0"/>
              <w:rPr>
                <w:sz w:val="20"/>
                <w:szCs w:val="20"/>
                <w:color w:val="auto"/>
              </w:rPr>
            </w:pPr>
            <w:r>
              <w:rPr>
                <w:rFonts w:ascii="Arial" w:cs="Arial" w:eastAsia="Arial" w:hAnsi="Arial"/>
                <w:sz w:val="13"/>
                <w:szCs w:val="13"/>
                <w:b w:val="1"/>
                <w:bCs w:val="1"/>
                <w:color w:val="auto"/>
              </w:rPr>
              <w:t>t)</w:t>
            </w: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3,292,124</w:t>
            </w:r>
          </w:p>
        </w:tc>
        <w:tc>
          <w:tcPr>
            <w:tcW w:w="22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4,738</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w:t>
            </w:r>
          </w:p>
        </w:tc>
        <w:tc>
          <w:tcPr>
            <w:tcW w:w="200" w:type="dxa"/>
            <w:vAlign w:val="bottom"/>
          </w:tcPr>
          <w:p>
            <w:pPr>
              <w:spacing w:after="0"/>
              <w:rPr>
                <w:sz w:val="13"/>
                <w:szCs w:val="13"/>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7"/>
              </w:rPr>
              <w:t>(157,386</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(152,574</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96"/>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39,600,423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305,105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305,109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16,100,000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250,695</w:t>
            </w:r>
          </w:p>
        </w:tc>
        <w:tc>
          <w:tcPr>
            <w:tcW w:w="30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250,697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6,900,000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167,766</w:t>
            </w:r>
          </w:p>
        </w:tc>
        <w:tc>
          <w:tcPr>
            <w:tcW w:w="30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167,767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694,441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1,877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29,237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832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1,681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199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(18,158 )</w:t>
            </w: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8,886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8,886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18"/>
              <w:spacing w:after="0"/>
              <w:rPr>
                <w:sz w:val="20"/>
                <w:szCs w:val="20"/>
                <w:color w:val="auto"/>
              </w:rPr>
            </w:pPr>
            <w:r>
              <w:rPr>
                <w:rFonts w:ascii="Arial" w:cs="Arial" w:eastAsia="Arial" w:hAnsi="Arial"/>
                <w:sz w:val="13"/>
                <w:szCs w:val="13"/>
                <w:color w:val="auto"/>
                <w:w w:val="94"/>
              </w:rPr>
              <w:t>(108,159 )</w:t>
            </w:r>
          </w:p>
        </w:tc>
        <w:tc>
          <w:tcPr>
            <w:tcW w:w="160" w:type="dxa"/>
            <w:vAlign w:val="bottom"/>
          </w:tcPr>
          <w:p>
            <w:pPr>
              <w:spacing w:after="0"/>
              <w:rPr>
                <w:sz w:val="14"/>
                <w:szCs w:val="14"/>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3"/>
                <w:szCs w:val="13"/>
                <w:color w:val="auto"/>
              </w:rPr>
              <w:t>(108,159 )</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66,599,748</w:t>
            </w:r>
          </w:p>
        </w:tc>
        <w:tc>
          <w:tcPr>
            <w:tcW w:w="22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200" w:type="dxa"/>
            <w:vAlign w:val="bottom"/>
          </w:tcPr>
          <w:p>
            <w:pPr>
              <w:spacing w:after="0"/>
              <w:rPr>
                <w:sz w:val="13"/>
                <w:szCs w:val="13"/>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740,098</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116</w:t>
            </w:r>
          </w:p>
        </w:tc>
        <w:tc>
          <w:tcPr>
            <w:tcW w:w="200" w:type="dxa"/>
            <w:vAlign w:val="bottom"/>
          </w:tcPr>
          <w:p>
            <w:pPr>
              <w:spacing w:after="0"/>
              <w:rPr>
                <w:sz w:val="13"/>
                <w:szCs w:val="13"/>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7"/>
              </w:rPr>
              <w:t>(265,545</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474,676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388,695</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1,487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1,487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75,991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1,875</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78,010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(5,793 )</w:t>
            </w: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6,666,666</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281,144</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281,145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339,302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10,096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10,096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20,724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20,724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77"/>
              <w:spacing w:after="0"/>
              <w:rPr>
                <w:sz w:val="20"/>
                <w:szCs w:val="20"/>
                <w:color w:val="auto"/>
              </w:rPr>
            </w:pPr>
            <w:r>
              <w:rPr>
                <w:rFonts w:ascii="Arial" w:cs="Arial" w:eastAsia="Arial" w:hAnsi="Arial"/>
                <w:sz w:val="13"/>
                <w:szCs w:val="13"/>
                <w:color w:val="auto"/>
              </w:rPr>
              <w:t>(492 )</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3"/>
                <w:szCs w:val="13"/>
                <w:color w:val="auto"/>
              </w:rPr>
              <w:t>(492 )</w:t>
            </w: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18"/>
              <w:spacing w:after="0"/>
              <w:rPr>
                <w:sz w:val="20"/>
                <w:szCs w:val="20"/>
                <w:color w:val="auto"/>
              </w:rPr>
            </w:pPr>
            <w:r>
              <w:rPr>
                <w:rFonts w:ascii="Arial" w:cs="Arial" w:eastAsia="Arial" w:hAnsi="Arial"/>
                <w:sz w:val="13"/>
                <w:szCs w:val="13"/>
                <w:color w:val="auto"/>
                <w:w w:val="94"/>
              </w:rPr>
              <w:t>(187,091 )</w:t>
            </w:r>
          </w:p>
        </w:tc>
        <w:tc>
          <w:tcPr>
            <w:tcW w:w="160" w:type="dxa"/>
            <w:vAlign w:val="bottom"/>
          </w:tcPr>
          <w:p>
            <w:pPr>
              <w:spacing w:after="0"/>
              <w:rPr>
                <w:sz w:val="14"/>
                <w:szCs w:val="14"/>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3"/>
                <w:szCs w:val="13"/>
                <w:color w:val="auto"/>
              </w:rPr>
              <w:t>(187,091 )</w:t>
            </w:r>
          </w:p>
        </w:tc>
        <w:tc>
          <w:tcPr>
            <w:tcW w:w="0" w:type="dxa"/>
            <w:vAlign w:val="bottom"/>
          </w:tcPr>
          <w:p>
            <w:pPr>
              <w:spacing w:after="0"/>
              <w:rPr>
                <w:sz w:val="1"/>
                <w:szCs w:val="1"/>
                <w:color w:val="auto"/>
              </w:rPr>
            </w:pPr>
          </w:p>
        </w:tc>
      </w:tr>
      <w:tr>
        <w:trPr>
          <w:trHeight w:val="155"/>
        </w:trPr>
        <w:tc>
          <w:tcPr>
            <w:tcW w:w="12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74,142,619</w:t>
            </w:r>
          </w:p>
        </w:tc>
        <w:tc>
          <w:tcPr>
            <w:tcW w:w="220" w:type="dxa"/>
            <w:vAlign w:val="bottom"/>
          </w:tcPr>
          <w:p>
            <w:pPr>
              <w:spacing w:after="0"/>
              <w:rPr>
                <w:sz w:val="13"/>
                <w:szCs w:val="13"/>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w:t>
            </w:r>
          </w:p>
        </w:tc>
        <w:tc>
          <w:tcPr>
            <w:tcW w:w="200" w:type="dxa"/>
            <w:vAlign w:val="bottom"/>
          </w:tcPr>
          <w:p>
            <w:pPr>
              <w:spacing w:after="0"/>
              <w:rPr>
                <w:sz w:val="13"/>
                <w:szCs w:val="13"/>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9"/>
              </w:rPr>
              <w:t>1,055,572</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(376</w:t>
            </w:r>
          </w:p>
        </w:tc>
        <w:tc>
          <w:tcPr>
            <w:tcW w:w="200" w:type="dxa"/>
            <w:vAlign w:val="bottom"/>
          </w:tcPr>
          <w:p>
            <w:pPr>
              <w:jc w:val="right"/>
              <w:ind w:right="77"/>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7"/>
              </w:rPr>
              <w:t>(452,636</w:t>
            </w:r>
          </w:p>
        </w:tc>
        <w:tc>
          <w:tcPr>
            <w:tcW w:w="200" w:type="dxa"/>
            <w:vAlign w:val="bottom"/>
          </w:tcPr>
          <w:p>
            <w:pPr>
              <w:jc w:val="right"/>
              <w:ind w:right="118"/>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602,568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249,544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1,481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1,481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13,225,000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248,125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248,126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278,848</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130,327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1,864</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1,864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2,385,846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49,919</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49,919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(272 )</w:t>
            </w: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143</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31,196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31,196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77"/>
              <w:spacing w:after="0"/>
              <w:rPr>
                <w:sz w:val="20"/>
                <w:szCs w:val="20"/>
                <w:color w:val="auto"/>
              </w:rPr>
            </w:pPr>
            <w:r>
              <w:rPr>
                <w:rFonts w:ascii="Arial" w:cs="Arial" w:eastAsia="Arial" w:hAnsi="Arial"/>
                <w:sz w:val="13"/>
                <w:szCs w:val="13"/>
                <w:color w:val="auto"/>
              </w:rPr>
              <w:t>(1,404 )</w:t>
            </w:r>
          </w:p>
        </w:tc>
        <w:tc>
          <w:tcPr>
            <w:tcW w:w="120" w:type="dxa"/>
            <w:vAlign w:val="bottom"/>
          </w:tcPr>
          <w:p>
            <w:pPr>
              <w:spacing w:after="0"/>
              <w:rPr>
                <w:sz w:val="14"/>
                <w:szCs w:val="14"/>
                <w:color w:val="auto"/>
              </w:rPr>
            </w:pPr>
          </w:p>
        </w:tc>
        <w:tc>
          <w:tcPr>
            <w:tcW w:w="740" w:type="dxa"/>
            <w:vAlign w:val="bottom"/>
            <w:gridSpan w:val="2"/>
          </w:tcPr>
          <w:p>
            <w:pPr>
              <w:jc w:val="right"/>
              <w:ind w:right="178"/>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3"/>
                <w:szCs w:val="13"/>
                <w:color w:val="auto"/>
              </w:rPr>
              <w:t>(1,404 )</w:t>
            </w:r>
          </w:p>
        </w:tc>
        <w:tc>
          <w:tcPr>
            <w:tcW w:w="0" w:type="dxa"/>
            <w:vAlign w:val="bottom"/>
          </w:tcPr>
          <w:p>
            <w:pPr>
              <w:spacing w:after="0"/>
              <w:rPr>
                <w:sz w:val="1"/>
                <w:szCs w:val="1"/>
                <w:color w:val="auto"/>
              </w:rPr>
            </w:pPr>
          </w:p>
        </w:tc>
      </w:tr>
      <w:tr>
        <w:trPr>
          <w:trHeight w:val="163"/>
        </w:trPr>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40" w:type="dxa"/>
            <w:vAlign w:val="bottom"/>
            <w:gridSpan w:val="2"/>
          </w:tcPr>
          <w:p>
            <w:pPr>
              <w:jc w:val="right"/>
              <w:ind w:right="118"/>
              <w:spacing w:after="0"/>
              <w:rPr>
                <w:sz w:val="20"/>
                <w:szCs w:val="20"/>
                <w:color w:val="auto"/>
              </w:rPr>
            </w:pPr>
            <w:r>
              <w:rPr>
                <w:rFonts w:ascii="Arial" w:cs="Arial" w:eastAsia="Arial" w:hAnsi="Arial"/>
                <w:sz w:val="13"/>
                <w:szCs w:val="13"/>
                <w:color w:val="auto"/>
                <w:w w:val="94"/>
              </w:rPr>
              <w:t>(248,705 )</w:t>
            </w:r>
          </w:p>
        </w:tc>
        <w:tc>
          <w:tcPr>
            <w:tcW w:w="160" w:type="dxa"/>
            <w:vAlign w:val="bottom"/>
          </w:tcPr>
          <w:p>
            <w:pPr>
              <w:spacing w:after="0"/>
              <w:rPr>
                <w:sz w:val="14"/>
                <w:szCs w:val="14"/>
                <w:color w:val="auto"/>
              </w:rPr>
            </w:pPr>
          </w:p>
        </w:tc>
        <w:tc>
          <w:tcPr>
            <w:tcW w:w="740" w:type="dxa"/>
            <w:vAlign w:val="bottom"/>
            <w:gridSpan w:val="2"/>
          </w:tcPr>
          <w:p>
            <w:pPr>
              <w:jc w:val="right"/>
              <w:ind w:right="18"/>
              <w:spacing w:after="0"/>
              <w:rPr>
                <w:sz w:val="20"/>
                <w:szCs w:val="20"/>
                <w:color w:val="auto"/>
              </w:rPr>
            </w:pPr>
            <w:r>
              <w:rPr>
                <w:rFonts w:ascii="Arial" w:cs="Arial" w:eastAsia="Arial" w:hAnsi="Arial"/>
                <w:sz w:val="13"/>
                <w:szCs w:val="13"/>
                <w:color w:val="auto"/>
              </w:rPr>
              <w:t>(248,705 )</w:t>
            </w:r>
          </w:p>
        </w:tc>
        <w:tc>
          <w:tcPr>
            <w:tcW w:w="0" w:type="dxa"/>
            <w:vAlign w:val="bottom"/>
          </w:tcPr>
          <w:p>
            <w:pPr>
              <w:spacing w:after="0"/>
              <w:rPr>
                <w:sz w:val="1"/>
                <w:szCs w:val="1"/>
                <w:color w:val="auto"/>
              </w:rPr>
            </w:pPr>
          </w:p>
        </w:tc>
      </w:tr>
      <w:tr>
        <w:trPr>
          <w:trHeight w:val="196"/>
        </w:trPr>
        <w:tc>
          <w:tcPr>
            <w:tcW w:w="1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90,411,912</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9"/>
              </w:rPr>
              <w:t>1,388,300</w:t>
            </w:r>
          </w:p>
        </w:tc>
        <w:tc>
          <w:tcPr>
            <w:tcW w:w="20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(1,780</w:t>
            </w:r>
          </w:p>
        </w:tc>
        <w:tc>
          <w:tcPr>
            <w:tcW w:w="200" w:type="dxa"/>
            <w:vAlign w:val="bottom"/>
            <w:tcBorders>
              <w:bottom w:val="single" w:sz="8" w:color="CFF0FC"/>
            </w:tcBorders>
            <w:shd w:val="clear" w:color="auto" w:fill="CFF0FC"/>
          </w:tcPr>
          <w:p>
            <w:pPr>
              <w:jc w:val="right"/>
              <w:ind w:right="77"/>
              <w:spacing w:after="0"/>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3"/>
                <w:szCs w:val="13"/>
                <w:color w:val="auto"/>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7"/>
              </w:rPr>
              <w:t>(701,341</w:t>
            </w:r>
          </w:p>
        </w:tc>
        <w:tc>
          <w:tcPr>
            <w:tcW w:w="200" w:type="dxa"/>
            <w:vAlign w:val="bottom"/>
            <w:tcBorders>
              <w:bottom w:val="single" w:sz="8" w:color="CFF0FC"/>
            </w:tcBorders>
            <w:shd w:val="clear" w:color="auto" w:fill="CFF0FC"/>
          </w:tcPr>
          <w:p>
            <w:pPr>
              <w:jc w:val="right"/>
              <w:ind w:right="118"/>
              <w:spacing w:after="0"/>
              <w:rPr>
                <w:sz w:val="20"/>
                <w:szCs w:val="20"/>
                <w:color w:val="auto"/>
              </w:rPr>
            </w:pPr>
            <w:r>
              <w:rPr>
                <w:rFonts w:ascii="Arial" w:cs="Arial" w:eastAsia="Arial" w:hAnsi="Arial"/>
                <w:sz w:val="8"/>
                <w:szCs w:val="8"/>
                <w:color w:val="auto"/>
                <w:w w:val="73"/>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685,188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-24765</wp:posOffset>
            </wp:positionV>
            <wp:extent cx="7683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-7620</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-24765</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965200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-24765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-7620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-24765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2096770</wp:posOffset>
            </wp:positionH>
            <wp:positionV relativeFrom="paragraph">
              <wp:posOffset>-7620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-24765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2637155</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-24765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3271520</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980" w:space="0"/>
            <w:col w:w="5260"/>
          </w:cols>
          <w:pgMar w:left="320" w:top="121" w:right="33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REVOLUTION MEDICINES,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3"/>
                <w:szCs w:val="13"/>
                <w:b w:val="1"/>
                <w:bCs w:val="1"/>
                <w:color w:val="auto"/>
                <w:w w:val="96"/>
              </w:rPr>
              <w:t>Year Ended December 31,</w:t>
            </w: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9"/>
        </w:trPr>
        <w:tc>
          <w:tcPr>
            <w:tcW w:w="66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r>
      <w:tr>
        <w:trPr>
          <w:trHeight w:val="183"/>
        </w:trPr>
        <w:tc>
          <w:tcPr>
            <w:tcW w:w="66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operating activities</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640" w:type="dxa"/>
            <w:vAlign w:val="bottom"/>
          </w:tcPr>
          <w:p>
            <w:pPr>
              <w:ind w:left="200"/>
              <w:spacing w:after="0"/>
              <w:rPr>
                <w:sz w:val="20"/>
                <w:szCs w:val="20"/>
                <w:color w:val="auto"/>
              </w:rPr>
            </w:pPr>
            <w:r>
              <w:rPr>
                <w:rFonts w:ascii="Arial" w:cs="Arial" w:eastAsia="Arial" w:hAnsi="Arial"/>
                <w:sz w:val="15"/>
                <w:szCs w:val="15"/>
                <w:color w:val="auto"/>
              </w:rPr>
              <w:t>Net loss</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(248,705 )</w:t>
            </w:r>
          </w:p>
        </w:tc>
        <w:tc>
          <w:tcPr>
            <w:tcW w:w="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(187,091 )</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(108,159 )</w:t>
            </w:r>
          </w:p>
        </w:tc>
      </w:tr>
      <w:tr>
        <w:trPr>
          <w:trHeight w:val="189"/>
        </w:trPr>
        <w:tc>
          <w:tcPr>
            <w:tcW w:w="6640" w:type="dxa"/>
            <w:vAlign w:val="bottom"/>
            <w:shd w:val="clear" w:color="auto" w:fill="CFF0FC"/>
          </w:tcPr>
          <w:p>
            <w:pPr>
              <w:ind w:left="200"/>
              <w:spacing w:after="0"/>
              <w:rPr>
                <w:sz w:val="20"/>
                <w:szCs w:val="20"/>
                <w:color w:val="auto"/>
              </w:rPr>
            </w:pPr>
            <w:r>
              <w:rPr>
                <w:rFonts w:ascii="Arial" w:cs="Arial" w:eastAsia="Arial" w:hAnsi="Arial"/>
                <w:sz w:val="15"/>
                <w:szCs w:val="15"/>
                <w:color w:val="auto"/>
              </w:rPr>
              <w:t>Adjustments to reconcile net loss to net cash used in operating activities: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420"/>
              <w:spacing w:after="0"/>
              <w:rPr>
                <w:sz w:val="20"/>
                <w:szCs w:val="20"/>
                <w:color w:val="auto"/>
              </w:rPr>
            </w:pPr>
            <w:r>
              <w:rPr>
                <w:rFonts w:ascii="Arial" w:cs="Arial" w:eastAsia="Arial" w:hAnsi="Arial"/>
                <w:sz w:val="15"/>
                <w:szCs w:val="15"/>
                <w:color w:val="auto"/>
              </w:rPr>
              <w:t>Loss on disposal of fixed assets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119</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6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Amortization of intangible assets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1,069</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1,069</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1,068</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380"/>
              <w:spacing w:after="0"/>
              <w:rPr>
                <w:sz w:val="20"/>
                <w:szCs w:val="20"/>
                <w:color w:val="auto"/>
              </w:rPr>
            </w:pPr>
            <w:r>
              <w:rPr>
                <w:rFonts w:ascii="Arial" w:cs="Arial" w:eastAsia="Arial" w:hAnsi="Arial"/>
                <w:sz w:val="15"/>
                <w:szCs w:val="15"/>
                <w:color w:val="auto"/>
              </w:rPr>
              <w:t>Stock-based compensation expense</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31,196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20,724</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8,886</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Depreciation and amortization</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3,972</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3,083</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2,611</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380"/>
              <w:spacing w:after="0"/>
              <w:rPr>
                <w:sz w:val="20"/>
                <w:szCs w:val="20"/>
                <w:color w:val="auto"/>
              </w:rPr>
            </w:pPr>
            <w:r>
              <w:rPr>
                <w:rFonts w:ascii="Arial" w:cs="Arial" w:eastAsia="Arial" w:hAnsi="Arial"/>
                <w:sz w:val="15"/>
                <w:szCs w:val="15"/>
                <w:color w:val="auto"/>
              </w:rPr>
              <w:t>Net amortization of premium (discount) on marketable securities</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(3,078 )</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3,012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968</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Amortization of operating lease right-of-use asset</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4,615</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3,180</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2,866</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380"/>
              <w:spacing w:after="0"/>
              <w:rPr>
                <w:sz w:val="20"/>
                <w:szCs w:val="20"/>
                <w:color w:val="auto"/>
              </w:rPr>
            </w:pPr>
            <w:r>
              <w:rPr>
                <w:rFonts w:ascii="Arial" w:cs="Arial" w:eastAsia="Arial" w:hAnsi="Arial"/>
                <w:sz w:val="15"/>
                <w:szCs w:val="15"/>
                <w:color w:val="auto"/>
              </w:rPr>
              <w:t>Changes in operating assets and liabilities: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560"/>
              <w:spacing w:after="0"/>
              <w:rPr>
                <w:sz w:val="20"/>
                <w:szCs w:val="20"/>
                <w:color w:val="auto"/>
              </w:rPr>
            </w:pPr>
            <w:r>
              <w:rPr>
                <w:rFonts w:ascii="Arial" w:cs="Arial" w:eastAsia="Arial" w:hAnsi="Arial"/>
                <w:sz w:val="15"/>
                <w:szCs w:val="15"/>
                <w:color w:val="auto"/>
              </w:rPr>
              <w:t>Accounts receivable</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1,256</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464</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2,344</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560"/>
              <w:spacing w:after="0"/>
              <w:rPr>
                <w:sz w:val="20"/>
                <w:szCs w:val="20"/>
                <w:color w:val="auto"/>
              </w:rPr>
            </w:pPr>
            <w:r>
              <w:rPr>
                <w:rFonts w:ascii="Arial" w:cs="Arial" w:eastAsia="Arial" w:hAnsi="Arial"/>
                <w:sz w:val="15"/>
                <w:szCs w:val="15"/>
                <w:color w:val="auto"/>
              </w:rPr>
              <w:t>Prepaid expenses and other current assets</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(3,779 )</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198</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(1,924 )</w:t>
            </w:r>
          </w:p>
        </w:tc>
      </w:tr>
      <w:tr>
        <w:trPr>
          <w:trHeight w:val="189"/>
        </w:trPr>
        <w:tc>
          <w:tcPr>
            <w:tcW w:w="6640" w:type="dxa"/>
            <w:vAlign w:val="bottom"/>
            <w:shd w:val="clear" w:color="auto" w:fill="CFF0FC"/>
          </w:tcPr>
          <w:p>
            <w:pPr>
              <w:ind w:left="560"/>
              <w:spacing w:after="0"/>
              <w:rPr>
                <w:sz w:val="20"/>
                <w:szCs w:val="20"/>
                <w:color w:val="auto"/>
              </w:rPr>
            </w:pPr>
            <w:r>
              <w:rPr>
                <w:rFonts w:ascii="Arial" w:cs="Arial" w:eastAsia="Arial" w:hAnsi="Arial"/>
                <w:sz w:val="15"/>
                <w:szCs w:val="15"/>
                <w:color w:val="auto"/>
              </w:rPr>
              <w:t>Accounts payable</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7,288</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2,239</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305</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560"/>
              <w:spacing w:after="0"/>
              <w:rPr>
                <w:sz w:val="20"/>
                <w:szCs w:val="20"/>
                <w:color w:val="auto"/>
              </w:rPr>
            </w:pPr>
            <w:r>
              <w:rPr>
                <w:rFonts w:ascii="Arial" w:cs="Arial" w:eastAsia="Arial" w:hAnsi="Arial"/>
                <w:sz w:val="15"/>
                <w:szCs w:val="15"/>
                <w:color w:val="auto"/>
              </w:rPr>
              <w:t>Accrued expenses and other current liabilities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1,502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8,720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4,855</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560"/>
              <w:spacing w:after="0"/>
              <w:rPr>
                <w:sz w:val="20"/>
                <w:szCs w:val="20"/>
                <w:color w:val="auto"/>
              </w:rPr>
            </w:pPr>
            <w:r>
              <w:rPr>
                <w:rFonts w:ascii="Arial" w:cs="Arial" w:eastAsia="Arial" w:hAnsi="Arial"/>
                <w:sz w:val="15"/>
                <w:szCs w:val="15"/>
                <w:color w:val="auto"/>
              </w:rPr>
              <w:t>Deferred revenue</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(14,472 )</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(1,661 )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(11,259 )</w:t>
            </w:r>
          </w:p>
        </w:tc>
      </w:tr>
      <w:tr>
        <w:trPr>
          <w:trHeight w:val="189"/>
        </w:trPr>
        <w:tc>
          <w:tcPr>
            <w:tcW w:w="6640" w:type="dxa"/>
            <w:vAlign w:val="bottom"/>
          </w:tcPr>
          <w:p>
            <w:pPr>
              <w:ind w:left="560"/>
              <w:spacing w:after="0"/>
              <w:rPr>
                <w:sz w:val="20"/>
                <w:szCs w:val="20"/>
                <w:color w:val="auto"/>
              </w:rPr>
            </w:pPr>
            <w:r>
              <w:rPr>
                <w:rFonts w:ascii="Arial" w:cs="Arial" w:eastAsia="Arial" w:hAnsi="Arial"/>
                <w:sz w:val="15"/>
                <w:szCs w:val="15"/>
                <w:color w:val="auto"/>
              </w:rPr>
              <w:t>Operating lease liability</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(2,428 )</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(1,468 )</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(2,565 )</w:t>
            </w:r>
          </w:p>
        </w:tc>
      </w:tr>
      <w:tr>
        <w:trPr>
          <w:trHeight w:val="189"/>
        </w:trPr>
        <w:tc>
          <w:tcPr>
            <w:tcW w:w="6640" w:type="dxa"/>
            <w:vAlign w:val="bottom"/>
            <w:shd w:val="clear" w:color="auto" w:fill="CFF0FC"/>
          </w:tcPr>
          <w:p>
            <w:pPr>
              <w:ind w:left="560"/>
              <w:spacing w:after="0"/>
              <w:rPr>
                <w:sz w:val="20"/>
                <w:szCs w:val="20"/>
                <w:color w:val="auto"/>
              </w:rPr>
            </w:pPr>
            <w:r>
              <w:rPr>
                <w:rFonts w:ascii="Arial" w:cs="Arial" w:eastAsia="Arial" w:hAnsi="Arial"/>
                <w:sz w:val="15"/>
                <w:szCs w:val="15"/>
                <w:color w:val="auto"/>
              </w:rPr>
              <w:t>Deferred tax liability</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(419 )</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(375 )</w:t>
            </w:r>
          </w:p>
        </w:tc>
      </w:tr>
      <w:tr>
        <w:trPr>
          <w:trHeight w:val="189"/>
        </w:trPr>
        <w:tc>
          <w:tcPr>
            <w:tcW w:w="6640" w:type="dxa"/>
            <w:vAlign w:val="bottom"/>
          </w:tcPr>
          <w:p>
            <w:pPr>
              <w:ind w:left="560"/>
              <w:spacing w:after="0"/>
              <w:rPr>
                <w:sz w:val="20"/>
                <w:szCs w:val="20"/>
                <w:color w:val="auto"/>
              </w:rPr>
            </w:pPr>
            <w:r>
              <w:rPr>
                <w:rFonts w:ascii="Arial" w:cs="Arial" w:eastAsia="Arial" w:hAnsi="Arial"/>
                <w:sz w:val="15"/>
                <w:szCs w:val="15"/>
                <w:color w:val="auto"/>
              </w:rPr>
              <w:t>Other noncurrent assets</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(2,247 )</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81</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139</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560"/>
              <w:spacing w:after="0"/>
              <w:rPr>
                <w:sz w:val="20"/>
                <w:szCs w:val="20"/>
                <w:color w:val="auto"/>
              </w:rPr>
            </w:pPr>
            <w:r>
              <w:rPr>
                <w:rFonts w:ascii="Arial" w:cs="Arial" w:eastAsia="Arial" w:hAnsi="Arial"/>
                <w:sz w:val="15"/>
                <w:szCs w:val="15"/>
                <w:color w:val="auto"/>
              </w:rPr>
              <w:t>Other noncurrent liabilities</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(190 )</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176</w:t>
            </w:r>
          </w:p>
        </w:tc>
        <w:tc>
          <w:tcPr>
            <w:tcW w:w="100" w:type="dxa"/>
            <w:vAlign w:val="bottom"/>
            <w:shd w:val="clear" w:color="auto" w:fill="CFF0FC"/>
          </w:tcPr>
          <w:p>
            <w:pPr>
              <w:spacing w:after="0"/>
              <w:rPr>
                <w:sz w:val="16"/>
                <w:szCs w:val="16"/>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640" w:type="dxa"/>
            <w:vAlign w:val="bottom"/>
          </w:tcPr>
          <w:p>
            <w:pPr>
              <w:ind w:left="560"/>
              <w:spacing w:after="0"/>
              <w:rPr>
                <w:sz w:val="20"/>
                <w:szCs w:val="20"/>
                <w:color w:val="auto"/>
              </w:rPr>
            </w:pPr>
            <w:r>
              <w:rPr>
                <w:rFonts w:ascii="Arial" w:cs="Arial" w:eastAsia="Arial" w:hAnsi="Arial"/>
                <w:sz w:val="15"/>
                <w:szCs w:val="15"/>
                <w:color w:val="auto"/>
              </w:rPr>
              <w:t>Net cash used in operating activities</w:t>
            </w:r>
          </w:p>
        </w:tc>
        <w:tc>
          <w:tcPr>
            <w:tcW w:w="3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(224,401 )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(147,180 )</w:t>
            </w: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(100,064 )</w:t>
            </w:r>
          </w:p>
        </w:tc>
      </w:tr>
      <w:tr>
        <w:trPr>
          <w:trHeight w:val="183"/>
        </w:trPr>
        <w:tc>
          <w:tcPr>
            <w:tcW w:w="66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investing activities</w:t>
            </w:r>
          </w:p>
        </w:tc>
        <w:tc>
          <w:tcPr>
            <w:tcW w:w="3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640" w:type="dxa"/>
            <w:vAlign w:val="bottom"/>
          </w:tcPr>
          <w:p>
            <w:pPr>
              <w:ind w:left="20"/>
              <w:spacing w:after="0"/>
              <w:rPr>
                <w:sz w:val="20"/>
                <w:szCs w:val="20"/>
                <w:color w:val="auto"/>
              </w:rPr>
            </w:pPr>
            <w:r>
              <w:rPr>
                <w:rFonts w:ascii="Arial" w:cs="Arial" w:eastAsia="Arial" w:hAnsi="Arial"/>
                <w:sz w:val="15"/>
                <w:szCs w:val="15"/>
                <w:color w:val="auto"/>
              </w:rPr>
              <w:t>Purchases of marketable securities</w:t>
            </w:r>
          </w:p>
        </w:tc>
        <w:tc>
          <w:tcPr>
            <w:tcW w:w="3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(612,769 )</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(671,335 )</w:t>
            </w:r>
          </w:p>
        </w:tc>
        <w:tc>
          <w:tcPr>
            <w:tcW w:w="300" w:type="dxa"/>
            <w:vAlign w:val="bottom"/>
          </w:tcPr>
          <w:p>
            <w:pPr>
              <w:spacing w:after="0"/>
              <w:rPr>
                <w:sz w:val="16"/>
                <w:szCs w:val="16"/>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(544,133 )</w:t>
            </w:r>
          </w:p>
        </w:tc>
      </w:tr>
      <w:tr>
        <w:trPr>
          <w:trHeight w:val="189"/>
        </w:trPr>
        <w:tc>
          <w:tcPr>
            <w:tcW w:w="6640" w:type="dxa"/>
            <w:vAlign w:val="bottom"/>
            <w:shd w:val="clear" w:color="auto" w:fill="CFF0FC"/>
          </w:tcPr>
          <w:p>
            <w:pPr>
              <w:ind w:left="20"/>
              <w:spacing w:after="0"/>
              <w:rPr>
                <w:sz w:val="20"/>
                <w:szCs w:val="20"/>
                <w:color w:val="auto"/>
              </w:rPr>
            </w:pPr>
            <w:r>
              <w:rPr>
                <w:rFonts w:ascii="Arial" w:cs="Arial" w:eastAsia="Arial" w:hAnsi="Arial"/>
                <w:sz w:val="15"/>
                <w:szCs w:val="15"/>
                <w:color w:val="auto"/>
              </w:rPr>
              <w:t>Maturities of marketable securities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599,469</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526,754</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309,828</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20"/>
              <w:spacing w:after="0"/>
              <w:rPr>
                <w:sz w:val="20"/>
                <w:szCs w:val="20"/>
                <w:color w:val="auto"/>
              </w:rPr>
            </w:pPr>
            <w:r>
              <w:rPr>
                <w:rFonts w:ascii="Arial" w:cs="Arial" w:eastAsia="Arial" w:hAnsi="Arial"/>
                <w:sz w:val="15"/>
                <w:szCs w:val="15"/>
                <w:color w:val="auto"/>
              </w:rPr>
              <w:t>Sales of marketable securities</w:t>
            </w:r>
          </w:p>
        </w:tc>
        <w:tc>
          <w:tcPr>
            <w:tcW w:w="320" w:type="dxa"/>
            <w:vAlign w:val="bottom"/>
          </w:tcPr>
          <w:p>
            <w:pPr>
              <w:spacing w:after="0"/>
              <w:rPr>
                <w:sz w:val="16"/>
                <w:szCs w:val="16"/>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8,992</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3,005</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20"/>
              <w:spacing w:after="0"/>
              <w:rPr>
                <w:sz w:val="20"/>
                <w:szCs w:val="20"/>
                <w:color w:val="auto"/>
              </w:rPr>
            </w:pPr>
            <w:r>
              <w:rPr>
                <w:rFonts w:ascii="Arial" w:cs="Arial" w:eastAsia="Arial" w:hAnsi="Arial"/>
                <w:sz w:val="15"/>
                <w:szCs w:val="15"/>
                <w:color w:val="auto"/>
              </w:rPr>
              <w:t>Purchases of property and equipment</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(10,816 )</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(6,528 )</w:t>
            </w: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5"/>
                <w:szCs w:val="15"/>
                <w:color w:val="auto"/>
              </w:rPr>
              <w:t>(2,933 )</w:t>
            </w:r>
          </w:p>
        </w:tc>
      </w:tr>
      <w:tr>
        <w:trPr>
          <w:trHeight w:val="20"/>
        </w:trPr>
        <w:tc>
          <w:tcPr>
            <w:tcW w:w="66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640" w:type="dxa"/>
            <w:vAlign w:val="bottom"/>
          </w:tcPr>
          <w:p>
            <w:pPr>
              <w:ind w:left="560"/>
              <w:spacing w:after="0"/>
              <w:rPr>
                <w:sz w:val="20"/>
                <w:szCs w:val="20"/>
                <w:color w:val="auto"/>
              </w:rPr>
            </w:pPr>
            <w:r>
              <w:rPr>
                <w:rFonts w:ascii="Arial" w:cs="Arial" w:eastAsia="Arial" w:hAnsi="Arial"/>
                <w:sz w:val="15"/>
                <w:szCs w:val="15"/>
                <w:color w:val="auto"/>
              </w:rPr>
              <w:t>Net cash used in investing activities</w:t>
            </w:r>
          </w:p>
        </w:tc>
        <w:tc>
          <w:tcPr>
            <w:tcW w:w="320" w:type="dxa"/>
            <w:vAlign w:val="bottom"/>
          </w:tcPr>
          <w:p>
            <w:pPr>
              <w:spacing w:after="0"/>
              <w:rPr>
                <w:sz w:val="15"/>
                <w:szCs w:val="15"/>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5"/>
                <w:szCs w:val="15"/>
                <w:color w:val="auto"/>
              </w:rPr>
              <w:t>(24,116 )</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(142,117 )</w:t>
            </w: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5"/>
                <w:szCs w:val="15"/>
                <w:color w:val="auto"/>
              </w:rPr>
              <w:t>(234,233 )</w:t>
            </w:r>
          </w:p>
        </w:tc>
      </w:tr>
      <w:tr>
        <w:trPr>
          <w:trHeight w:val="182"/>
        </w:trPr>
        <w:tc>
          <w:tcPr>
            <w:tcW w:w="6640" w:type="dxa"/>
            <w:vAlign w:val="bottom"/>
            <w:shd w:val="clear" w:color="auto" w:fill="CFF0FC"/>
          </w:tcPr>
          <w:p>
            <w:pPr>
              <w:ind w:left="20"/>
              <w:spacing w:after="0"/>
              <w:rPr>
                <w:sz w:val="20"/>
                <w:szCs w:val="20"/>
                <w:color w:val="auto"/>
              </w:rPr>
            </w:pPr>
            <w:r>
              <w:rPr>
                <w:rFonts w:ascii="Arial" w:cs="Arial" w:eastAsia="Arial" w:hAnsi="Arial"/>
                <w:sz w:val="15"/>
                <w:szCs w:val="15"/>
                <w:b w:val="1"/>
                <w:bCs w:val="1"/>
                <w:color w:val="auto"/>
              </w:rPr>
              <w:t>Cash flows from financing activities</w:t>
            </w:r>
          </w:p>
        </w:tc>
        <w:tc>
          <w:tcPr>
            <w:tcW w:w="3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6640" w:type="dxa"/>
            <w:vAlign w:val="bottom"/>
          </w:tcPr>
          <w:p>
            <w:pPr>
              <w:ind w:left="20"/>
              <w:spacing w:after="0"/>
              <w:rPr>
                <w:sz w:val="20"/>
                <w:szCs w:val="20"/>
                <w:color w:val="auto"/>
              </w:rPr>
            </w:pPr>
            <w:r>
              <w:rPr>
                <w:rFonts w:ascii="Arial" w:cs="Arial" w:eastAsia="Arial" w:hAnsi="Arial"/>
                <w:sz w:val="15"/>
                <w:szCs w:val="15"/>
                <w:color w:val="auto"/>
              </w:rPr>
              <w:t>Proceeds from issuance of common stock, net of issuance costs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248,126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281,145</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420,067</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20"/>
              <w:spacing w:after="0"/>
              <w:rPr>
                <w:sz w:val="20"/>
                <w:szCs w:val="20"/>
                <w:color w:val="auto"/>
              </w:rPr>
            </w:pPr>
            <w:r>
              <w:rPr>
                <w:rFonts w:ascii="Arial" w:cs="Arial" w:eastAsia="Arial" w:hAnsi="Arial"/>
                <w:sz w:val="15"/>
                <w:szCs w:val="15"/>
                <w:color w:val="auto"/>
              </w:rPr>
              <w:t>Proceeds from issuance of common stock from at-the-market offering</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49,919</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10,096</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640" w:type="dxa"/>
            <w:vAlign w:val="bottom"/>
          </w:tcPr>
          <w:p>
            <w:pPr>
              <w:ind w:left="20"/>
              <w:spacing w:after="0"/>
              <w:rPr>
                <w:sz w:val="20"/>
                <w:szCs w:val="20"/>
                <w:color w:val="auto"/>
              </w:rPr>
            </w:pPr>
            <w:r>
              <w:rPr>
                <w:rFonts w:ascii="Arial" w:cs="Arial" w:eastAsia="Arial" w:hAnsi="Arial"/>
                <w:sz w:val="15"/>
                <w:szCs w:val="15"/>
                <w:color w:val="auto"/>
              </w:rPr>
              <w:t>Proceeds from issuance of common stock under equity incentive plans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1,487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1,877</w:t>
            </w:r>
          </w:p>
        </w:tc>
        <w:tc>
          <w:tcPr>
            <w:tcW w:w="100" w:type="dxa"/>
            <w:vAlign w:val="bottom"/>
          </w:tcPr>
          <w:p>
            <w:pPr>
              <w:spacing w:after="0"/>
              <w:rPr>
                <w:sz w:val="16"/>
                <w:szCs w:val="16"/>
                <w:color w:val="auto"/>
              </w:rPr>
            </w:pPr>
          </w:p>
        </w:tc>
      </w:tr>
      <w:tr>
        <w:trPr>
          <w:trHeight w:val="189"/>
        </w:trPr>
        <w:tc>
          <w:tcPr>
            <w:tcW w:w="6640" w:type="dxa"/>
            <w:vAlign w:val="bottom"/>
            <w:shd w:val="clear" w:color="auto" w:fill="CFF0FC"/>
          </w:tcPr>
          <w:p>
            <w:pPr>
              <w:ind w:left="20"/>
              <w:spacing w:after="0"/>
              <w:rPr>
                <w:sz w:val="20"/>
                <w:szCs w:val="20"/>
                <w:color w:val="auto"/>
              </w:rPr>
            </w:pPr>
            <w:r>
              <w:rPr>
                <w:rFonts w:ascii="Arial" w:cs="Arial" w:eastAsia="Arial" w:hAnsi="Arial"/>
                <w:sz w:val="15"/>
                <w:szCs w:val="15"/>
                <w:color w:val="auto"/>
              </w:rPr>
              <w:t>Proceeds from issuance of common stock related to employee stock purchase plan</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1,864</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1,875</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832</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20"/>
              <w:spacing w:after="0"/>
              <w:rPr>
                <w:sz w:val="20"/>
                <w:szCs w:val="20"/>
                <w:color w:val="auto"/>
              </w:rPr>
            </w:pPr>
            <w:r>
              <w:rPr>
                <w:rFonts w:ascii="Arial" w:cs="Arial" w:eastAsia="Arial" w:hAnsi="Arial"/>
                <w:sz w:val="15"/>
                <w:szCs w:val="15"/>
                <w:color w:val="auto"/>
              </w:rPr>
              <w:t>Payments of deferred offering costs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42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5"/>
                <w:szCs w:val="15"/>
                <w:color w:val="auto"/>
              </w:rPr>
              <w:t>(424 )</w:t>
            </w: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3"/>
        </w:trPr>
        <w:tc>
          <w:tcPr>
            <w:tcW w:w="664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5"/>
                <w:szCs w:val="15"/>
                <w:color w:val="auto"/>
              </w:rPr>
              <w:t>Net cash provided by financing activities</w:t>
            </w: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301,432</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294,179</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422,776</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6640" w:type="dxa"/>
            <w:vAlign w:val="bottom"/>
          </w:tcPr>
          <w:p>
            <w:pPr>
              <w:ind w:left="20"/>
              <w:spacing w:after="0"/>
              <w:rPr>
                <w:sz w:val="20"/>
                <w:szCs w:val="20"/>
                <w:color w:val="auto"/>
              </w:rPr>
            </w:pPr>
            <w:r>
              <w:rPr>
                <w:rFonts w:ascii="Arial" w:cs="Arial" w:eastAsia="Arial" w:hAnsi="Arial"/>
                <w:sz w:val="15"/>
                <w:szCs w:val="15"/>
                <w:color w:val="auto"/>
              </w:rPr>
              <w:t>Net increase in cash, cash equivalents and restricted cash</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52,915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4,882</w:t>
            </w:r>
          </w:p>
        </w:tc>
        <w:tc>
          <w:tcPr>
            <w:tcW w:w="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88,479</w:t>
            </w:r>
          </w:p>
        </w:tc>
        <w:tc>
          <w:tcPr>
            <w:tcW w:w="100" w:type="dxa"/>
            <w:vAlign w:val="bottom"/>
          </w:tcPr>
          <w:p>
            <w:pPr>
              <w:spacing w:after="0"/>
              <w:rPr>
                <w:sz w:val="15"/>
                <w:szCs w:val="15"/>
                <w:color w:val="auto"/>
              </w:rPr>
            </w:pPr>
          </w:p>
        </w:tc>
      </w:tr>
      <w:tr>
        <w:trPr>
          <w:trHeight w:val="183"/>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Cash, cash equivalents and restricted cash - beginning of year</w:t>
            </w:r>
          </w:p>
        </w:tc>
        <w:tc>
          <w:tcPr>
            <w:tcW w:w="3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110,234</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105,352</w:t>
            </w:r>
          </w:p>
        </w:tc>
        <w:tc>
          <w:tcPr>
            <w:tcW w:w="24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16,873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83"/>
        </w:trPr>
        <w:tc>
          <w:tcPr>
            <w:tcW w:w="664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 end of year</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163,149</w:t>
            </w:r>
          </w:p>
        </w:tc>
        <w:tc>
          <w:tcPr>
            <w:tcW w:w="100" w:type="dxa"/>
            <w:vAlign w:val="bottom"/>
          </w:tcPr>
          <w:p>
            <w:pPr>
              <w:spacing w:after="0"/>
              <w:rPr>
                <w:sz w:val="15"/>
                <w:szCs w:val="15"/>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110,234</w:t>
            </w:r>
          </w:p>
        </w:tc>
        <w:tc>
          <w:tcPr>
            <w:tcW w:w="240" w:type="dxa"/>
            <w:vAlign w:val="bottom"/>
          </w:tcPr>
          <w:p>
            <w:pPr>
              <w:spacing w:after="0"/>
              <w:rPr>
                <w:sz w:val="15"/>
                <w:szCs w:val="15"/>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105,352</w:t>
            </w:r>
          </w:p>
        </w:tc>
        <w:tc>
          <w:tcPr>
            <w:tcW w:w="100" w:type="dxa"/>
            <w:vAlign w:val="bottom"/>
          </w:tcPr>
          <w:p>
            <w:pPr>
              <w:spacing w:after="0"/>
              <w:rPr>
                <w:sz w:val="15"/>
                <w:szCs w:val="15"/>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664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color w:val="auto"/>
              </w:rPr>
              <w:t>Reconciliation of cash, cash equivalents and restricted cash to consolidated balance sheets</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6640" w:type="dxa"/>
            <w:vAlign w:val="bottom"/>
          </w:tcPr>
          <w:p>
            <w:pPr>
              <w:ind w:left="20"/>
              <w:spacing w:after="0"/>
              <w:rPr>
                <w:sz w:val="20"/>
                <w:szCs w:val="20"/>
                <w:color w:val="auto"/>
              </w:rPr>
            </w:pPr>
            <w:r>
              <w:rPr>
                <w:rFonts w:ascii="Arial" w:cs="Arial" w:eastAsia="Arial" w:hAnsi="Arial"/>
                <w:sz w:val="15"/>
                <w:szCs w:val="15"/>
                <w:color w:val="auto"/>
              </w:rPr>
              <w:t>Cash and cash equivalents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161,412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108,497</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104,268</w:t>
            </w:r>
          </w:p>
        </w:tc>
        <w:tc>
          <w:tcPr>
            <w:tcW w:w="100" w:type="dxa"/>
            <w:vAlign w:val="bottom"/>
          </w:tcPr>
          <w:p>
            <w:pPr>
              <w:spacing w:after="0"/>
              <w:rPr>
                <w:sz w:val="16"/>
                <w:szCs w:val="16"/>
                <w:color w:val="auto"/>
              </w:rPr>
            </w:pPr>
          </w:p>
        </w:tc>
      </w:tr>
      <w:tr>
        <w:trPr>
          <w:trHeight w:val="189"/>
        </w:trPr>
        <w:tc>
          <w:tcPr>
            <w:tcW w:w="6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5"/>
                <w:szCs w:val="15"/>
                <w:color w:val="auto"/>
              </w:rPr>
              <w:t>Restricted cash</w:t>
            </w: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1,737</w:t>
            </w:r>
          </w:p>
        </w:tc>
        <w:tc>
          <w:tcPr>
            <w:tcW w:w="1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1,737</w:t>
            </w:r>
          </w:p>
        </w:tc>
        <w:tc>
          <w:tcPr>
            <w:tcW w:w="24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1,084</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6640" w:type="dxa"/>
            <w:vAlign w:val="bottom"/>
          </w:tcPr>
          <w:p>
            <w:pPr>
              <w:ind w:left="20"/>
              <w:spacing w:after="0"/>
              <w:rPr>
                <w:sz w:val="20"/>
                <w:szCs w:val="20"/>
                <w:color w:val="auto"/>
              </w:rPr>
            </w:pPr>
            <w:r>
              <w:rPr>
                <w:rFonts w:ascii="Arial" w:cs="Arial" w:eastAsia="Arial" w:hAnsi="Arial"/>
                <w:sz w:val="15"/>
                <w:szCs w:val="15"/>
                <w:color w:val="auto"/>
              </w:rPr>
              <w:t>Cash, cash equivalents and restricted cash - end of period</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163,149</w:t>
            </w:r>
          </w:p>
        </w:tc>
        <w:tc>
          <w:tcPr>
            <w:tcW w:w="100" w:type="dxa"/>
            <w:vAlign w:val="bottom"/>
          </w:tcPr>
          <w:p>
            <w:pPr>
              <w:spacing w:after="0"/>
              <w:rPr>
                <w:sz w:val="15"/>
                <w:szCs w:val="15"/>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110,234</w:t>
            </w:r>
          </w:p>
        </w:tc>
        <w:tc>
          <w:tcPr>
            <w:tcW w:w="240" w:type="dxa"/>
            <w:vAlign w:val="bottom"/>
          </w:tcPr>
          <w:p>
            <w:pPr>
              <w:spacing w:after="0"/>
              <w:rPr>
                <w:sz w:val="15"/>
                <w:szCs w:val="15"/>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105,352</w:t>
            </w:r>
          </w:p>
        </w:tc>
        <w:tc>
          <w:tcPr>
            <w:tcW w:w="100" w:type="dxa"/>
            <w:vAlign w:val="bottom"/>
          </w:tcPr>
          <w:p>
            <w:pPr>
              <w:spacing w:after="0"/>
              <w:rPr>
                <w:sz w:val="15"/>
                <w:szCs w:val="15"/>
                <w:color w:val="auto"/>
              </w:rPr>
            </w:pPr>
          </w:p>
        </w:tc>
      </w:tr>
      <w:tr>
        <w:trPr>
          <w:trHeight w:val="20"/>
        </w:trPr>
        <w:tc>
          <w:tcPr>
            <w:tcW w:w="6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0"/>
        </w:trPr>
        <w:tc>
          <w:tcPr>
            <w:tcW w:w="6640" w:type="dxa"/>
            <w:vAlign w:val="bottom"/>
            <w:shd w:val="clear" w:color="auto" w:fill="CFF0FC"/>
          </w:tcPr>
          <w:p>
            <w:pPr>
              <w:ind w:left="20"/>
              <w:spacing w:after="0" w:line="169" w:lineRule="exact"/>
              <w:rPr>
                <w:sz w:val="20"/>
                <w:szCs w:val="20"/>
                <w:color w:val="auto"/>
              </w:rPr>
            </w:pPr>
            <w:r>
              <w:rPr>
                <w:rFonts w:ascii="Arial" w:cs="Arial" w:eastAsia="Arial" w:hAnsi="Arial"/>
                <w:sz w:val="15"/>
                <w:szCs w:val="15"/>
                <w:b w:val="1"/>
                <w:bCs w:val="1"/>
                <w:color w:val="auto"/>
              </w:rPr>
              <w:t>Supplemental disclosure of non-cash investing and financing activities</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6640" w:type="dxa"/>
            <w:vAlign w:val="bottom"/>
          </w:tcPr>
          <w:p>
            <w:pPr>
              <w:ind w:left="20"/>
              <w:spacing w:after="0"/>
              <w:rPr>
                <w:sz w:val="20"/>
                <w:szCs w:val="20"/>
                <w:color w:val="auto"/>
              </w:rPr>
            </w:pPr>
            <w:r>
              <w:rPr>
                <w:rFonts w:ascii="Arial" w:cs="Arial" w:eastAsia="Arial" w:hAnsi="Arial"/>
                <w:sz w:val="15"/>
                <w:szCs w:val="15"/>
                <w:color w:val="auto"/>
              </w:rPr>
              <w:t>Vesting of early exercised options and restricted stock</w:t>
            </w:r>
          </w:p>
        </w:tc>
        <w:tc>
          <w:tcPr>
            <w:tcW w:w="320" w:type="dxa"/>
            <w:vAlign w:val="bottom"/>
          </w:tcPr>
          <w:p>
            <w:pPr>
              <w:jc w:val="right"/>
              <w:ind w:right="144"/>
              <w:spacing w:after="0"/>
              <w:rPr>
                <w:sz w:val="20"/>
                <w:szCs w:val="20"/>
                <w:color w:val="auto"/>
              </w:rPr>
            </w:pPr>
            <w:r>
              <w:rPr>
                <w:rFonts w:ascii="Arial" w:cs="Arial" w:eastAsia="Arial" w:hAnsi="Arial"/>
                <w:sz w:val="15"/>
                <w:szCs w:val="15"/>
                <w:color w:val="auto"/>
                <w:w w:val="95"/>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143</w:t>
            </w:r>
          </w:p>
        </w:tc>
        <w:tc>
          <w:tcPr>
            <w:tcW w:w="100" w:type="dxa"/>
            <w:vAlign w:val="bottom"/>
          </w:tcPr>
          <w:p>
            <w:pPr>
              <w:spacing w:after="0"/>
              <w:rPr>
                <w:sz w:val="16"/>
                <w:szCs w:val="16"/>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149</w:t>
            </w:r>
          </w:p>
        </w:tc>
        <w:tc>
          <w:tcPr>
            <w:tcW w:w="240" w:type="dxa"/>
            <w:vAlign w:val="bottom"/>
          </w:tcPr>
          <w:p>
            <w:pPr>
              <w:spacing w:after="0"/>
              <w:rPr>
                <w:sz w:val="16"/>
                <w:szCs w:val="16"/>
                <w:color w:val="auto"/>
              </w:rPr>
            </w:pP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199</w:t>
            </w:r>
          </w:p>
        </w:tc>
        <w:tc>
          <w:tcPr>
            <w:tcW w:w="100" w:type="dxa"/>
            <w:vAlign w:val="bottom"/>
          </w:tcPr>
          <w:p>
            <w:pPr>
              <w:spacing w:after="0"/>
              <w:rPr>
                <w:sz w:val="16"/>
                <w:szCs w:val="16"/>
                <w:color w:val="auto"/>
              </w:rPr>
            </w:pPr>
          </w:p>
        </w:tc>
      </w:tr>
      <w:tr>
        <w:trPr>
          <w:trHeight w:val="162"/>
        </w:trPr>
        <w:tc>
          <w:tcPr>
            <w:tcW w:w="6640" w:type="dxa"/>
            <w:vAlign w:val="bottom"/>
            <w:shd w:val="clear" w:color="auto" w:fill="CFF0FC"/>
          </w:tcPr>
          <w:p>
            <w:pPr>
              <w:ind w:left="20"/>
              <w:spacing w:after="0" w:line="162" w:lineRule="exact"/>
              <w:rPr>
                <w:sz w:val="20"/>
                <w:szCs w:val="20"/>
                <w:color w:val="auto"/>
              </w:rPr>
            </w:pPr>
            <w:r>
              <w:rPr>
                <w:rFonts w:ascii="Arial" w:cs="Arial" w:eastAsia="Arial" w:hAnsi="Arial"/>
                <w:sz w:val="15"/>
                <w:szCs w:val="15"/>
                <w:color w:val="auto"/>
                <w:w w:val="99"/>
              </w:rPr>
              <w:t>Purchases of property and equipment in accounts payable and accrued expenses and other current</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6640" w:type="dxa"/>
            <w:vAlign w:val="bottom"/>
            <w:shd w:val="clear" w:color="auto" w:fill="CFF0FC"/>
          </w:tcPr>
          <w:p>
            <w:pPr>
              <w:ind w:left="20"/>
              <w:spacing w:after="0"/>
              <w:rPr>
                <w:sz w:val="20"/>
                <w:szCs w:val="20"/>
                <w:color w:val="auto"/>
              </w:rPr>
            </w:pPr>
            <w:r>
              <w:rPr>
                <w:rFonts w:ascii="Arial" w:cs="Arial" w:eastAsia="Arial" w:hAnsi="Arial"/>
                <w:sz w:val="15"/>
                <w:szCs w:val="15"/>
                <w:color w:val="auto"/>
              </w:rPr>
              <w:t>liabilities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1,419</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1,129</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1,813</w:t>
            </w:r>
          </w:p>
        </w:tc>
        <w:tc>
          <w:tcPr>
            <w:tcW w:w="100" w:type="dxa"/>
            <w:vAlign w:val="bottom"/>
            <w:shd w:val="clear" w:color="auto" w:fill="CFF0FC"/>
          </w:tcPr>
          <w:p>
            <w:pPr>
              <w:spacing w:after="0"/>
              <w:rPr>
                <w:sz w:val="16"/>
                <w:szCs w:val="16"/>
                <w:color w:val="auto"/>
              </w:rPr>
            </w:pPr>
          </w:p>
        </w:tc>
      </w:tr>
      <w:tr>
        <w:trPr>
          <w:trHeight w:val="189"/>
        </w:trPr>
        <w:tc>
          <w:tcPr>
            <w:tcW w:w="6640" w:type="dxa"/>
            <w:vAlign w:val="bottom"/>
          </w:tcPr>
          <w:p>
            <w:pPr>
              <w:ind w:left="20"/>
              <w:spacing w:after="0"/>
              <w:rPr>
                <w:sz w:val="20"/>
                <w:szCs w:val="20"/>
                <w:color w:val="auto"/>
              </w:rPr>
            </w:pPr>
            <w:r>
              <w:rPr>
                <w:rFonts w:ascii="Arial" w:cs="Arial" w:eastAsia="Arial" w:hAnsi="Arial"/>
                <w:sz w:val="15"/>
                <w:szCs w:val="15"/>
                <w:color w:val="auto"/>
              </w:rPr>
              <w:t>Advance payments for property and equipment</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89"/>
        </w:trPr>
        <w:tc>
          <w:tcPr>
            <w:tcW w:w="6640" w:type="dxa"/>
            <w:vAlign w:val="bottom"/>
            <w:shd w:val="clear" w:color="auto" w:fill="CFF0FC"/>
          </w:tcPr>
          <w:p>
            <w:pPr>
              <w:ind w:left="20"/>
              <w:spacing w:after="0"/>
              <w:rPr>
                <w:sz w:val="20"/>
                <w:szCs w:val="20"/>
                <w:color w:val="auto"/>
              </w:rPr>
            </w:pPr>
            <w:r>
              <w:rPr>
                <w:rFonts w:ascii="Arial" w:cs="Arial" w:eastAsia="Arial" w:hAnsi="Arial"/>
                <w:sz w:val="15"/>
                <w:szCs w:val="15"/>
                <w:color w:val="auto"/>
              </w:rPr>
              <w:t>Right-of-use assets obtained in exchange for operating lease liabilities</w:t>
            </w:r>
          </w:p>
        </w:tc>
        <w:tc>
          <w:tcPr>
            <w:tcW w:w="32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35,437</w:t>
            </w:r>
          </w:p>
        </w:tc>
        <w:tc>
          <w:tcPr>
            <w:tcW w:w="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21,188</w:t>
            </w:r>
          </w:p>
        </w:tc>
        <w:tc>
          <w:tcPr>
            <w:tcW w:w="100" w:type="dxa"/>
            <w:vAlign w:val="bottom"/>
            <w:shd w:val="clear" w:color="auto" w:fill="CFF0FC"/>
          </w:tcPr>
          <w:p>
            <w:pPr>
              <w:spacing w:after="0"/>
              <w:rPr>
                <w:sz w:val="16"/>
                <w:szCs w:val="16"/>
                <w:color w:val="auto"/>
              </w:rPr>
            </w:pPr>
          </w:p>
        </w:tc>
      </w:tr>
      <w:tr>
        <w:trPr>
          <w:trHeight w:val="190"/>
        </w:trPr>
        <w:tc>
          <w:tcPr>
            <w:tcW w:w="6640" w:type="dxa"/>
            <w:vAlign w:val="bottom"/>
          </w:tcPr>
          <w:p>
            <w:pPr>
              <w:ind w:left="20"/>
              <w:spacing w:after="0"/>
              <w:rPr>
                <w:sz w:val="20"/>
                <w:szCs w:val="20"/>
                <w:color w:val="auto"/>
              </w:rPr>
            </w:pPr>
            <w:r>
              <w:rPr>
                <w:rFonts w:ascii="Arial" w:cs="Arial" w:eastAsia="Arial" w:hAnsi="Arial"/>
                <w:sz w:val="15"/>
                <w:szCs w:val="15"/>
                <w:color w:val="auto"/>
              </w:rPr>
              <w:t>Unpaid deferred offering costs</w:t>
            </w: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110</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-3472180</wp:posOffset>
            </wp:positionV>
            <wp:extent cx="76835"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-3472180</wp:posOffset>
            </wp:positionV>
            <wp:extent cx="68580" cy="1371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-3472180</wp:posOffset>
            </wp:positionV>
            <wp:extent cx="68580" cy="13716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-2734945</wp:posOffset>
            </wp:positionV>
            <wp:extent cx="76835" cy="13716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-2734945</wp:posOffset>
            </wp:positionV>
            <wp:extent cx="68580" cy="13716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-2734945</wp:posOffset>
            </wp:positionV>
            <wp:extent cx="68580"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-1748790</wp:posOffset>
            </wp:positionV>
            <wp:extent cx="76835" cy="13716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-1748790</wp:posOffset>
            </wp:positionV>
            <wp:extent cx="6858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-1748790</wp:posOffset>
            </wp:positionV>
            <wp:extent cx="68580" cy="1371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-1491615</wp:posOffset>
            </wp:positionV>
            <wp:extent cx="76835" cy="154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-1491615</wp:posOffset>
            </wp:positionV>
            <wp:extent cx="68580" cy="15430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-1491615</wp:posOffset>
            </wp:positionV>
            <wp:extent cx="6858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-977265</wp:posOffset>
            </wp:positionV>
            <wp:extent cx="76835"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-977265</wp:posOffset>
            </wp:positionV>
            <wp:extent cx="68580" cy="15430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-977265</wp:posOffset>
            </wp:positionV>
            <wp:extent cx="6858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15430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03" w:name="page104"/>
    <w:bookmarkEnd w:id="103"/>
    <w:p>
      <w:pPr>
        <w:jc w:val="center"/>
        <w:ind w:right="-39"/>
        <w:spacing w:after="0"/>
        <w:rPr>
          <w:sz w:val="20"/>
          <w:szCs w:val="20"/>
          <w:color w:val="auto"/>
        </w:rPr>
      </w:pPr>
      <w:r>
        <w:rPr>
          <w:rFonts w:ascii="Arial" w:cs="Arial" w:eastAsia="Arial" w:hAnsi="Arial"/>
          <w:sz w:val="18"/>
          <w:szCs w:val="18"/>
          <w:b w:val="1"/>
          <w:bCs w:val="1"/>
          <w:color w:val="auto"/>
        </w:rPr>
        <w:t>REVOLUTION MEDICINES,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520" w:hanging="512"/>
        <w:spacing w:after="0"/>
        <w:tabs>
          <w:tab w:leader="none" w:pos="5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ind w:right="480" w:firstLine="509"/>
        <w:spacing w:after="0" w:line="342" w:lineRule="auto"/>
        <w:rPr>
          <w:sz w:val="20"/>
          <w:szCs w:val="20"/>
          <w:color w:val="auto"/>
        </w:rPr>
      </w:pPr>
      <w:r>
        <w:rPr>
          <w:rFonts w:ascii="Arial" w:cs="Arial" w:eastAsia="Arial" w:hAnsi="Arial"/>
          <w:sz w:val="16"/>
          <w:szCs w:val="16"/>
          <w:color w:val="auto"/>
        </w:rPr>
        <w:t>Revolution Medicines, Inc. (the Company) is a clinical-stage precision oncology company focused on developing targeted therapies to inhibit frontier targets in RAS-addicted cancers. The Company was founded in October 2014 and is headquartered in Redwood City, California.</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60" w:firstLine="509"/>
        <w:spacing w:after="0" w:line="270" w:lineRule="auto"/>
        <w:rPr>
          <w:sz w:val="20"/>
          <w:szCs w:val="20"/>
          <w:color w:val="auto"/>
        </w:rPr>
      </w:pPr>
      <w:r>
        <w:rPr>
          <w:rFonts w:ascii="Arial" w:cs="Arial" w:eastAsia="Arial" w:hAnsi="Arial"/>
          <w:sz w:val="17"/>
          <w:szCs w:val="17"/>
          <w:color w:val="auto"/>
        </w:rPr>
        <w:t>The Company has incurred net operating losses in each year since inception. As of December 31, 2022, the Company had an accumulated deficit of $701.3 million. Management believes that its existing cash, cash equivalents and marketable securities will enable the Company to fund its planned operations for at least 12 months following the issuance date of these consolidated financial statements. The Company has been able to fund its operations through the issuance and sale of common stock and redeemable convertible preferred stock in addition to upfront payments and research and development cost reimbursement received under the Company’s collaboration agreement with Genzyme Corporation, an affiliate of Sanofi. Future capital requirements will depend on many factors, including the timing and extent of spending on research and development. There can be no assurance that, in the event the Company requires additional financing, such financing will be available at terms acceptable to the Company, if at all. Failure to generate sufficient cash flows from operations, raise additional capital and reduce discretionary spending should additional capital not become available could have a material adverse effect on the Company’s ability to achieve its business objectives.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offerings</w:t>
      </w:r>
    </w:p>
    <w:p>
      <w:pPr>
        <w:spacing w:after="0" w:line="117" w:lineRule="exact"/>
        <w:rPr>
          <w:sz w:val="20"/>
          <w:szCs w:val="20"/>
          <w:color w:val="auto"/>
        </w:rPr>
      </w:pPr>
    </w:p>
    <w:p>
      <w:pPr>
        <w:jc w:val="both"/>
        <w:ind w:right="180" w:firstLine="509"/>
        <w:spacing w:after="0" w:line="286" w:lineRule="auto"/>
        <w:rPr>
          <w:sz w:val="20"/>
          <w:szCs w:val="20"/>
          <w:color w:val="auto"/>
        </w:rPr>
      </w:pPr>
      <w:r>
        <w:rPr>
          <w:rFonts w:ascii="Arial" w:cs="Arial" w:eastAsia="Arial" w:hAnsi="Arial"/>
          <w:sz w:val="17"/>
          <w:szCs w:val="17"/>
          <w:color w:val="auto"/>
        </w:rPr>
        <w:t>In February 2021, the Company issued and sold 6,666,666 shares of its common stock in an underwritten public offering at a price of $45.00 per share (including the exercise in full by the underwriters of their option to purchase an additional 869,565 shares of its common stock) for net proceeds of $281.1 million, after deducting underwriting discounts and commissions of $18.0 million and expenses of $0.9 million.</w:t>
      </w:r>
    </w:p>
    <w:p>
      <w:pPr>
        <w:spacing w:after="0" w:line="165" w:lineRule="exact"/>
        <w:rPr>
          <w:sz w:val="20"/>
          <w:szCs w:val="20"/>
          <w:color w:val="auto"/>
        </w:rPr>
      </w:pPr>
    </w:p>
    <w:p>
      <w:pPr>
        <w:ind w:right="20" w:firstLine="509"/>
        <w:spacing w:after="0" w:line="254" w:lineRule="auto"/>
        <w:rPr>
          <w:sz w:val="20"/>
          <w:szCs w:val="20"/>
          <w:color w:val="auto"/>
        </w:rPr>
      </w:pPr>
      <w:r>
        <w:rPr>
          <w:rFonts w:ascii="Arial" w:cs="Arial" w:eastAsia="Arial" w:hAnsi="Arial"/>
          <w:sz w:val="18"/>
          <w:szCs w:val="18"/>
          <w:color w:val="auto"/>
        </w:rPr>
        <w:t>In November 2021, the Company entered into a sales agreement with Cowen and Company, LLC (Cowen) to sell shares of its common stock, from time to time, with aggregate gross proceeds of up to $250 million, through an at-the-market equity offering program (ATM). During the year ended December 31, 2021, the Company sold an aggregate of 339,302 shares of common stock under the ATM resulting in gross proceeds of $10.4 million. After deducting commissions and expenses of $0.3 million, net proceeds to the Company for the year ended December 31, 2021 were $10.1 million. During the year ended December 31, 2022, the Company sold an aggregate of 2,385,846 shares of common stock under the ATM resulting in gross proceeds of $51.3 million. After deducting commissions and expenses of $1.4 million, net proceeds to the Company for the year ended December 31, 2022 were $49.9 million.</w:t>
      </w:r>
    </w:p>
    <w:p>
      <w:pPr>
        <w:spacing w:after="0" w:line="195"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In July 2022, the Company issued and sold 13,225,000 shares of its common stock in an underwritten public offering (including the exercise in full by the underwriters of their option to purchase an additional 1,725,000 shares of the Company’s common stock) at a price to the public of $20.00 per share, for net proceeds of $248.1 million, after deducting underwriting discounts and commissions of $15.9 million and expenses of $0.5 million.</w:t>
      </w:r>
    </w:p>
    <w:p>
      <w:pPr>
        <w:spacing w:after="0" w:line="269" w:lineRule="exact"/>
        <w:rPr>
          <w:sz w:val="20"/>
          <w:szCs w:val="20"/>
          <w:color w:val="auto"/>
        </w:rPr>
      </w:pPr>
    </w:p>
    <w:p>
      <w:pPr>
        <w:ind w:left="520" w:hanging="512"/>
        <w:spacing w:after="0"/>
        <w:tabs>
          <w:tab w:leader="none" w:pos="52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40" w:firstLine="509"/>
        <w:spacing w:after="0" w:line="280" w:lineRule="auto"/>
        <w:rPr>
          <w:sz w:val="20"/>
          <w:szCs w:val="20"/>
          <w:color w:val="auto"/>
        </w:rPr>
      </w:pPr>
      <w:r>
        <w:rPr>
          <w:rFonts w:ascii="Arial" w:cs="Arial" w:eastAsia="Arial" w:hAnsi="Arial"/>
          <w:sz w:val="17"/>
          <w:szCs w:val="17"/>
          <w:color w:val="auto"/>
        </w:rPr>
        <w:t>The consolidated financial statements have been prepared in conformity with generally accepted accounting principles in the United States (GAAP) and applicable rules of the Securities and Exchange Commission (SEC) regarding financial reporting and, in the opinion of management, include all normal and recurring adjustments which are necessary to state fairly the Company’s financial position and results of operations for the reported periods. The consolidated financial statements for the years ended December 31, 2022, 2021 and 2020 include the accounts of the Company and its wholly owned subsidiary, Warp Drive Bio, Inc. (Warp Drive). All intercompany balances and transactions have been eliminated in consolidation. The functional and reporting currency of the Company and its subsidiary is the U.S. dollar.</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On February 7, 2020, the Company amended and restated its amended and restated certificate of incorporation to effect a 1-for-4.8661 reverse stock split of the Company’s common stock and redeemable convertible preferred stock. The par value and authorized shares of the common stock and redeemable convertible preferred stock were not adjusted as a result of the reverse stock split. All issued and outstanding common stock, options to purchase common stock and per share amounts contained in the financial statements have been retroactively adjusted to give effect to the reverse stock split for all periods presented.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firstLine="509"/>
        <w:spacing w:after="0" w:line="269"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On an ongoing basis, management evaluates its estimates, including those related to revenue recognition, clinical accruals, valuation of in-process research and development and developed technologies, income taxes, useful lives of property and equipment and intangible assets, impairment of goodwill and intangibles, the incremental borrowing rate for determining operating lease assets and liabilities, and stock-based compensation. The extent to which the COVID-19 pandemic may directly or indirectly impact the Company’s business, financial condition and results of operations is highly uncertain and subject to change. The Company considered the potential impact of the COVID-19 pandemic on its estimates and assumptions and there was not a material impact to the Company’s consolidated financial statements as of and for the twelve months ended December 31, 2022. Actual results could materially differ from the Company’s estimates, and there may be changes to the estimates in future periods.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right="260" w:firstLine="509"/>
        <w:spacing w:after="0" w:line="263"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at the date of purchase to be cash equivalents. As of December 31, 2022 and 2021, cash equivalents consist of amounts invested in money market funds, commercial paper and corporate bonds with original maturities of three months or less at the date of purchase.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right="80" w:firstLine="509"/>
        <w:spacing w:after="0" w:line="271" w:lineRule="auto"/>
        <w:rPr>
          <w:sz w:val="20"/>
          <w:szCs w:val="20"/>
          <w:color w:val="auto"/>
        </w:rPr>
      </w:pPr>
      <w:r>
        <w:rPr>
          <w:rFonts w:ascii="Arial" w:cs="Arial" w:eastAsia="Arial" w:hAnsi="Arial"/>
          <w:sz w:val="17"/>
          <w:szCs w:val="17"/>
          <w:color w:val="auto"/>
        </w:rPr>
        <w:t>Investments in marketable securities primarily consist of U.S. government debt securities, U.S. government agency bonds, commercial paper, Canadian government securities and corporate bonds. The Company has classified its marketable securities as available-for-sale and may sell these securities prior to their stated maturities. The Company views these marketable securities as available to support current operations and classifies marketable securities with maturities beyond 12 months as current assets. The Company’s investments in marketable securities are carried at estimated fair value, which is derived from independent pricing sources based on quoted prices in active markets for similar securities. Unrealized gains and losses are reported as a component of accumulated other comprehensive loss. The amortized cost of marketable securities is adjusted for amortization of premiums and accretion of discounts to maturity, which is included in interest income on the consolidated statements of operations. Realized gains and losses are included in interest income on the consolidated statements of operations.</w:t>
      </w:r>
    </w:p>
    <w:p>
      <w:pPr>
        <w:spacing w:after="0" w:line="178"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The Company periodically evaluates its investments to assess whether those with unrealized loss positions are other than temporarily impaired. The Company considers various factors in determining whether to recognize an impairment charge. If the Company determines that the decline in an investment’s fair value is other-than-temporary, the difference is recognized as an impairment loss in the consolidated statements of operations. As of December 31, 2022, no other-than-temporary-impairment has been recorded.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100" w:firstLine="509"/>
        <w:spacing w:after="0" w:line="342" w:lineRule="auto"/>
        <w:rPr>
          <w:sz w:val="20"/>
          <w:szCs w:val="20"/>
          <w:color w:val="auto"/>
        </w:rPr>
      </w:pPr>
      <w:r>
        <w:rPr>
          <w:rFonts w:ascii="Arial" w:cs="Arial" w:eastAsia="Arial" w:hAnsi="Arial"/>
          <w:sz w:val="16"/>
          <w:szCs w:val="16"/>
          <w:color w:val="auto"/>
        </w:rPr>
        <w:t>As of December 31, 2022 and 2021, the Company had $1.7 million and $1.7 million, respectively, of noncurrent restricted cash related to Company issued letters of credit in connection with leases. These amounts are held in separate bank accounts to support letter of credit agreements for the leases.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17" w:lineRule="exact"/>
        <w:rPr>
          <w:sz w:val="20"/>
          <w:szCs w:val="20"/>
          <w:color w:val="auto"/>
        </w:rPr>
      </w:pPr>
    </w:p>
    <w:p>
      <w:pPr>
        <w:ind w:firstLine="509"/>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marketable securities. The Company’s cash is held by two financial institutions in the United States, which management believes to be of high credit quality. The Company invests in money market funds, U.S. government debt securities, U.S. government agency bonds, commercial paper and corporate bonds. The Company has not experienced any losses on its deposits of cash and cash equivalents.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5" w:name="page106"/>
    <w:bookmarkEnd w:id="105"/>
    <w:p>
      <w:pPr>
        <w:ind w:right="120" w:firstLine="509"/>
        <w:spacing w:after="0" w:line="277" w:lineRule="auto"/>
        <w:rPr>
          <w:sz w:val="20"/>
          <w:szCs w:val="20"/>
          <w:color w:val="auto"/>
        </w:rPr>
      </w:pPr>
      <w:r>
        <w:rPr>
          <w:rFonts w:ascii="Arial" w:cs="Arial" w:eastAsia="Arial" w:hAnsi="Arial"/>
          <w:sz w:val="18"/>
          <w:szCs w:val="18"/>
          <w:color w:val="auto"/>
        </w:rPr>
        <w:t>The Company is subject to credit risk as its receivable and collaboration revenue are entirely related to its collaboration agreement with Sanofi. For more information, see Note 8, “Sanofi collaboration agreement.”</w:t>
      </w:r>
    </w:p>
    <w:p>
      <w:pPr>
        <w:spacing w:after="0" w:line="170"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The Company’s clinical trial sites may be affected by the COVID-19 outbreak due to prioritization of hospital resources toward the COVID-19 outbreak, travel or quarantine restrictions imposed by governments, and the inability to access sites for initiation and patient monitoring and enrollment. As a result, patient screening, new patient enrollment, monitoring and data collection may be affected or delayed. The Company is aware that several clinical sites involved in its clinical studies temporarily stopped or delayed enrolling new patients, with exemptions if appropriate, and it is possible that these or other clinical sites may be similarly affected in the future. These developments may delay the Company’s clinical trial timelines. Some of the Company’s third-party manufacturers which it uses for the supply of materials for product candidates or other materials necessary to manufacture product to conduct preclinical tests and clinical trials and contract research organizations may be impacted by COVID-19, and should they experience disruptions, such as temporary closures or suspension of services, the Company would likely experience delays in advancing clinical trials.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w:t>
      </w:r>
    </w:p>
    <w:p>
      <w:pPr>
        <w:spacing w:after="0" w:line="117" w:lineRule="exact"/>
        <w:rPr>
          <w:sz w:val="20"/>
          <w:szCs w:val="20"/>
          <w:color w:val="auto"/>
        </w:rPr>
      </w:pPr>
    </w:p>
    <w:p>
      <w:pPr>
        <w:jc w:val="both"/>
        <w:ind w:right="80" w:firstLine="509"/>
        <w:spacing w:after="0" w:line="263" w:lineRule="auto"/>
        <w:rPr>
          <w:sz w:val="20"/>
          <w:szCs w:val="20"/>
          <w:color w:val="auto"/>
        </w:rPr>
      </w:pPr>
      <w:r>
        <w:rPr>
          <w:rFonts w:ascii="Arial" w:cs="Arial" w:eastAsia="Arial" w:hAnsi="Arial"/>
          <w:sz w:val="18"/>
          <w:szCs w:val="18"/>
          <w:color w:val="auto"/>
        </w:rPr>
        <w:t>The carrying amounts of the Company’s certain financial instruments, including cash equivalents, accounts payable and accrued expenses and other current liabilities approximate fair value due to their relatively short maturities and market interest rates, if applicable. For more information, refer to Note 4 regarding the fair value of the Company’s available-for-sale securities.</w:t>
      </w:r>
    </w:p>
    <w:p>
      <w:pPr>
        <w:spacing w:after="0" w:line="184" w:lineRule="exact"/>
        <w:rPr>
          <w:sz w:val="20"/>
          <w:szCs w:val="20"/>
          <w:color w:val="auto"/>
        </w:rPr>
      </w:pPr>
    </w:p>
    <w:p>
      <w:pPr>
        <w:ind w:right="40" w:firstLine="509"/>
        <w:spacing w:after="0" w:line="255" w:lineRule="auto"/>
        <w:rPr>
          <w:sz w:val="20"/>
          <w:szCs w:val="20"/>
          <w:color w:val="auto"/>
        </w:rPr>
      </w:pPr>
      <w:r>
        <w:rPr>
          <w:rFonts w:ascii="Arial" w:cs="Arial" w:eastAsia="Arial" w:hAnsi="Arial"/>
          <w:sz w:val="18"/>
          <w:szCs w:val="18"/>
          <w:color w:val="auto"/>
        </w:rPr>
        <w:t>Assets and liabilities recorded at fair value on a recurring basis in the consolidated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8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1—Observable inputs such as unadjusted, quoted prices in active markets for identical assets or liabilities at the measurement date;</w:t>
      </w:r>
    </w:p>
    <w:p>
      <w:pPr>
        <w:spacing w:after="0" w:line="129" w:lineRule="exact"/>
        <w:rPr>
          <w:sz w:val="20"/>
          <w:szCs w:val="20"/>
          <w:color w:val="auto"/>
        </w:rPr>
      </w:pPr>
    </w:p>
    <w:p>
      <w:pPr>
        <w:jc w:val="both"/>
        <w:ind w:left="520" w:right="300"/>
        <w:spacing w:after="0" w:line="263" w:lineRule="auto"/>
        <w:rPr>
          <w:sz w:val="20"/>
          <w:szCs w:val="20"/>
          <w:color w:val="auto"/>
        </w:rPr>
      </w:pPr>
      <w:r>
        <w:rPr>
          <w:rFonts w:ascii="Arial" w:cs="Arial" w:eastAsia="Arial" w:hAnsi="Arial"/>
          <w:sz w:val="18"/>
          <w:szCs w:val="18"/>
          <w:color w:val="auto"/>
        </w:rPr>
        <w:t>Level 2—Inputs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and</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right="60" w:firstLine="509"/>
        <w:spacing w:after="0" w:line="257"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is computed on a straight-line basis over the estimated useful lives of the related assets, which is generally three to five years. Leasehold improvements are amortized using the straight-line method over the shorter of the assets’ estimated useful lives or the remaining term of the lease. Maintenance and repairs are charged to operations as incurred. Upon sale or retirement of assets, the cost and related accumulated depreciation are removed from the consolidated balance sheet and the resulting gain or loss is reflected in the consolidated statement of operations.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Useful lives of property and equipment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140" w:type="dxa"/>
            <w:vAlign w:val="bottom"/>
          </w:tcPr>
          <w:p>
            <w:pPr>
              <w:spacing w:after="0"/>
              <w:rPr>
                <w:sz w:val="20"/>
                <w:szCs w:val="20"/>
                <w:color w:val="auto"/>
              </w:rPr>
            </w:pPr>
          </w:p>
        </w:tc>
        <w:tc>
          <w:tcPr>
            <w:tcW w:w="6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Estimated useful life</w:t>
            </w:r>
          </w:p>
        </w:tc>
      </w:tr>
      <w:tr>
        <w:trPr>
          <w:trHeight w:val="230"/>
        </w:trPr>
        <w:tc>
          <w:tcPr>
            <w:tcW w:w="4260" w:type="dxa"/>
            <w:vAlign w:val="bottom"/>
          </w:tcPr>
          <w:p>
            <w:pPr>
              <w:ind w:left="20"/>
              <w:spacing w:after="0"/>
              <w:rPr>
                <w:sz w:val="20"/>
                <w:szCs w:val="20"/>
                <w:color w:val="auto"/>
              </w:rPr>
            </w:pPr>
            <w:r>
              <w:rPr>
                <w:rFonts w:ascii="Arial" w:cs="Arial" w:eastAsia="Arial" w:hAnsi="Arial"/>
                <w:sz w:val="18"/>
                <w:szCs w:val="18"/>
                <w:color w:val="auto"/>
              </w:rPr>
              <w:t>Laboratory equipment</w:t>
            </w:r>
          </w:p>
        </w:tc>
        <w:tc>
          <w:tcPr>
            <w:tcW w:w="140" w:type="dxa"/>
            <w:vAlign w:val="bottom"/>
          </w:tcPr>
          <w:p>
            <w:pPr>
              <w:spacing w:after="0"/>
              <w:rPr>
                <w:sz w:val="20"/>
                <w:szCs w:val="20"/>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4-5 years</w:t>
            </w:r>
          </w:p>
        </w:tc>
      </w:tr>
      <w:tr>
        <w:trPr>
          <w:trHeight w:val="242"/>
        </w:trPr>
        <w:tc>
          <w:tcPr>
            <w:tcW w:w="42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21"/>
                <w:szCs w:val="21"/>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Lesser of estimated useful life or remaining lease term</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Computer equipment and software</w:t>
            </w:r>
          </w:p>
        </w:tc>
        <w:tc>
          <w:tcPr>
            <w:tcW w:w="140" w:type="dxa"/>
            <w:vAlign w:val="bottom"/>
          </w:tcPr>
          <w:p>
            <w:pPr>
              <w:spacing w:after="0"/>
              <w:rPr>
                <w:sz w:val="21"/>
                <w:szCs w:val="21"/>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3 years</w:t>
            </w:r>
          </w:p>
        </w:tc>
      </w:tr>
      <w:tr>
        <w:trPr>
          <w:trHeight w:val="243"/>
        </w:trPr>
        <w:tc>
          <w:tcPr>
            <w:tcW w:w="426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21"/>
                <w:szCs w:val="21"/>
                <w:color w:val="auto"/>
              </w:rPr>
            </w:pPr>
          </w:p>
        </w:tc>
        <w:tc>
          <w:tcPr>
            <w:tcW w:w="6840" w:type="dxa"/>
            <w:vAlign w:val="bottom"/>
          </w:tcPr>
          <w:p>
            <w:pPr>
              <w:spacing w:after="0"/>
              <w:rPr>
                <w:sz w:val="20"/>
                <w:szCs w:val="20"/>
                <w:color w:val="auto"/>
              </w:rPr>
            </w:pPr>
            <w:r>
              <w:rPr>
                <w:rFonts w:ascii="Arial" w:cs="Arial" w:eastAsia="Arial" w:hAnsi="Arial"/>
                <w:sz w:val="18"/>
                <w:szCs w:val="18"/>
                <w:color w:val="auto"/>
              </w:rPr>
              <w:t>5 years</w:t>
            </w:r>
          </w:p>
        </w:tc>
      </w:tr>
      <w:tr>
        <w:trPr>
          <w:trHeight w:val="661"/>
        </w:trPr>
        <w:tc>
          <w:tcPr>
            <w:tcW w:w="4260" w:type="dxa"/>
            <w:vAlign w:val="bottom"/>
          </w:tcPr>
          <w:p>
            <w:pPr>
              <w:spacing w:after="0"/>
              <w:rPr>
                <w:sz w:val="24"/>
                <w:szCs w:val="24"/>
                <w:color w:val="auto"/>
              </w:rPr>
            </w:pPr>
          </w:p>
        </w:tc>
        <w:tc>
          <w:tcPr>
            <w:tcW w:w="6980" w:type="dxa"/>
            <w:vAlign w:val="bottom"/>
            <w:gridSpan w:val="2"/>
          </w:tcPr>
          <w:p>
            <w:pPr>
              <w:jc w:val="right"/>
              <w:ind w:right="5390"/>
              <w:spacing w:after="0"/>
              <w:rPr>
                <w:sz w:val="20"/>
                <w:szCs w:val="20"/>
                <w:color w:val="auto"/>
              </w:rPr>
            </w:pPr>
            <w:r>
              <w:rPr>
                <w:rFonts w:ascii="Arial" w:cs="Arial" w:eastAsia="Arial" w:hAnsi="Arial"/>
                <w:sz w:val="18"/>
                <w:szCs w:val="18"/>
                <w:color w:val="auto"/>
              </w:rPr>
              <w:t>103</w:t>
            </w:r>
          </w:p>
        </w:tc>
      </w:tr>
      <w:tr>
        <w:trPr>
          <w:trHeight w:val="115"/>
        </w:trPr>
        <w:tc>
          <w:tcPr>
            <w:tcW w:w="4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The Company determines if an arrangement is, or contains, a lease at inception and then classifies the lease as operating or financing based on the underlying terms and conditions of the contract. Leases with terms greater than one year are initially recognized on the balance sheet as right-of-use assets and lease liabilities based on the present value of lease payments over the expected lease term. The interest rate implicit in lease contracts is typically not readily determinable. As such, the Company utilizes the incremental borrowing rate, which is the rate incurred to borrow, on a collateralized basis, an amount equal to the lease payments over a similar term and in a similar economic environment of the applicable country or region. Variable lease payments are excluded from the right-of-use assets and operating lease liabilities and are recognized in the period in which the obligation for those payments is incurred. Leases with a term of 12 months or less are not recognized on the consolidated balance sheets.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firstLine="509"/>
        <w:spacing w:after="0" w:line="257" w:lineRule="auto"/>
        <w:rPr>
          <w:sz w:val="20"/>
          <w:szCs w:val="20"/>
          <w:color w:val="auto"/>
        </w:rPr>
      </w:pPr>
      <w:r>
        <w:rPr>
          <w:rFonts w:ascii="Arial" w:cs="Arial" w:eastAsia="Arial" w:hAnsi="Arial"/>
          <w:sz w:val="18"/>
          <w:szCs w:val="18"/>
          <w:color w:val="auto"/>
        </w:rPr>
        <w:t>Long-lived assets are reviewed for indications of possible impairment whenever events or changes in circumstances indicate that the carrying amount of an asset or asset group may not be recoverable. Recoverability is measured by comparison of the carrying amounts of the asset group to the future undiscounted cash flows attributable to these assets. An impairment loss is recognized to the extent an asset group is not recoverable, and the carrying amount exceeds the projected discounted future cash flows arising from these assets. There were no impairments of long-lived assets for any of the periods presented.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intangible assets</w:t>
      </w:r>
    </w:p>
    <w:p>
      <w:pPr>
        <w:spacing w:after="0" w:line="117"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Indefinite-lived intangible assets represent the estimated fair value assigned to in-process research and development (IPR&amp;D) acquired in a business combination. The Company reviews indefinite-lived intangible assets for impairment at least annually or more frequently if events or changes in circumstances indicate that the carrying value of the assets might not be recoverable. If the carrying value of an indefinite-lived intangible asset exceeds its fair value, then it is written down to its adjusted fair value. As of December 31, 2022, there have been no such impairments. For IPR&amp;D, if a product candidate derived from the indefinite-lived intangible asset is developed and commercialized, the useful life will be determined, and the carrying value will be amortized prospectively over that estimated useful life. Alternatively, if a product candidate is abandoned, the carrying value of the intangible asset will be charged to research and development expenses in the consolidated statements of operations.</w:t>
      </w:r>
    </w:p>
    <w:p>
      <w:pPr>
        <w:spacing w:after="0" w:line="177" w:lineRule="exact"/>
        <w:rPr>
          <w:sz w:val="20"/>
          <w:szCs w:val="20"/>
          <w:color w:val="auto"/>
        </w:rPr>
      </w:pPr>
    </w:p>
    <w:p>
      <w:pPr>
        <w:ind w:right="20" w:firstLine="509"/>
        <w:spacing w:after="0" w:line="257" w:lineRule="auto"/>
        <w:rPr>
          <w:sz w:val="20"/>
          <w:szCs w:val="20"/>
          <w:color w:val="auto"/>
        </w:rPr>
      </w:pPr>
      <w:r>
        <w:rPr>
          <w:rFonts w:ascii="Arial" w:cs="Arial" w:eastAsia="Arial" w:hAnsi="Arial"/>
          <w:sz w:val="18"/>
          <w:szCs w:val="18"/>
          <w:color w:val="auto"/>
        </w:rPr>
        <w:t>Finite-lived intangible assets acquired in a business combination are recognized separately from goodwill and are initially recognized at their fair value at the acquisition date and are carried at cost less accumulated amortization and impairment. Amortization is computed using the straight-line method over the estimated useful lives of the respective finite-lived intangible assets and is included in research and development expenses in the consolidated statement of operations. Intangible assets are reviewed for impairment at least annually or more frequently if indicators of potential impairment exist. As of December 31, 2022, no such impairment has been recorded.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Goodwill represents the excess of the purchase price over the estimated fair value of the net tangible and intangible assets acquired in a business combination. The Company reviews goodwill for impairment at least annually or more frequently if events or changes in circumstances indicate that the carrying value of goodwill may not be recoverable. Goodwill is tested for impairment at the reporting unit level by first assessing the qualitative factors to determine whether it is more likely than not that the fair value of the Company’s single reporting unit is less than its carrying amount. Qualitative indicators assessed include consideration of macroeconomic, industry and market conditions, the Company’s overall financial performance and personnel or strategy changes. Based on the qualitative assessment, if it is determined that it is more likely than not that its fair value is less than its carrying amount, the fair value of the Company’s single reporting unit is compared to its carrying value. Any excess of the goodwill carrying amount over the fair value is recognized as an impairment loss, and the carrying value of goodwill is written down to fair value. As of December 31, 2022, no goodwill impairment has been identified.</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17" w:lineRule="exact"/>
        <w:rPr>
          <w:sz w:val="20"/>
          <w:szCs w:val="20"/>
          <w:color w:val="auto"/>
        </w:rPr>
      </w:pPr>
    </w:p>
    <w:p>
      <w:pPr>
        <w:ind w:right="20" w:firstLine="509"/>
        <w:spacing w:after="0" w:line="272" w:lineRule="auto"/>
        <w:rPr>
          <w:sz w:val="20"/>
          <w:szCs w:val="20"/>
          <w:color w:val="auto"/>
        </w:rPr>
      </w:pPr>
      <w:r>
        <w:rPr>
          <w:rFonts w:ascii="Arial" w:cs="Arial" w:eastAsia="Arial" w:hAnsi="Arial"/>
          <w:sz w:val="17"/>
          <w:szCs w:val="17"/>
          <w:color w:val="auto"/>
        </w:rPr>
        <w:t>The Company records all shares of redeemable convertible preferred stock at their respective fair values on the dates of issuance, net of issuance costs. The redeemable convertible preferred stock is recorded outside of permanent equity because while it is not mandatorily redeemable, in the event of certain events considered not solely within the Company’s control, such as a merger, acquisition or sale of all or substantially all of the Company’s assets (each, a deemed liquidation event), the redeemable convertible preferred stock would have become redeemable at the option of the holders of at least a majority of the then outstanding such shares. The Company did not adjust the carrying values of the redeemable convertible preferred stock to the liquidation preferences of such shares because it was uncertain whether or when a deemed liquidation event would occur that would obligate the Company to pay the liquidation preferences to holders of shares of redeemable convertible preferred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509"/>
        <w:spacing w:after="0" w:line="290" w:lineRule="auto"/>
        <w:rPr>
          <w:sz w:val="20"/>
          <w:szCs w:val="20"/>
          <w:color w:val="auto"/>
        </w:rPr>
      </w:pPr>
      <w:r>
        <w:rPr>
          <w:rFonts w:ascii="Arial" w:cs="Arial" w:eastAsia="Arial" w:hAnsi="Arial"/>
          <w:sz w:val="16"/>
          <w:szCs w:val="16"/>
          <w:color w:val="auto"/>
        </w:rPr>
        <w:t>The Company recognizes revenue when its customer obtains control of promised goods or services, in an amount that reflects the consideration which the Company expects to receive in exchange for those goods or services. To determine revenue recognition for arrangements that the Company determines are within the scope of ASC 606,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a performance obligation.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65" w:lineRule="exact"/>
        <w:rPr>
          <w:sz w:val="20"/>
          <w:szCs w:val="20"/>
          <w:color w:val="auto"/>
        </w:rPr>
      </w:pPr>
    </w:p>
    <w:p>
      <w:pPr>
        <w:ind w:right="220" w:firstLine="509"/>
        <w:spacing w:after="0" w:line="259" w:lineRule="auto"/>
        <w:rPr>
          <w:sz w:val="20"/>
          <w:szCs w:val="20"/>
          <w:color w:val="auto"/>
        </w:rPr>
      </w:pPr>
      <w:r>
        <w:rPr>
          <w:rFonts w:ascii="Arial" w:cs="Arial" w:eastAsia="Arial" w:hAnsi="Arial"/>
          <w:sz w:val="18"/>
          <w:szCs w:val="18"/>
          <w:color w:val="auto"/>
        </w:rPr>
        <w:t>The Company enters into collaboration agreements under which it may obtain upfront license fees, research and development funding, and development, regulatory and commercial milestone payments and royalty payments. The Company’s performance obligations under these arrangements may include licenses of intellectual property, sales and distribution rights, research and development services, delivery of manufactured product and/or participation on joint steering committees.</w:t>
      </w:r>
    </w:p>
    <w:p>
      <w:pPr>
        <w:spacing w:after="0" w:line="187"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i w:val="1"/>
          <w:iCs w:val="1"/>
          <w:color w:val="auto"/>
        </w:rPr>
        <w:t xml:space="preserve">Licenses of intellectual property: </w:t>
      </w:r>
      <w:r>
        <w:rPr>
          <w:rFonts w:ascii="Arial" w:cs="Arial" w:eastAsia="Arial" w:hAnsi="Arial"/>
          <w:sz w:val="18"/>
          <w:szCs w:val="18"/>
          <w:color w:val="auto"/>
        </w:rPr>
        <w:t>If the license to the Company’s intellectual property is determined to be distinct from the other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identified in the arrangement, the Company recognizes revenue from upfront license fees allocated to the license when the license is transferred to the customer and the customer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 and, if over time, the appropriate method of measuring proportional performance for purposes of recognizing revenue from non-refundable, upfront fees. The Company evaluates the measure of proportional performance each reporting period and, if necessary, adjusts the measure of performance and related revenue recognition.</w:t>
      </w:r>
    </w:p>
    <w:p>
      <w:pPr>
        <w:spacing w:after="0" w:line="195"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i w:val="1"/>
          <w:iCs w:val="1"/>
          <w:color w:val="auto"/>
        </w:rPr>
        <w:t xml:space="preserve">Research, development and regulatory milestone payments: </w:t>
      </w:r>
      <w:r>
        <w:rPr>
          <w:rFonts w:ascii="Arial" w:cs="Arial" w:eastAsia="Arial" w:hAnsi="Arial"/>
          <w:sz w:val="17"/>
          <w:szCs w:val="17"/>
          <w:color w:val="auto"/>
        </w:rPr>
        <w:t>At the inception of each arrangement that includes research, development, or regulatory</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 payments, the Company evaluates whether the milestones are considered probable of being reached and estimates the amount to be included in the transaction price. The Company uses the most likely amount method for research, development and regulatory milestone payments. Under the most likely amount method, an entity considers the single most likely amount in a range of possible consideration amounts. If it is probable that a significant revenue reversal would not occur, the associated milestone value is included in the transaction price.</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1" w:right="399" w:bottom="1440" w:gutter="0" w:footer="0" w:header="0"/>
        </w:sectPr>
      </w:pPr>
    </w:p>
    <w:bookmarkStart w:id="108" w:name="page109"/>
    <w:bookmarkEnd w:id="108"/>
    <w:p>
      <w:pPr>
        <w:ind w:right="160" w:firstLine="509"/>
        <w:spacing w:after="0" w:line="279" w:lineRule="auto"/>
        <w:rPr>
          <w:sz w:val="20"/>
          <w:szCs w:val="20"/>
          <w:color w:val="auto"/>
        </w:rPr>
      </w:pPr>
      <w:r>
        <w:rPr>
          <w:rFonts w:ascii="Arial" w:cs="Arial" w:eastAsia="Arial" w:hAnsi="Arial"/>
          <w:sz w:val="17"/>
          <w:szCs w:val="17"/>
          <w:i w:val="1"/>
          <w:iCs w:val="1"/>
          <w:color w:val="auto"/>
        </w:rPr>
        <w:t xml:space="preserve">Sales-based milestones and royalties: </w:t>
      </w:r>
      <w:r>
        <w:rPr>
          <w:rFonts w:ascii="Arial" w:cs="Arial" w:eastAsia="Arial" w:hAnsi="Arial"/>
          <w:sz w:val="17"/>
          <w:szCs w:val="17"/>
          <w:color w:val="auto"/>
        </w:rPr>
        <w:t>For arrangements that include sales-based milestone or royalty payments based on the level of sales, and 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license is deemed to be the predominant item to which the sales-based milestone or royalties relate to, the Company recognizes revenue in the period in which the sales-based milestone is achieved and in the period in which the sales associated with the royalty occur. To date, the Company has not recognized any sales-based milestone or royalty revenue resulting from its collaboration arrangements.</w:t>
      </w:r>
    </w:p>
    <w:p>
      <w:pPr>
        <w:spacing w:after="0" w:line="171" w:lineRule="exact"/>
        <w:rPr>
          <w:sz w:val="20"/>
          <w:szCs w:val="20"/>
          <w:color w:val="auto"/>
        </w:rPr>
      </w:pPr>
    </w:p>
    <w:p>
      <w:pPr>
        <w:ind w:right="60" w:firstLine="509"/>
        <w:spacing w:after="0" w:line="279" w:lineRule="auto"/>
        <w:rPr>
          <w:sz w:val="20"/>
          <w:szCs w:val="20"/>
          <w:color w:val="auto"/>
        </w:rPr>
      </w:pPr>
      <w:r>
        <w:rPr>
          <w:rFonts w:ascii="Arial" w:cs="Arial" w:eastAsia="Arial" w:hAnsi="Arial"/>
          <w:sz w:val="17"/>
          <w:szCs w:val="17"/>
          <w:color w:val="auto"/>
        </w:rPr>
        <w:t>Deferred revenue represents amounts received by the Company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performance obligation. The noncurrent portion of deferred revenue represents amounts to be recognized after one year through the end of the performance period of the performance obligation.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expenditures</w:t>
      </w:r>
    </w:p>
    <w:p>
      <w:pPr>
        <w:spacing w:after="0" w:line="117" w:lineRule="exact"/>
        <w:rPr>
          <w:sz w:val="20"/>
          <w:szCs w:val="20"/>
          <w:color w:val="auto"/>
        </w:rPr>
      </w:pPr>
    </w:p>
    <w:p>
      <w:pPr>
        <w:ind w:firstLine="509"/>
        <w:spacing w:after="0" w:line="271" w:lineRule="auto"/>
        <w:rPr>
          <w:sz w:val="20"/>
          <w:szCs w:val="20"/>
          <w:color w:val="auto"/>
        </w:rPr>
      </w:pPr>
      <w:r>
        <w:rPr>
          <w:rFonts w:ascii="Arial" w:cs="Arial" w:eastAsia="Arial" w:hAnsi="Arial"/>
          <w:sz w:val="17"/>
          <w:szCs w:val="17"/>
          <w:color w:val="auto"/>
        </w:rPr>
        <w:t>Research and development expenses consist of costs incurred for the Company’s own and for collaborative research and development activities. Research and development costs are expensed as incurred. Research and development costs consist of salaries and benefits, including associated stock-based compensation, and laboratory supplies and facility costs, as well as fees paid to other entities that conduct certain research and development activities on the Company’s behalf. The Company estimates preclinical studies and clinical trial expenses based on the services performed pursuant to contracts with research institutions, contract research organizations and clinical manufacturing organizations that conduct and manage preclinical studies and clinical trials on the Company’s behalf based on actual time and expenses incurred by them. Further, the Company accrues expenses related to clinical trials based on the level of patient activity according to the related agreement. The Company monitors patient enrollment levels and related activity to the extent reasonably possible and adjusts estimates accordingly.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The Company measures its stock-based awards granted to employees and directors based on the estimated fair values of the awards and recognizes the compensation on a straight-line basis over the requisite service period. The fair value of options issued under the employee stock purchase plan is calculated using the Black-Scholes option-pricing model. Restricted stock units are valued based on the closing price of the Company’s common stock on the date of grant.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years ended December 31, 2022, 2021 and 2020, other comprehensive loss includes net unrealized gains or losses on marketable securities.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20" w:firstLine="509"/>
        <w:spacing w:after="0" w:line="255" w:lineRule="auto"/>
        <w:rPr>
          <w:sz w:val="20"/>
          <w:szCs w:val="20"/>
          <w:color w:val="auto"/>
        </w:rPr>
      </w:pPr>
      <w:r>
        <w:rPr>
          <w:rFonts w:ascii="Arial" w:cs="Arial" w:eastAsia="Arial" w:hAnsi="Arial"/>
          <w:sz w:val="18"/>
          <w:szCs w:val="18"/>
          <w:color w:val="auto"/>
        </w:rPr>
        <w:t>Income taxes are accounted for under the asset and liability method. Under this method, deferred tax assets and liabilities are determined based on the difference between the financial statement and tax bases of assets and liabilities using enacted tax rates in effect for the year in which the differences are expected to affect taxable income. Management makes an assessment of the likelihood that the resulting deferred tax assets will be realized. A valuation allowance is provided when it is more likely than not that some portion or all of a deferred tax asset will not be realized. Due to the Company’s historical operating performance and the recorded cumulative net losses in prior fiscal periods, the net deferred tax assets have been fully offset by a valuation allowance.</w:t>
      </w:r>
    </w:p>
    <w:p>
      <w:pPr>
        <w:spacing w:after="0" w:line="192"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The Company recognizes uncertain income tax positions at the largest amount that is more likely than not to be sustained upon audit by the relevant taxing authority. An uncertain income tax position will not be recognized if it has less than a 50% likelihood of being sustained. Changes in recognition or measurement are reflected in the period in which judgment occurs. The Company’s policy is to recognize interest and penalties related to the underpayment of income taxes as a component of interest expense.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17" w:lineRule="exact"/>
        <w:rPr>
          <w:sz w:val="20"/>
          <w:szCs w:val="20"/>
          <w:color w:val="auto"/>
        </w:rPr>
      </w:pPr>
    </w:p>
    <w:p>
      <w:pPr>
        <w:ind w:firstLine="509"/>
        <w:spacing w:after="0" w:line="287"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redeemable convertible preferred stock, stock options, common stock subject to repurchase related to unvested restricted stock awards and early exercise of stock options are considered to be potentially dilutive securities. Basic and diluted net loss attributable to common stockholders per share is presented in conformity with the two-class method required for participating securities as the redeemable convertible preferred stock is considered a participating security because it participates in dividends with common stock. The Company also considers the shares issued upon the early exercise of stock options subject to repurchase to be participating securities because holders of such shares have non-forfeitable dividend rights in the event a dividend is paid on common stock. The holders of all series of redeemable convertible preferred stock and the holders of early exercised shares subject to repurchase do not have a contractual obligation to share in the Company’s losses. As such, the net loss was attributed entirely to common stockholders. Because the Company has reported a net loss for all periods presented, diluted net loss per share is the same as basic net loss per share for those periods.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right="120" w:firstLine="509"/>
        <w:spacing w:after="0" w:line="255" w:lineRule="auto"/>
        <w:rPr>
          <w:sz w:val="20"/>
          <w:szCs w:val="20"/>
          <w:color w:val="auto"/>
        </w:rPr>
      </w:pPr>
      <w:r>
        <w:rPr>
          <w:rFonts w:ascii="Arial" w:cs="Arial" w:eastAsia="Arial" w:hAnsi="Arial"/>
          <w:sz w:val="18"/>
          <w:szCs w:val="18"/>
          <w:color w:val="auto"/>
        </w:rPr>
        <w:t>The Company capitalizes certain legal, accounting and other third-party fees that are directly associated with in-process equity financings as deferred offering costs until such financings are consummated. After consummation of the equity financing, these costs are recorded in stockholders’ deficit (equity) as a reduction of additional paid-in capital generated as a result of the equity financing. Should an in-process equity financing be abandoned, the deferred offering costs will be expensed immediately as a charge to operating expenses in the consolidated statements of operations. As of December 31, 2022 and 2021, $0.6 million and $0.5 million of deferred offering costs, respectively, were capitalized in other noncurrent assets on the consolidated balance sheets.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17" w:lineRule="exact"/>
        <w:rPr>
          <w:sz w:val="20"/>
          <w:szCs w:val="20"/>
          <w:color w:val="auto"/>
        </w:rPr>
      </w:pPr>
    </w:p>
    <w:p>
      <w:pPr>
        <w:jc w:val="both"/>
        <w:ind w:right="140" w:firstLine="509"/>
        <w:spacing w:after="0" w:line="263" w:lineRule="auto"/>
        <w:rPr>
          <w:sz w:val="20"/>
          <w:szCs w:val="20"/>
          <w:color w:val="auto"/>
        </w:rPr>
      </w:pPr>
      <w:r>
        <w:rPr>
          <w:rFonts w:ascii="Arial" w:cs="Arial" w:eastAsia="Arial" w:hAnsi="Arial"/>
          <w:sz w:val="18"/>
          <w:szCs w:val="18"/>
          <w:color w:val="auto"/>
        </w:rPr>
        <w:t>The Company has one operating and reportable segment. The Company’s chief operating decision maker, its Chief Executive Officer, manages the Company’s operations on a consolidated basis for the purposes of allocating resources and evaluating financial performance. All of the Company’s long-lived assets are located in the United States.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401(k) retirement plans</w:t>
      </w:r>
    </w:p>
    <w:p>
      <w:pPr>
        <w:spacing w:after="0" w:line="117" w:lineRule="exact"/>
        <w:rPr>
          <w:sz w:val="20"/>
          <w:szCs w:val="20"/>
          <w:color w:val="auto"/>
        </w:rPr>
      </w:pPr>
    </w:p>
    <w:p>
      <w:pPr>
        <w:ind w:right="60" w:firstLine="509"/>
        <w:spacing w:after="0" w:line="286" w:lineRule="auto"/>
        <w:rPr>
          <w:sz w:val="20"/>
          <w:szCs w:val="20"/>
          <w:color w:val="auto"/>
        </w:rPr>
      </w:pPr>
      <w:r>
        <w:rPr>
          <w:rFonts w:ascii="Arial" w:cs="Arial" w:eastAsia="Arial" w:hAnsi="Arial"/>
          <w:sz w:val="17"/>
          <w:szCs w:val="17"/>
          <w:color w:val="auto"/>
        </w:rPr>
        <w:t>The Company maintains a 401(k) retirement plan for its employees. The Company is responsible for administrative costs of the 401(k) plan. The Company may, at its discretion, make matching or profit-sharing contributions to the 401(k) plan. For the years ended December 31, 2022, 2021 and 2020, the Company made $1.3 million, $0.9 million and $0.2 million matching contributions, respectively, under the plan.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From time to time, new accounting pronouncements are issued by the FASB, under its ASC or other standard setting bodies, and adopted by the Company as of the specified effective date, unless otherwise discussed below.</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firstLine="509"/>
        <w:spacing w:after="0" w:line="273" w:lineRule="auto"/>
        <w:rPr>
          <w:sz w:val="20"/>
          <w:szCs w:val="20"/>
          <w:color w:val="auto"/>
        </w:rPr>
      </w:pPr>
      <w:r>
        <w:rPr>
          <w:rFonts w:ascii="Arial" w:cs="Arial" w:eastAsia="Arial" w:hAnsi="Arial"/>
          <w:sz w:val="17"/>
          <w:szCs w:val="17"/>
          <w:color w:val="auto"/>
        </w:rPr>
        <w:t>In October 2020, the FASB issued ASU 2020-08, Codification Improvements to Subtopic 310-20, Receivables-Nonrefundable Fees and Other Costs (ASU 2020-08). ASU 2020-08 clarifies that an entity should reevaluate whether a callable debt security is within the scope of ASC paragraph 310-20-35-33 for each reporting period. The guidance is effective for public business entities for fiscal years, and interim periods within those fiscal years, beginning after December 15, 2021. Early application is not permitted. All entities should apply ASU 2020-08 on a prospective basis as of the beginning of the period of adoption for existing or newly purchased callable debt securities. The Company adopted the standard for the fiscal year beginning on January 1, 2022 and concluded that adoption of the standard did not have a material impact on its consolidated financial statements.</w:t>
      </w:r>
    </w:p>
    <w:p>
      <w:pPr>
        <w:spacing w:after="0" w:line="178" w:lineRule="exact"/>
        <w:rPr>
          <w:sz w:val="20"/>
          <w:szCs w:val="20"/>
          <w:color w:val="auto"/>
        </w:rPr>
      </w:pPr>
    </w:p>
    <w:p>
      <w:pPr>
        <w:ind w:right="340" w:firstLine="509"/>
        <w:spacing w:after="0" w:line="263" w:lineRule="auto"/>
        <w:rPr>
          <w:sz w:val="20"/>
          <w:szCs w:val="20"/>
          <w:color w:val="auto"/>
        </w:rPr>
      </w:pPr>
      <w:r>
        <w:rPr>
          <w:rFonts w:ascii="Arial" w:cs="Arial" w:eastAsia="Arial" w:hAnsi="Arial"/>
          <w:sz w:val="18"/>
          <w:szCs w:val="18"/>
          <w:color w:val="auto"/>
        </w:rPr>
        <w:t>In October 2020, FASB issued ASU 2020-10, Codification Improvements (ASU 2020-10). ASU 2020-10 updates various codification topics by clarifying or improving disclosure requirements to align with the SEC’s regulations. The amendments are effective for the Company for fiscal years beginning after December 15, 2021, including interim period within those fiscal years. Early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10" w:name="page111"/>
    <w:bookmarkEnd w:id="110"/>
    <w:p>
      <w:pPr>
        <w:ind w:right="220"/>
        <w:spacing w:after="0" w:line="277" w:lineRule="auto"/>
        <w:rPr>
          <w:sz w:val="20"/>
          <w:szCs w:val="20"/>
          <w:color w:val="auto"/>
        </w:rPr>
      </w:pPr>
      <w:r>
        <w:rPr>
          <w:rFonts w:ascii="Arial" w:cs="Arial" w:eastAsia="Arial" w:hAnsi="Arial"/>
          <w:sz w:val="18"/>
          <w:szCs w:val="18"/>
          <w:color w:val="auto"/>
        </w:rPr>
        <w:t>adoption is permitted. Adoption shall be applied retrospectively. The Company adopted the standard for the fiscal year beginning on January 1, 2022 and concluded that adoption of the standard did not have a material impact on its consolidated financial statements.</w:t>
      </w:r>
    </w:p>
    <w:p>
      <w:pPr>
        <w:spacing w:after="0" w:line="274" w:lineRule="exact"/>
        <w:rPr>
          <w:sz w:val="20"/>
          <w:szCs w:val="20"/>
          <w:color w:val="auto"/>
        </w:rPr>
      </w:pPr>
    </w:p>
    <w:p>
      <w:pPr>
        <w:ind w:left="520" w:hanging="512"/>
        <w:spacing w:after="0"/>
        <w:tabs>
          <w:tab w:leader="none" w:pos="5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The following table presents information about the Company’s financial assets that are measured at fair value and indicates the fair value hierarchy of the valuation:</w:t>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December 31, 2022</w:t>
            </w: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169"/>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97"/>
              <w:spacing w:after="0"/>
              <w:rPr>
                <w:sz w:val="20"/>
                <w:szCs w:val="20"/>
                <w:color w:val="auto"/>
              </w:rPr>
            </w:pPr>
            <w:r>
              <w:rPr>
                <w:rFonts w:ascii="Arial" w:cs="Arial" w:eastAsia="Arial" w:hAnsi="Arial"/>
                <w:sz w:val="14"/>
                <w:szCs w:val="14"/>
                <w:b w:val="1"/>
                <w:bCs w:val="1"/>
                <w:color w:val="auto"/>
              </w:rPr>
              <w:t>(in</w:t>
            </w:r>
          </w:p>
        </w:tc>
        <w:tc>
          <w:tcPr>
            <w:tcW w:w="1220" w:type="dxa"/>
            <w:vAlign w:val="bottom"/>
            <w:gridSpan w:val="3"/>
          </w:tcPr>
          <w:p>
            <w:pPr>
              <w:jc w:val="center"/>
              <w:ind w:right="613"/>
              <w:spacing w:after="0"/>
              <w:rPr>
                <w:sz w:val="20"/>
                <w:szCs w:val="20"/>
                <w:color w:val="auto"/>
              </w:rPr>
            </w:pPr>
            <w:r>
              <w:rPr>
                <w:rFonts w:ascii="Arial" w:cs="Arial" w:eastAsia="Arial" w:hAnsi="Arial"/>
                <w:sz w:val="13"/>
                <w:szCs w:val="13"/>
                <w:b w:val="1"/>
                <w:bCs w:val="1"/>
                <w:color w:val="auto"/>
                <w:w w:val="74"/>
              </w:rPr>
              <w:t>thousands)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220" w:type="dxa"/>
            <w:vAlign w:val="bottom"/>
          </w:tcPr>
          <w:p>
            <w:pPr>
              <w:ind w:left="180"/>
              <w:spacing w:after="0" w:line="24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4"/>
                <w:szCs w:val="24"/>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48,522</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48,522</w:t>
            </w:r>
          </w:p>
        </w:tc>
        <w:tc>
          <w:tcPr>
            <w:tcW w:w="400" w:type="dxa"/>
            <w:vAlign w:val="bottom"/>
            <w:gridSpan w:val="2"/>
          </w:tcPr>
          <w:p>
            <w:pPr>
              <w:jc w:val="center"/>
              <w:ind w:left="59"/>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43"/>
        </w:trPr>
        <w:tc>
          <w:tcPr>
            <w:tcW w:w="5220" w:type="dxa"/>
            <w:vAlign w:val="bottom"/>
            <w:shd w:val="clear" w:color="auto" w:fill="CFF0FC"/>
          </w:tcPr>
          <w:p>
            <w:pPr>
              <w:ind w:left="180"/>
              <w:spacing w:after="0" w:line="243" w:lineRule="exact"/>
              <w:rPr>
                <w:sz w:val="20"/>
                <w:szCs w:val="20"/>
                <w:color w:val="auto"/>
              </w:rPr>
            </w:pPr>
            <w:r>
              <w:rPr>
                <w:rFonts w:ascii="Arial" w:cs="Arial" w:eastAsia="Arial" w:hAnsi="Arial"/>
                <w:sz w:val="18"/>
                <w:szCs w:val="18"/>
                <w:color w:val="auto"/>
              </w:rPr>
              <w:t>Commercial paper</w:t>
            </w:r>
            <w:r>
              <w:rPr>
                <w:rFonts w:ascii="Arial" w:cs="Arial" w:eastAsia="Arial" w:hAnsi="Arial"/>
                <w:sz w:val="24"/>
                <w:szCs w:val="24"/>
                <w:color w:val="auto"/>
                <w:vertAlign w:val="superscript"/>
              </w:rPr>
              <w:t>(1, 2)</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313,928</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313,928</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43"/>
        </w:trPr>
        <w:tc>
          <w:tcPr>
            <w:tcW w:w="5220" w:type="dxa"/>
            <w:vAlign w:val="bottom"/>
          </w:tcPr>
          <w:p>
            <w:pPr>
              <w:ind w:left="180"/>
              <w:spacing w:after="0" w:line="243" w:lineRule="exact"/>
              <w:rPr>
                <w:sz w:val="20"/>
                <w:szCs w:val="20"/>
                <w:color w:val="auto"/>
              </w:rPr>
            </w:pPr>
            <w:r>
              <w:rPr>
                <w:rFonts w:ascii="Arial" w:cs="Arial" w:eastAsia="Arial" w:hAnsi="Arial"/>
                <w:sz w:val="18"/>
                <w:szCs w:val="18"/>
                <w:color w:val="auto"/>
              </w:rPr>
              <w:t>U.S. and Canadian government and agency securities</w:t>
            </w:r>
            <w:r>
              <w:rPr>
                <w:rFonts w:ascii="Arial" w:cs="Arial" w:eastAsia="Arial" w:hAnsi="Arial"/>
                <w:sz w:val="24"/>
                <w:szCs w:val="24"/>
                <w:color w:val="auto"/>
                <w:vertAlign w:val="superscript"/>
              </w:rPr>
              <w:t>(2)</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251,830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251,830</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43"/>
        </w:trPr>
        <w:tc>
          <w:tcPr>
            <w:tcW w:w="5220" w:type="dxa"/>
            <w:vAlign w:val="bottom"/>
            <w:tcBorders>
              <w:bottom w:val="single" w:sz="8" w:color="CFF0FC"/>
            </w:tcBorders>
            <w:shd w:val="clear" w:color="auto" w:fill="CFF0FC"/>
          </w:tcPr>
          <w:p>
            <w:pPr>
              <w:ind w:left="180"/>
              <w:spacing w:after="0" w:line="243" w:lineRule="exact"/>
              <w:rPr>
                <w:sz w:val="20"/>
                <w:szCs w:val="20"/>
                <w:color w:val="auto"/>
              </w:rPr>
            </w:pPr>
            <w:r>
              <w:rPr>
                <w:rFonts w:ascii="Arial" w:cs="Arial" w:eastAsia="Arial" w:hAnsi="Arial"/>
                <w:sz w:val="18"/>
                <w:szCs w:val="18"/>
                <w:color w:val="auto"/>
              </w:rPr>
              <w:t>Corporate bonds</w:t>
            </w:r>
            <w:r>
              <w:rPr>
                <w:rFonts w:ascii="Arial" w:cs="Arial" w:eastAsia="Arial" w:hAnsi="Arial"/>
                <w:sz w:val="24"/>
                <w:szCs w:val="24"/>
                <w:color w:val="auto"/>
                <w:vertAlign w:val="superscript"/>
              </w:rPr>
              <w:t>(1, 2)</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31,405</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31,405</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645,685</w:t>
            </w:r>
          </w:p>
        </w:tc>
        <w:tc>
          <w:tcPr>
            <w:tcW w:w="24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48,522</w:t>
            </w:r>
          </w:p>
        </w:tc>
        <w:tc>
          <w:tcPr>
            <w:tcW w:w="220" w:type="dxa"/>
            <w:vAlign w:val="bottom"/>
          </w:tcPr>
          <w:p>
            <w:pPr>
              <w:spacing w:after="0"/>
              <w:rPr>
                <w:sz w:val="20"/>
                <w:szCs w:val="20"/>
                <w:color w:val="auto"/>
              </w:rPr>
            </w:pPr>
          </w:p>
        </w:tc>
        <w:tc>
          <w:tcPr>
            <w:tcW w:w="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597,163</w:t>
            </w:r>
          </w:p>
        </w:tc>
        <w:tc>
          <w:tcPr>
            <w:tcW w:w="2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48"/>
        </w:trPr>
        <w:tc>
          <w:tcPr>
            <w:tcW w:w="5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4"/>
                <w:szCs w:val="14"/>
                <w:color w:val="auto"/>
              </w:rPr>
            </w:pPr>
          </w:p>
        </w:tc>
      </w:tr>
      <w:tr>
        <w:trPr>
          <w:trHeight w:val="169"/>
        </w:trPr>
        <w:tc>
          <w:tcPr>
            <w:tcW w:w="5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97"/>
              <w:spacing w:after="0"/>
              <w:rPr>
                <w:sz w:val="20"/>
                <w:szCs w:val="20"/>
                <w:color w:val="auto"/>
              </w:rPr>
            </w:pPr>
            <w:r>
              <w:rPr>
                <w:rFonts w:ascii="Arial" w:cs="Arial" w:eastAsia="Arial" w:hAnsi="Arial"/>
                <w:sz w:val="14"/>
                <w:szCs w:val="14"/>
                <w:b w:val="1"/>
                <w:bCs w:val="1"/>
                <w:color w:val="auto"/>
              </w:rPr>
              <w:t>(in</w:t>
            </w:r>
          </w:p>
        </w:tc>
        <w:tc>
          <w:tcPr>
            <w:tcW w:w="1220" w:type="dxa"/>
            <w:vAlign w:val="bottom"/>
            <w:gridSpan w:val="3"/>
          </w:tcPr>
          <w:p>
            <w:pPr>
              <w:jc w:val="center"/>
              <w:ind w:right="613"/>
              <w:spacing w:after="0"/>
              <w:rPr>
                <w:sz w:val="20"/>
                <w:szCs w:val="20"/>
                <w:color w:val="auto"/>
              </w:rPr>
            </w:pPr>
            <w:r>
              <w:rPr>
                <w:rFonts w:ascii="Arial" w:cs="Arial" w:eastAsia="Arial" w:hAnsi="Arial"/>
                <w:sz w:val="13"/>
                <w:szCs w:val="13"/>
                <w:b w:val="1"/>
                <w:bCs w:val="1"/>
                <w:color w:val="auto"/>
                <w:w w:val="74"/>
              </w:rPr>
              <w:t>thousands)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5220" w:type="dxa"/>
            <w:vAlign w:val="bottom"/>
            <w:shd w:val="clear" w:color="auto" w:fill="CFF0FC"/>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5220" w:type="dxa"/>
            <w:vAlign w:val="bottom"/>
          </w:tcPr>
          <w:p>
            <w:pPr>
              <w:ind w:left="180"/>
              <w:spacing w:after="0" w:line="243" w:lineRule="exact"/>
              <w:rPr>
                <w:sz w:val="20"/>
                <w:szCs w:val="20"/>
                <w:color w:val="auto"/>
              </w:rPr>
            </w:pPr>
            <w:r>
              <w:rPr>
                <w:rFonts w:ascii="Arial" w:cs="Arial" w:eastAsia="Arial" w:hAnsi="Arial"/>
                <w:sz w:val="18"/>
                <w:szCs w:val="18"/>
                <w:color w:val="auto"/>
              </w:rPr>
              <w:t>Money market funds</w:t>
            </w:r>
            <w:r>
              <w:rPr>
                <w:rFonts w:ascii="Arial" w:cs="Arial" w:eastAsia="Arial" w:hAnsi="Arial"/>
                <w:sz w:val="24"/>
                <w:szCs w:val="24"/>
                <w:color w:val="auto"/>
                <w:vertAlign w:val="superscript"/>
              </w:rPr>
              <w:t>(1)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57,134</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57,134</w:t>
            </w:r>
          </w:p>
        </w:tc>
        <w:tc>
          <w:tcPr>
            <w:tcW w:w="400" w:type="dxa"/>
            <w:vAlign w:val="bottom"/>
            <w:gridSpan w:val="2"/>
          </w:tcPr>
          <w:p>
            <w:pPr>
              <w:jc w:val="center"/>
              <w:ind w:left="59"/>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43"/>
        </w:trPr>
        <w:tc>
          <w:tcPr>
            <w:tcW w:w="5220" w:type="dxa"/>
            <w:vAlign w:val="bottom"/>
            <w:shd w:val="clear" w:color="auto" w:fill="CFF0FC"/>
          </w:tcPr>
          <w:p>
            <w:pPr>
              <w:ind w:left="180"/>
              <w:spacing w:after="0" w:line="243" w:lineRule="exact"/>
              <w:rPr>
                <w:sz w:val="20"/>
                <w:szCs w:val="20"/>
                <w:color w:val="auto"/>
              </w:rPr>
            </w:pPr>
            <w:r>
              <w:rPr>
                <w:rFonts w:ascii="Arial" w:cs="Arial" w:eastAsia="Arial" w:hAnsi="Arial"/>
                <w:sz w:val="18"/>
                <w:szCs w:val="18"/>
                <w:color w:val="auto"/>
              </w:rPr>
              <w:t>Commercial paper</w:t>
            </w:r>
            <w:r>
              <w:rPr>
                <w:rFonts w:ascii="Arial" w:cs="Arial" w:eastAsia="Arial" w:hAnsi="Arial"/>
                <w:sz w:val="24"/>
                <w:szCs w:val="24"/>
                <w:color w:val="auto"/>
                <w:vertAlign w:val="superscript"/>
              </w:rPr>
              <w:t>(1, 2)</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291,369</w:t>
            </w: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291,369</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21"/>
                <w:szCs w:val="21"/>
                <w:color w:val="auto"/>
              </w:rPr>
            </w:pPr>
          </w:p>
        </w:tc>
      </w:tr>
      <w:tr>
        <w:trPr>
          <w:trHeight w:val="243"/>
        </w:trPr>
        <w:tc>
          <w:tcPr>
            <w:tcW w:w="5220" w:type="dxa"/>
            <w:vAlign w:val="bottom"/>
          </w:tcPr>
          <w:p>
            <w:pPr>
              <w:ind w:left="180"/>
              <w:spacing w:after="0" w:line="243" w:lineRule="exact"/>
              <w:rPr>
                <w:sz w:val="20"/>
                <w:szCs w:val="20"/>
                <w:color w:val="auto"/>
              </w:rPr>
            </w:pPr>
            <w:r>
              <w:rPr>
                <w:rFonts w:ascii="Arial" w:cs="Arial" w:eastAsia="Arial" w:hAnsi="Arial"/>
                <w:sz w:val="18"/>
                <w:szCs w:val="18"/>
                <w:color w:val="auto"/>
              </w:rPr>
              <w:t>U.S. and Canadian government and agency securities</w:t>
            </w:r>
            <w:r>
              <w:rPr>
                <w:rFonts w:ascii="Arial" w:cs="Arial" w:eastAsia="Arial" w:hAnsi="Arial"/>
                <w:sz w:val="24"/>
                <w:szCs w:val="24"/>
                <w:color w:val="auto"/>
                <w:vertAlign w:val="superscript"/>
              </w:rPr>
              <w:t>(2)</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87,745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87,745</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r>
      <w:tr>
        <w:trPr>
          <w:trHeight w:val="243"/>
        </w:trPr>
        <w:tc>
          <w:tcPr>
            <w:tcW w:w="5220" w:type="dxa"/>
            <w:vAlign w:val="bottom"/>
            <w:tcBorders>
              <w:bottom w:val="single" w:sz="8" w:color="CFF0FC"/>
            </w:tcBorders>
            <w:shd w:val="clear" w:color="auto" w:fill="CFF0FC"/>
          </w:tcPr>
          <w:p>
            <w:pPr>
              <w:ind w:left="180"/>
              <w:spacing w:after="0" w:line="243" w:lineRule="exact"/>
              <w:rPr>
                <w:sz w:val="20"/>
                <w:szCs w:val="20"/>
                <w:color w:val="auto"/>
              </w:rPr>
            </w:pPr>
            <w:r>
              <w:rPr>
                <w:rFonts w:ascii="Arial" w:cs="Arial" w:eastAsia="Arial" w:hAnsi="Arial"/>
                <w:sz w:val="18"/>
                <w:szCs w:val="18"/>
                <w:color w:val="auto"/>
              </w:rPr>
              <w:t>Corporate bonds</w:t>
            </w:r>
            <w:r>
              <w:rPr>
                <w:rFonts w:ascii="Arial" w:cs="Arial" w:eastAsia="Arial" w:hAnsi="Arial"/>
                <w:sz w:val="24"/>
                <w:szCs w:val="24"/>
                <w:color w:val="auto"/>
                <w:vertAlign w:val="superscript"/>
              </w:rPr>
              <w:t>(2)</w:t>
            </w:r>
          </w:p>
        </w:tc>
        <w:tc>
          <w:tcPr>
            <w:tcW w:w="2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141,698</w:t>
            </w:r>
          </w:p>
        </w:tc>
        <w:tc>
          <w:tcPr>
            <w:tcW w:w="2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141,698</w:t>
            </w:r>
          </w:p>
        </w:tc>
        <w:tc>
          <w:tcPr>
            <w:tcW w:w="2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577,946</w:t>
            </w:r>
          </w:p>
        </w:tc>
        <w:tc>
          <w:tcPr>
            <w:tcW w:w="4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57,134</w:t>
            </w:r>
          </w:p>
        </w:tc>
        <w:tc>
          <w:tcPr>
            <w:tcW w:w="400" w:type="dxa"/>
            <w:vAlign w:val="bottom"/>
            <w:gridSpan w:val="2"/>
          </w:tcPr>
          <w:p>
            <w:pPr>
              <w:jc w:val="center"/>
              <w:ind w:left="59"/>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520,812</w:t>
            </w:r>
          </w:p>
        </w:tc>
        <w:tc>
          <w:tcPr>
            <w:tcW w:w="4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Pr>
          <w:p>
            <w:pPr>
              <w:ind w:left="6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r>
      <w:tr>
        <w:trPr>
          <w:trHeight w:val="20"/>
        </w:trPr>
        <w:tc>
          <w:tcPr>
            <w:tcW w:w="5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-1807845</wp:posOffset>
            </wp:positionV>
            <wp:extent cx="68580" cy="4972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49720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-1807845</wp:posOffset>
            </wp:positionV>
            <wp:extent cx="60325" cy="49720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4972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-1807845</wp:posOffset>
            </wp:positionV>
            <wp:extent cx="60325" cy="4972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49720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-1807845</wp:posOffset>
            </wp:positionV>
            <wp:extent cx="60325" cy="8489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4899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-187960</wp:posOffset>
            </wp:positionV>
            <wp:extent cx="68580" cy="18859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18859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-187960</wp:posOffset>
            </wp:positionV>
            <wp:extent cx="60325" cy="188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-187960</wp:posOffset>
            </wp:positionV>
            <wp:extent cx="60325" cy="18859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1885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18859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188595"/>
                    </a:xfrm>
                    <a:prstGeom prst="rect">
                      <a:avLst/>
                    </a:prstGeom>
                    <a:noFill/>
                  </pic:spPr>
                </pic:pic>
              </a:graphicData>
            </a:graphic>
          </wp:anchor>
        </w:drawing>
      </w:r>
    </w:p>
    <w:p>
      <w:pPr>
        <w:spacing w:after="0" w:line="91" w:lineRule="exact"/>
        <w:rPr>
          <w:sz w:val="20"/>
          <w:szCs w:val="20"/>
          <w:color w:val="auto"/>
        </w:rPr>
      </w:pPr>
    </w:p>
    <w:p>
      <w:pPr>
        <w:ind w:left="1020" w:hanging="503"/>
        <w:spacing w:after="0"/>
        <w:tabs>
          <w:tab w:leader="none" w:pos="1020" w:val="left"/>
        </w:tabs>
        <w:numPr>
          <w:ilvl w:val="0"/>
          <w:numId w:val="67"/>
        </w:numPr>
        <w:rPr>
          <w:rFonts w:ascii="Arial" w:cs="Arial" w:eastAsia="Arial" w:hAnsi="Arial"/>
          <w:sz w:val="13"/>
          <w:szCs w:val="13"/>
          <w:color w:val="auto"/>
        </w:rPr>
      </w:pPr>
      <w:r>
        <w:rPr>
          <w:rFonts w:ascii="Arial" w:cs="Arial" w:eastAsia="Arial" w:hAnsi="Arial"/>
          <w:sz w:val="13"/>
          <w:szCs w:val="13"/>
          <w:color w:val="auto"/>
        </w:rPr>
        <w:t>Included in cash and cash equivalents on the consolidated balance sheets.</w:t>
      </w:r>
    </w:p>
    <w:p>
      <w:pPr>
        <w:spacing w:after="0" w:line="11" w:lineRule="exact"/>
        <w:rPr>
          <w:rFonts w:ascii="Arial" w:cs="Arial" w:eastAsia="Arial" w:hAnsi="Arial"/>
          <w:sz w:val="13"/>
          <w:szCs w:val="13"/>
          <w:color w:val="auto"/>
        </w:rPr>
      </w:pPr>
    </w:p>
    <w:p>
      <w:pPr>
        <w:ind w:left="1020" w:hanging="503"/>
        <w:spacing w:after="0"/>
        <w:tabs>
          <w:tab w:leader="none" w:pos="1020" w:val="left"/>
        </w:tabs>
        <w:numPr>
          <w:ilvl w:val="0"/>
          <w:numId w:val="67"/>
        </w:numPr>
        <w:rPr>
          <w:rFonts w:ascii="Arial" w:cs="Arial" w:eastAsia="Arial" w:hAnsi="Arial"/>
          <w:sz w:val="13"/>
          <w:szCs w:val="13"/>
          <w:color w:val="auto"/>
        </w:rPr>
      </w:pPr>
      <w:r>
        <w:rPr>
          <w:rFonts w:ascii="Arial" w:cs="Arial" w:eastAsia="Arial" w:hAnsi="Arial"/>
          <w:sz w:val="13"/>
          <w:szCs w:val="13"/>
          <w:color w:val="auto"/>
        </w:rPr>
        <w:t>Included in marketable securities on the consolidated balance sheets.</w:t>
      </w:r>
    </w:p>
    <w:p>
      <w:pPr>
        <w:spacing w:after="0" w:line="199" w:lineRule="exact"/>
        <w:rPr>
          <w:sz w:val="20"/>
          <w:szCs w:val="20"/>
          <w:color w:val="auto"/>
        </w:rPr>
      </w:pPr>
    </w:p>
    <w:p>
      <w:pPr>
        <w:jc w:val="both"/>
        <w:ind w:right="40" w:firstLine="509"/>
        <w:spacing w:after="0" w:line="263" w:lineRule="auto"/>
        <w:rPr>
          <w:sz w:val="20"/>
          <w:szCs w:val="20"/>
          <w:color w:val="auto"/>
        </w:rPr>
      </w:pPr>
      <w:r>
        <w:rPr>
          <w:rFonts w:ascii="Arial" w:cs="Arial" w:eastAsia="Arial" w:hAnsi="Arial"/>
          <w:sz w:val="18"/>
          <w:szCs w:val="18"/>
          <w:color w:val="auto"/>
        </w:rPr>
        <w:t>Money market funds are measured at fair value on a recurring basis using quoted prices. U.S. and Canadian government debt securities, government agency bonds, commercial paper and corporate bonds are measured at fair value, which is derived from independent pricing sources based on quoted prices in active markets for similar securities.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transfers between Levels 1, 2 or 3 for any of the periods presented.</w:t>
      </w:r>
    </w:p>
    <w:p>
      <w:pPr>
        <w:spacing w:after="0" w:line="329"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securities</w:t>
      </w:r>
    </w:p>
    <w:p>
      <w:pPr>
        <w:spacing w:after="0" w:line="121" w:lineRule="exact"/>
        <w:rPr>
          <w:sz w:val="20"/>
          <w:szCs w:val="20"/>
          <w:color w:val="auto"/>
        </w:rPr>
      </w:pPr>
    </w:p>
    <w:p>
      <w:pPr>
        <w:ind w:right="240" w:firstLine="509"/>
        <w:spacing w:after="0" w:line="277" w:lineRule="auto"/>
        <w:rPr>
          <w:sz w:val="20"/>
          <w:szCs w:val="20"/>
          <w:color w:val="auto"/>
        </w:rPr>
      </w:pPr>
      <w:r>
        <w:rPr>
          <w:rFonts w:ascii="Arial" w:cs="Arial" w:eastAsia="Arial" w:hAnsi="Arial"/>
          <w:sz w:val="18"/>
          <w:szCs w:val="18"/>
          <w:color w:val="auto"/>
        </w:rPr>
        <w:t>The following tables summarize the estimated value of the Company’s available-for-sale marketable securities and cash equivalents and the gross unrealized gains and losses: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right"/>
              <w:ind w:right="441"/>
              <w:spacing w:after="0"/>
              <w:rPr>
                <w:sz w:val="20"/>
                <w:szCs w:val="20"/>
                <w:color w:val="auto"/>
              </w:rPr>
            </w:pPr>
            <w:r>
              <w:rPr>
                <w:rFonts w:ascii="Arial" w:cs="Arial" w:eastAsia="Arial" w:hAnsi="Arial"/>
                <w:sz w:val="14"/>
                <w:szCs w:val="14"/>
                <w:b w:val="1"/>
                <w:bCs w:val="1"/>
                <w:color w:val="auto"/>
              </w:rPr>
              <w:t>December 31, 2022</w:t>
            </w:r>
          </w:p>
        </w:tc>
        <w:tc>
          <w:tcPr>
            <w:tcW w:w="2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0"/>
        </w:trPr>
        <w:tc>
          <w:tcPr>
            <w:tcW w:w="58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36"/>
              <w:spacing w:after="0" w:line="160"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221"/>
              <w:spacing w:after="0" w:line="160" w:lineRule="exact"/>
              <w:rPr>
                <w:sz w:val="20"/>
                <w:szCs w:val="20"/>
                <w:color w:val="auto"/>
              </w:rPr>
            </w:pPr>
            <w:r>
              <w:rPr>
                <w:rFonts w:ascii="Arial" w:cs="Arial" w:eastAsia="Arial" w:hAnsi="Arial"/>
                <w:sz w:val="14"/>
                <w:szCs w:val="14"/>
                <w:b w:val="1"/>
                <w:bCs w:val="1"/>
                <w:color w:val="auto"/>
                <w:w w:val="88"/>
              </w:rPr>
              <w:t>Gross</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r>
      <w:tr>
        <w:trPr>
          <w:trHeight w:val="175"/>
        </w:trPr>
        <w:tc>
          <w:tcPr>
            <w:tcW w:w="5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36"/>
              <w:spacing w:after="0"/>
              <w:rPr>
                <w:sz w:val="20"/>
                <w:szCs w:val="20"/>
                <w:color w:val="auto"/>
              </w:rPr>
            </w:pPr>
            <w:r>
              <w:rPr>
                <w:rFonts w:ascii="Arial" w:cs="Arial" w:eastAsia="Arial" w:hAnsi="Arial"/>
                <w:sz w:val="14"/>
                <w:szCs w:val="14"/>
                <w:b w:val="1"/>
                <w:bCs w:val="1"/>
                <w:color w:val="auto"/>
                <w:w w:val="92"/>
              </w:rPr>
              <w:t>unrealized</w:t>
            </w:r>
          </w:p>
        </w:tc>
        <w:tc>
          <w:tcPr>
            <w:tcW w:w="240" w:type="dxa"/>
            <w:vAlign w:val="bottom"/>
          </w:tcPr>
          <w:p>
            <w:pPr>
              <w:spacing w:after="0"/>
              <w:rPr>
                <w:sz w:val="15"/>
                <w:szCs w:val="15"/>
                <w:color w:val="auto"/>
              </w:rPr>
            </w:pPr>
          </w:p>
        </w:tc>
        <w:tc>
          <w:tcPr>
            <w:tcW w:w="980" w:type="dxa"/>
            <w:vAlign w:val="bottom"/>
            <w:gridSpan w:val="3"/>
          </w:tcPr>
          <w:p>
            <w:pPr>
              <w:jc w:val="center"/>
              <w:ind w:right="61"/>
              <w:spacing w:after="0"/>
              <w:rPr>
                <w:sz w:val="20"/>
                <w:szCs w:val="20"/>
                <w:color w:val="auto"/>
              </w:rPr>
            </w:pPr>
            <w:r>
              <w:rPr>
                <w:rFonts w:ascii="Arial" w:cs="Arial" w:eastAsia="Arial" w:hAnsi="Arial"/>
                <w:sz w:val="14"/>
                <w:szCs w:val="14"/>
                <w:b w:val="1"/>
                <w:bCs w:val="1"/>
                <w:color w:val="auto"/>
                <w:w w:val="92"/>
              </w:rPr>
              <w:t>unrealized</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113"/>
              <w:spacing w:after="0"/>
              <w:rPr>
                <w:sz w:val="20"/>
                <w:szCs w:val="20"/>
                <w:color w:val="auto"/>
              </w:rPr>
            </w:pPr>
            <w:r>
              <w:rPr>
                <w:rFonts w:ascii="Arial" w:cs="Arial" w:eastAsia="Arial" w:hAnsi="Arial"/>
                <w:sz w:val="14"/>
                <w:szCs w:val="14"/>
                <w:b w:val="1"/>
                <w:bCs w:val="1"/>
                <w:color w:val="auto"/>
                <w:w w:val="98"/>
              </w:rPr>
              <w:t>Estimated</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85"/>
        </w:trPr>
        <w:tc>
          <w:tcPr>
            <w:tcW w:w="58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90"/>
              </w:rPr>
              <w:t>gain</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78"/>
              </w:rPr>
              <w:t>loss</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69"/>
        </w:trPr>
        <w:tc>
          <w:tcPr>
            <w:tcW w:w="5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56"/>
              <w:spacing w:after="0"/>
              <w:rPr>
                <w:sz w:val="20"/>
                <w:szCs w:val="20"/>
                <w:color w:val="auto"/>
              </w:rPr>
            </w:pPr>
            <w:r>
              <w:rPr>
                <w:rFonts w:ascii="Arial" w:cs="Arial" w:eastAsia="Arial" w:hAnsi="Arial"/>
                <w:sz w:val="14"/>
                <w:szCs w:val="14"/>
                <w:b w:val="1"/>
                <w:bCs w:val="1"/>
                <w:color w:val="auto"/>
              </w:rPr>
              <w:t>(in</w:t>
            </w:r>
          </w:p>
        </w:tc>
        <w:tc>
          <w:tcPr>
            <w:tcW w:w="1080" w:type="dxa"/>
            <w:vAlign w:val="bottom"/>
            <w:gridSpan w:val="3"/>
          </w:tcPr>
          <w:p>
            <w:pPr>
              <w:jc w:val="center"/>
              <w:ind w:right="433"/>
              <w:spacing w:after="0"/>
              <w:rPr>
                <w:sz w:val="20"/>
                <w:szCs w:val="20"/>
                <w:color w:val="auto"/>
              </w:rPr>
            </w:pPr>
            <w:r>
              <w:rPr>
                <w:rFonts w:ascii="Arial" w:cs="Arial" w:eastAsia="Arial" w:hAnsi="Arial"/>
                <w:sz w:val="14"/>
                <w:szCs w:val="14"/>
                <w:b w:val="1"/>
                <w:bCs w:val="1"/>
                <w:color w:val="auto"/>
                <w:w w:val="74"/>
              </w:rPr>
              <w:t>thousands)</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43"/>
        </w:trPr>
        <w:tc>
          <w:tcPr>
            <w:tcW w:w="580" w:type="dxa"/>
            <w:vAlign w:val="bottom"/>
          </w:tcPr>
          <w:p>
            <w:pPr>
              <w:spacing w:after="0"/>
              <w:rPr>
                <w:sz w:val="21"/>
                <w:szCs w:val="21"/>
                <w:color w:val="auto"/>
              </w:rPr>
            </w:pPr>
          </w:p>
        </w:tc>
        <w:tc>
          <w:tcPr>
            <w:tcW w:w="4460" w:type="dxa"/>
            <w:vAlign w:val="bottom"/>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216,765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center"/>
              <w:ind w:left="119"/>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(328 )</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216,437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460" w:type="dxa"/>
            <w:vAlign w:val="bottom"/>
            <w:shd w:val="clear" w:color="auto" w:fill="CFF0FC"/>
          </w:tcPr>
          <w:p>
            <w:pPr>
              <w:ind w:left="180"/>
              <w:spacing w:after="0"/>
              <w:rPr>
                <w:sz w:val="20"/>
                <w:szCs w:val="20"/>
                <w:color w:val="auto"/>
              </w:rPr>
            </w:pPr>
            <w:r>
              <w:rPr>
                <w:rFonts w:ascii="Arial" w:cs="Arial" w:eastAsia="Arial" w:hAnsi="Arial"/>
                <w:sz w:val="18"/>
                <w:szCs w:val="18"/>
                <w:color w:val="auto"/>
                <w:w w:val="98"/>
              </w:rPr>
              <w:t>U.S. and Canadian government and agency securities</w:t>
            </w:r>
          </w:p>
        </w:tc>
        <w:tc>
          <w:tcPr>
            <w:tcW w:w="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236,916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
              <w:spacing w:after="0"/>
              <w:rPr>
                <w:sz w:val="20"/>
                <w:szCs w:val="20"/>
                <w:color w:val="auto"/>
              </w:rPr>
            </w:pPr>
            <w:r>
              <w:rPr>
                <w:rFonts w:ascii="Arial" w:cs="Arial" w:eastAsia="Arial" w:hAnsi="Arial"/>
                <w:sz w:val="18"/>
                <w:szCs w:val="18"/>
                <w:color w:val="auto"/>
              </w:rPr>
              <w:t>(1,270 )</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235,689</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31,599</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(194 )</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31,405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marketable securities</w:t>
            </w:r>
          </w:p>
        </w:tc>
        <w:tc>
          <w:tcPr>
            <w:tcW w:w="7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485,280</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(1,792</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483,531</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Cash equivalents:</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9"/>
        </w:trPr>
        <w:tc>
          <w:tcPr>
            <w:tcW w:w="580" w:type="dxa"/>
            <w:vAlign w:val="bottom"/>
          </w:tcPr>
          <w:p>
            <w:pPr>
              <w:spacing w:after="0"/>
              <w:rPr>
                <w:sz w:val="21"/>
                <w:szCs w:val="21"/>
                <w:color w:val="auto"/>
              </w:rPr>
            </w:pPr>
          </w:p>
        </w:tc>
        <w:tc>
          <w:tcPr>
            <w:tcW w:w="44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7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48,522</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48,522</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7"/>
        </w:trPr>
        <w:tc>
          <w:tcPr>
            <w:tcW w:w="580" w:type="dxa"/>
            <w:vAlign w:val="bottom"/>
          </w:tcPr>
          <w:p>
            <w:pPr>
              <w:spacing w:after="0"/>
              <w:rPr>
                <w:sz w:val="20"/>
                <w:szCs w:val="20"/>
                <w:color w:val="auto"/>
              </w:rPr>
            </w:pPr>
          </w:p>
        </w:tc>
        <w:tc>
          <w:tcPr>
            <w:tcW w:w="4460" w:type="dxa"/>
            <w:vAlign w:val="bottom"/>
          </w:tcPr>
          <w:p>
            <w:pPr>
              <w:ind w:left="180"/>
              <w:spacing w:after="0"/>
              <w:rPr>
                <w:sz w:val="20"/>
                <w:szCs w:val="20"/>
                <w:color w:val="auto"/>
              </w:rPr>
            </w:pPr>
            <w:r>
              <w:rPr>
                <w:rFonts w:ascii="Arial" w:cs="Arial" w:eastAsia="Arial" w:hAnsi="Arial"/>
                <w:sz w:val="18"/>
                <w:szCs w:val="18"/>
                <w:color w:val="auto"/>
              </w:rPr>
              <w:t>Commercial paper</w:t>
            </w: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97,526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(35 )</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97,491</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44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Corporate bonds</w:t>
            </w:r>
          </w:p>
        </w:tc>
        <w:tc>
          <w:tcPr>
            <w:tcW w:w="7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16,137</w:t>
            </w:r>
          </w:p>
        </w:tc>
        <w:tc>
          <w:tcPr>
            <w:tcW w:w="22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16,141</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Total cash equivalents</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162,185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
              <w:spacing w:after="0"/>
              <w:rPr>
                <w:sz w:val="20"/>
                <w:szCs w:val="20"/>
                <w:color w:val="auto"/>
              </w:rPr>
            </w:pPr>
            <w:r>
              <w:rPr>
                <w:rFonts w:ascii="Arial" w:cs="Arial" w:eastAsia="Arial" w:hAnsi="Arial"/>
                <w:sz w:val="18"/>
                <w:szCs w:val="18"/>
                <w:color w:val="auto"/>
              </w:rPr>
              <w:t>(35 )</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162,154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70"/>
        </w:trPr>
        <w:tc>
          <w:tcPr>
            <w:tcW w:w="580" w:type="dxa"/>
            <w:vAlign w:val="bottom"/>
          </w:tcPr>
          <w:p>
            <w:pPr>
              <w:spacing w:after="0"/>
              <w:rPr>
                <w:sz w:val="23"/>
                <w:szCs w:val="23"/>
                <w:color w:val="auto"/>
              </w:rPr>
            </w:pPr>
          </w:p>
        </w:tc>
        <w:tc>
          <w:tcPr>
            <w:tcW w:w="4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available-for-sale investments</w:t>
            </w:r>
          </w:p>
        </w:tc>
        <w:tc>
          <w:tcPr>
            <w:tcW w:w="7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647,465</w:t>
            </w:r>
          </w:p>
        </w:tc>
        <w:tc>
          <w:tcPr>
            <w:tcW w:w="2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(1,827</w:t>
            </w:r>
          </w:p>
        </w:tc>
        <w:tc>
          <w:tcPr>
            <w:tcW w:w="140" w:type="dxa"/>
            <w:vAlign w:val="bottom"/>
            <w:tcBorders>
              <w:bottom w:val="single" w:sz="8" w:color="CFF0FC"/>
            </w:tcBorders>
            <w:shd w:val="clear" w:color="auto" w:fill="CFF0FC"/>
          </w:tcPr>
          <w:p>
            <w:pPr>
              <w:jc w:val="right"/>
              <w:ind w:right="1"/>
              <w:spacing w:after="0"/>
              <w:rPr>
                <w:sz w:val="20"/>
                <w:szCs w:val="20"/>
                <w:color w:val="auto"/>
              </w:rPr>
            </w:pPr>
            <w:r>
              <w:rPr>
                <w:rFonts w:ascii="Arial" w:cs="Arial" w:eastAsia="Arial" w:hAnsi="Arial"/>
                <w:sz w:val="16"/>
                <w:szCs w:val="16"/>
                <w:color w:val="auto"/>
                <w:w w:val="74"/>
              </w:rPr>
              <w:t>)</w:t>
            </w:r>
          </w:p>
        </w:tc>
        <w:tc>
          <w:tcPr>
            <w:tcW w:w="28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645,685</w:t>
            </w: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Pr>
          <w:p>
            <w:pPr>
              <w:spacing w:after="0"/>
              <w:rPr>
                <w:sz w:val="23"/>
                <w:szCs w:val="23"/>
                <w:color w:val="auto"/>
              </w:rPr>
            </w:pPr>
          </w:p>
        </w:tc>
      </w:tr>
      <w:tr>
        <w:trPr>
          <w:trHeight w:val="635"/>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28"/>
        </w:trPr>
        <w:tc>
          <w:tcPr>
            <w:tcW w:w="580" w:type="dxa"/>
            <w:vAlign w:val="bottom"/>
            <w:tcBorders>
              <w:bottom w:val="single" w:sz="8" w:color="9A9A9A"/>
            </w:tcBorders>
          </w:tcPr>
          <w:p>
            <w:pPr>
              <w:spacing w:after="0"/>
              <w:rPr>
                <w:sz w:val="11"/>
                <w:szCs w:val="11"/>
                <w:color w:val="auto"/>
              </w:rPr>
            </w:pPr>
          </w:p>
        </w:tc>
        <w:tc>
          <w:tcPr>
            <w:tcW w:w="446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6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-1482090</wp:posOffset>
            </wp:positionV>
            <wp:extent cx="68580" cy="1625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-1482090</wp:posOffset>
            </wp:positionV>
            <wp:extent cx="68580" cy="1625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-1482090</wp:posOffset>
            </wp:positionV>
            <wp:extent cx="60325" cy="162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-1482090</wp:posOffset>
            </wp:positionV>
            <wp:extent cx="60325" cy="1625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325" cy="16256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-856615</wp:posOffset>
            </wp:positionV>
            <wp:extent cx="68580"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-856615</wp:posOffset>
            </wp:positionV>
            <wp:extent cx="68580" cy="17145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-856615</wp:posOffset>
            </wp:positionV>
            <wp:extent cx="60325" cy="171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-856615</wp:posOffset>
            </wp:positionV>
            <wp:extent cx="60325" cy="17145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0325" cy="17145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-530860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-513715</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-530860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-513715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-530860</wp:posOffset>
            </wp:positionV>
            <wp:extent cx="6032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-513715</wp:posOffset>
            </wp:positionV>
            <wp:extent cx="603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-530860</wp:posOffset>
            </wp:positionV>
            <wp:extent cx="603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-513715</wp:posOffset>
            </wp:positionV>
            <wp:extent cx="6032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85"/>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10"/>
          </w:tcPr>
          <w:p>
            <w:pPr>
              <w:jc w:val="right"/>
              <w:ind w:right="80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jc w:val="center"/>
              <w:ind w:right="313"/>
              <w:spacing w:after="0" w:line="160"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tcPr>
          <w:p>
            <w:pPr>
              <w:jc w:val="center"/>
              <w:ind w:right="420"/>
              <w:spacing w:after="0" w:line="160" w:lineRule="exact"/>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Amortized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center"/>
              <w:ind w:right="293"/>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5"/>
                <w:szCs w:val="15"/>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3"/>
              </w:rPr>
              <w:t>cost</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0"/>
              </w:rPr>
              <w:t>gain</w:t>
            </w:r>
          </w:p>
        </w:tc>
        <w:tc>
          <w:tcPr>
            <w:tcW w:w="22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78"/>
              </w:rPr>
              <w:t>loss</w:t>
            </w:r>
          </w:p>
        </w:tc>
        <w:tc>
          <w:tcPr>
            <w:tcW w:w="240" w:type="dxa"/>
            <w:vAlign w:val="bottom"/>
            <w:gridSpan w:val="3"/>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fair value</w:t>
            </w:r>
          </w:p>
        </w:tc>
        <w:tc>
          <w:tcPr>
            <w:tcW w:w="6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Arial" w:cs="Arial" w:eastAsia="Arial" w:hAnsi="Arial"/>
                <w:sz w:val="14"/>
                <w:szCs w:val="14"/>
                <w:b w:val="1"/>
                <w:bCs w:val="1"/>
                <w:color w:val="auto"/>
              </w:rPr>
              <w:t>(in</w:t>
            </w:r>
          </w:p>
        </w:tc>
        <w:tc>
          <w:tcPr>
            <w:tcW w:w="1240" w:type="dxa"/>
            <w:vAlign w:val="bottom"/>
            <w:gridSpan w:val="6"/>
          </w:tcPr>
          <w:p>
            <w:pPr>
              <w:jc w:val="center"/>
              <w:ind w:right="615"/>
              <w:spacing w:after="0"/>
              <w:rPr>
                <w:sz w:val="20"/>
                <w:szCs w:val="20"/>
                <w:color w:val="auto"/>
              </w:rPr>
            </w:pPr>
            <w:r>
              <w:rPr>
                <w:rFonts w:ascii="Arial" w:cs="Arial" w:eastAsia="Arial" w:hAnsi="Arial"/>
                <w:sz w:val="14"/>
                <w:szCs w:val="14"/>
                <w:b w:val="1"/>
                <w:bCs w:val="1"/>
                <w:color w:val="auto"/>
                <w:w w:val="71"/>
              </w:rPr>
              <w:t>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gridSpan w:val="2"/>
          </w:tcPr>
          <w:p>
            <w:pPr>
              <w:ind w:left="180"/>
              <w:spacing w:after="0"/>
              <w:rPr>
                <w:sz w:val="20"/>
                <w:szCs w:val="20"/>
                <w:color w:val="auto"/>
              </w:rPr>
            </w:pPr>
            <w:r>
              <w:rPr>
                <w:rFonts w:ascii="Arial" w:cs="Arial" w:eastAsia="Arial" w:hAnsi="Arial"/>
                <w:sz w:val="18"/>
                <w:szCs w:val="18"/>
                <w:color w:val="auto"/>
              </w:rPr>
              <w:t>Commercial paper</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239,176</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gridSpan w:val="3"/>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(63 )</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239,114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7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U.S. and Canadian government and agency securities</w:t>
            </w: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87,926</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173"/>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(181 )</w:t>
            </w:r>
          </w:p>
        </w:tc>
        <w:tc>
          <w:tcPr>
            <w:tcW w:w="8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87,745</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gridSpan w:val="2"/>
          </w:tcPr>
          <w:p>
            <w:pPr>
              <w:ind w:left="180"/>
              <w:spacing w:after="0"/>
              <w:rPr>
                <w:sz w:val="20"/>
                <w:szCs w:val="20"/>
                <w:color w:val="auto"/>
              </w:rPr>
            </w:pPr>
            <w:r>
              <w:rPr>
                <w:rFonts w:ascii="Arial" w:cs="Arial" w:eastAsia="Arial" w:hAnsi="Arial"/>
                <w:sz w:val="18"/>
                <w:szCs w:val="18"/>
                <w:color w:val="auto"/>
              </w:rPr>
              <w:t>Corporate bonds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141,829</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17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(131 )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141,698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marketable securities</w:t>
            </w:r>
          </w:p>
        </w:tc>
        <w:tc>
          <w:tcPr>
            <w:tcW w:w="4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468,931</w:t>
            </w:r>
          </w:p>
        </w:tc>
        <w:tc>
          <w:tcPr>
            <w:tcW w:w="20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right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468,557</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78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Money market funds</w:t>
            </w: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57,134</w:t>
            </w: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173"/>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tcBorders>
              <w:right w:val="single" w:sz="8" w:color="CFF0FC"/>
            </w:tcBorders>
            <w:gridSpan w:val="4"/>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57,134</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gridSpan w:val="2"/>
          </w:tcPr>
          <w:p>
            <w:pPr>
              <w:ind w:left="180"/>
              <w:spacing w:after="0"/>
              <w:rPr>
                <w:sz w:val="20"/>
                <w:szCs w:val="20"/>
                <w:color w:val="auto"/>
              </w:rPr>
            </w:pPr>
            <w:r>
              <w:rPr>
                <w:rFonts w:ascii="Arial" w:cs="Arial" w:eastAsia="Arial" w:hAnsi="Arial"/>
                <w:sz w:val="18"/>
                <w:szCs w:val="18"/>
                <w:color w:val="auto"/>
              </w:rPr>
              <w:t>Commercial paper</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52,257</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3"/>
          </w:tcPr>
          <w:p>
            <w:pPr>
              <w:jc w:val="right"/>
              <w:ind w:right="173"/>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52,255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cash equivalents</w:t>
            </w:r>
          </w:p>
        </w:tc>
        <w:tc>
          <w:tcPr>
            <w:tcW w:w="4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9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109,391</w:t>
            </w:r>
          </w:p>
        </w:tc>
        <w:tc>
          <w:tcPr>
            <w:tcW w:w="200" w:type="dxa"/>
            <w:vAlign w:val="bottom"/>
            <w:tcBorders>
              <w:top w:val="single" w:sz="8" w:color="CFF0FC"/>
              <w:bottom w:val="single" w:sz="8" w:color="CFF0FC"/>
            </w:tcBorders>
            <w:shd w:val="clear" w:color="auto" w:fill="CFF0FC"/>
          </w:tcPr>
          <w:p>
            <w:pPr>
              <w:spacing w:after="0"/>
              <w:rPr>
                <w:sz w:val="20"/>
                <w:szCs w:val="20"/>
                <w:color w:val="auto"/>
              </w:rPr>
            </w:pPr>
          </w:p>
        </w:tc>
        <w:tc>
          <w:tcPr>
            <w:tcW w:w="4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40" w:type="dxa"/>
            <w:vAlign w:val="bottom"/>
            <w:tcBorders>
              <w:top w:val="single" w:sz="8" w:color="auto"/>
              <w:bottom w:val="single" w:sz="8" w:color="auto"/>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spacing w:after="0"/>
              <w:rPr>
                <w:sz w:val="20"/>
                <w:szCs w:val="20"/>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CFF0FC"/>
              <w:bottom w:val="single" w:sz="8" w:color="CFF0FC"/>
              <w:right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109,389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Total available-for-sale investments</w:t>
            </w:r>
          </w:p>
        </w:tc>
        <w:tc>
          <w:tcPr>
            <w:tcW w:w="4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578,322</w:t>
            </w:r>
          </w:p>
        </w:tc>
        <w:tc>
          <w:tcPr>
            <w:tcW w:w="240" w:type="dxa"/>
            <w:vAlign w:val="bottom"/>
            <w:gridSpan w:val="2"/>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gridSpan w:val="3"/>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(377 )</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577,946</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08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340" w:type="dxa"/>
            <w:vAlign w:val="bottom"/>
          </w:tcPr>
          <w:p>
            <w:pPr>
              <w:spacing w:after="0"/>
              <w:rPr>
                <w:sz w:val="24"/>
                <w:szCs w:val="24"/>
                <w:color w:val="auto"/>
              </w:rPr>
            </w:pPr>
          </w:p>
        </w:tc>
        <w:tc>
          <w:tcPr>
            <w:tcW w:w="10900" w:type="dxa"/>
            <w:vAlign w:val="bottom"/>
            <w:gridSpan w:val="24"/>
          </w:tcPr>
          <w:p>
            <w:pPr>
              <w:ind w:left="180"/>
              <w:spacing w:after="0"/>
              <w:rPr>
                <w:sz w:val="20"/>
                <w:szCs w:val="20"/>
                <w:color w:val="auto"/>
              </w:rPr>
            </w:pPr>
            <w:r>
              <w:rPr>
                <w:rFonts w:ascii="Arial" w:cs="Arial" w:eastAsia="Arial" w:hAnsi="Arial"/>
                <w:sz w:val="18"/>
                <w:szCs w:val="18"/>
                <w:color w:val="auto"/>
                <w:w w:val="91"/>
              </w:rPr>
              <w:t>The amortized cost and estimated fair value of the Company’s available-for-sale marketable securities and cash equivalents by contractual maturity</w:t>
            </w:r>
          </w:p>
        </w:tc>
        <w:tc>
          <w:tcPr>
            <w:tcW w:w="0" w:type="dxa"/>
            <w:vAlign w:val="bottom"/>
          </w:tcPr>
          <w:p>
            <w:pPr>
              <w:spacing w:after="0"/>
              <w:rPr>
                <w:sz w:val="1"/>
                <w:szCs w:val="1"/>
                <w:color w:val="auto"/>
              </w:rPr>
            </w:pPr>
          </w:p>
        </w:tc>
      </w:tr>
      <w:tr>
        <w:trPr>
          <w:trHeight w:val="230"/>
        </w:trPr>
        <w:tc>
          <w:tcPr>
            <w:tcW w:w="5360" w:type="dxa"/>
            <w:vAlign w:val="bottom"/>
            <w:gridSpan w:val="4"/>
          </w:tcPr>
          <w:p>
            <w:pPr>
              <w:spacing w:after="0"/>
              <w:rPr>
                <w:sz w:val="20"/>
                <w:szCs w:val="20"/>
                <w:color w:val="auto"/>
              </w:rPr>
            </w:pPr>
            <w:r>
              <w:rPr>
                <w:rFonts w:ascii="Arial" w:cs="Arial" w:eastAsia="Arial" w:hAnsi="Arial"/>
                <w:sz w:val="18"/>
                <w:szCs w:val="18"/>
                <w:color w:val="auto"/>
              </w:rPr>
              <w:t>are summarized below as of December 31, 2022:</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10"/>
          </w:tcPr>
          <w:p>
            <w:pPr>
              <w:jc w:val="right"/>
              <w:ind w:right="800"/>
              <w:spacing w:after="0"/>
              <w:rPr>
                <w:sz w:val="20"/>
                <w:szCs w:val="20"/>
                <w:color w:val="auto"/>
              </w:rPr>
            </w:pPr>
            <w:r>
              <w:rPr>
                <w:rFonts w:ascii="Arial" w:cs="Arial" w:eastAsia="Arial" w:hAnsi="Arial"/>
                <w:sz w:val="14"/>
                <w:szCs w:val="14"/>
                <w:b w:val="1"/>
                <w:bCs w:val="1"/>
                <w:color w:val="auto"/>
              </w:rPr>
              <w:t>December 31, 2022</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jc w:val="center"/>
              <w:ind w:right="313"/>
              <w:spacing w:after="0" w:line="160" w:lineRule="exact"/>
              <w:rPr>
                <w:sz w:val="20"/>
                <w:szCs w:val="20"/>
                <w:color w:val="auto"/>
              </w:rPr>
            </w:pPr>
            <w:r>
              <w:rPr>
                <w:rFonts w:ascii="Arial" w:cs="Arial" w:eastAsia="Arial" w:hAnsi="Arial"/>
                <w:sz w:val="14"/>
                <w:szCs w:val="14"/>
                <w:b w:val="1"/>
                <w:bCs w:val="1"/>
                <w:color w:val="auto"/>
                <w:w w:val="88"/>
              </w:rPr>
              <w:t>Gross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4"/>
          </w:tcPr>
          <w:p>
            <w:pPr>
              <w:jc w:val="center"/>
              <w:ind w:right="400"/>
              <w:spacing w:after="0" w:line="160"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Amortized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3"/>
          </w:tcPr>
          <w:p>
            <w:pPr>
              <w:jc w:val="center"/>
              <w:ind w:right="313"/>
              <w:spacing w:after="0"/>
              <w:rPr>
                <w:sz w:val="20"/>
                <w:szCs w:val="20"/>
                <w:color w:val="auto"/>
              </w:rPr>
            </w:pPr>
            <w:r>
              <w:rPr>
                <w:rFonts w:ascii="Arial" w:cs="Arial" w:eastAsia="Arial" w:hAnsi="Arial"/>
                <w:sz w:val="14"/>
                <w:szCs w:val="14"/>
                <w:b w:val="1"/>
                <w:bCs w:val="1"/>
                <w:color w:val="auto"/>
                <w:w w:val="92"/>
              </w:rPr>
              <w:t>unrealized</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2"/>
              </w:rPr>
              <w:t>unrealized</w:t>
            </w:r>
          </w:p>
        </w:tc>
        <w:tc>
          <w:tcPr>
            <w:tcW w:w="140" w:type="dxa"/>
            <w:vAlign w:val="bottom"/>
          </w:tcPr>
          <w:p>
            <w:pPr>
              <w:spacing w:after="0"/>
              <w:rPr>
                <w:sz w:val="15"/>
                <w:szCs w:val="15"/>
                <w:color w:val="auto"/>
              </w:rPr>
            </w:pPr>
          </w:p>
        </w:tc>
        <w:tc>
          <w:tcPr>
            <w:tcW w:w="1540" w:type="dxa"/>
            <w:vAlign w:val="bottom"/>
            <w:gridSpan w:val="3"/>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3"/>
              </w:rPr>
              <w:t>cost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0"/>
              </w:rPr>
              <w:t>gain</w:t>
            </w:r>
          </w:p>
        </w:tc>
        <w:tc>
          <w:tcPr>
            <w:tcW w:w="2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center"/>
              <w:ind w:right="70"/>
              <w:spacing w:after="0"/>
              <w:rPr>
                <w:sz w:val="20"/>
                <w:szCs w:val="20"/>
                <w:color w:val="auto"/>
              </w:rPr>
            </w:pPr>
            <w:r>
              <w:rPr>
                <w:rFonts w:ascii="Arial" w:cs="Arial" w:eastAsia="Arial" w:hAnsi="Arial"/>
                <w:sz w:val="14"/>
                <w:szCs w:val="14"/>
                <w:b w:val="1"/>
                <w:bCs w:val="1"/>
                <w:color w:val="auto"/>
                <w:w w:val="78"/>
              </w:rPr>
              <w:t>loss</w:t>
            </w:r>
          </w:p>
        </w:tc>
        <w:tc>
          <w:tcPr>
            <w:tcW w:w="22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fair value</w:t>
            </w:r>
          </w:p>
        </w:tc>
        <w:tc>
          <w:tcPr>
            <w:tcW w:w="66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97"/>
              <w:spacing w:after="0"/>
              <w:rPr>
                <w:sz w:val="20"/>
                <w:szCs w:val="20"/>
                <w:color w:val="auto"/>
              </w:rPr>
            </w:pPr>
            <w:r>
              <w:rPr>
                <w:rFonts w:ascii="Arial" w:cs="Arial" w:eastAsia="Arial" w:hAnsi="Arial"/>
                <w:sz w:val="14"/>
                <w:szCs w:val="14"/>
                <w:b w:val="1"/>
                <w:bCs w:val="1"/>
                <w:color w:val="auto"/>
              </w:rPr>
              <w:t>(in</w:t>
            </w:r>
          </w:p>
        </w:tc>
        <w:tc>
          <w:tcPr>
            <w:tcW w:w="1260" w:type="dxa"/>
            <w:vAlign w:val="bottom"/>
            <w:gridSpan w:val="7"/>
          </w:tcPr>
          <w:p>
            <w:pPr>
              <w:jc w:val="center"/>
              <w:ind w:right="630"/>
              <w:spacing w:after="0"/>
              <w:rPr>
                <w:sz w:val="20"/>
                <w:szCs w:val="20"/>
                <w:color w:val="auto"/>
              </w:rPr>
            </w:pPr>
            <w:r>
              <w:rPr>
                <w:rFonts w:ascii="Arial" w:cs="Arial" w:eastAsia="Arial" w:hAnsi="Arial"/>
                <w:sz w:val="14"/>
                <w:szCs w:val="14"/>
                <w:b w:val="1"/>
                <w:bCs w:val="1"/>
                <w:color w:val="auto"/>
                <w:w w:val="71"/>
              </w:rPr>
              <w:t>thousands)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7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Mature in one year or less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618,025</w:t>
            </w:r>
          </w:p>
        </w:tc>
        <w:tc>
          <w:tcPr>
            <w:tcW w:w="20" w:type="dxa"/>
            <w:vAlign w:val="bottom"/>
            <w:shd w:val="clear" w:color="auto" w:fill="CFF0FC"/>
          </w:tcPr>
          <w:p>
            <w:pPr>
              <w:spacing w:after="0"/>
              <w:rPr>
                <w:sz w:val="21"/>
                <w:szCs w:val="21"/>
                <w:color w:val="auto"/>
              </w:rPr>
            </w:pP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(1,752 )</w:t>
            </w:r>
          </w:p>
        </w:tc>
        <w:tc>
          <w:tcPr>
            <w:tcW w:w="8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616,321</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Mature after one year through two years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29,440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(75 )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29,364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7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marketable securities</w:t>
            </w:r>
          </w:p>
        </w:tc>
        <w:tc>
          <w:tcPr>
            <w:tcW w:w="4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647,465</w:t>
            </w:r>
          </w:p>
        </w:tc>
        <w:tc>
          <w:tcPr>
            <w:tcW w:w="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(1,827</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CFF0FC"/>
              <w:right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645,685</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340" w:type="dxa"/>
            <w:vAlign w:val="bottom"/>
          </w:tcPr>
          <w:p>
            <w:pPr>
              <w:spacing w:after="0"/>
              <w:rPr>
                <w:sz w:val="20"/>
                <w:szCs w:val="20"/>
                <w:color w:val="auto"/>
              </w:rPr>
            </w:pPr>
            <w:r>
              <w:rPr>
                <w:rFonts w:ascii="Arial" w:cs="Arial" w:eastAsia="Arial" w:hAnsi="Arial"/>
                <w:sz w:val="18"/>
                <w:szCs w:val="18"/>
                <w:b w:val="1"/>
                <w:bCs w:val="1"/>
                <w:color w:val="auto"/>
              </w:rPr>
              <w:t>5.</w:t>
            </w:r>
          </w:p>
        </w:tc>
        <w:tc>
          <w:tcPr>
            <w:tcW w:w="5020" w:type="dxa"/>
            <w:vAlign w:val="bottom"/>
            <w:gridSpan w:val="3"/>
          </w:tcPr>
          <w:p>
            <w:pPr>
              <w:ind w:left="180"/>
              <w:spacing w:after="0"/>
              <w:rPr>
                <w:sz w:val="20"/>
                <w:szCs w:val="20"/>
                <w:color w:val="auto"/>
              </w:rPr>
            </w:pPr>
            <w:r>
              <w:rPr>
                <w:rFonts w:ascii="Arial" w:cs="Arial" w:eastAsia="Arial" w:hAnsi="Arial"/>
                <w:sz w:val="18"/>
                <w:szCs w:val="18"/>
                <w:b w:val="1"/>
                <w:bCs w:val="1"/>
                <w:color w:val="auto"/>
              </w:rPr>
              <w:t>Balance sheet components</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3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Property and equipment, net</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5020" w:type="dxa"/>
            <w:vAlign w:val="bottom"/>
            <w:gridSpan w:val="3"/>
          </w:tcPr>
          <w:p>
            <w:pPr>
              <w:ind w:left="180"/>
              <w:spacing w:after="0"/>
              <w:rPr>
                <w:sz w:val="20"/>
                <w:szCs w:val="20"/>
                <w:color w:val="auto"/>
              </w:rPr>
            </w:pPr>
            <w:r>
              <w:rPr>
                <w:rFonts w:ascii="Arial" w:cs="Arial" w:eastAsia="Arial" w:hAnsi="Arial"/>
                <w:sz w:val="18"/>
                <w:szCs w:val="18"/>
                <w:color w:val="auto"/>
              </w:rPr>
              <w:t>Property and equipment, net consists of the following:</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60" w:type="dxa"/>
            <w:vAlign w:val="bottom"/>
            <w:gridSpan w:val="10"/>
          </w:tcPr>
          <w:p>
            <w:pPr>
              <w:jc w:val="right"/>
              <w:ind w:right="88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(in</w:t>
            </w:r>
          </w:p>
        </w:tc>
        <w:tc>
          <w:tcPr>
            <w:tcW w:w="1300" w:type="dxa"/>
            <w:vAlign w:val="bottom"/>
            <w:gridSpan w:val="7"/>
          </w:tcPr>
          <w:p>
            <w:pPr>
              <w:jc w:val="center"/>
              <w:ind w:right="690"/>
              <w:spacing w:after="0"/>
              <w:rPr>
                <w:sz w:val="20"/>
                <w:szCs w:val="20"/>
                <w:color w:val="auto"/>
              </w:rPr>
            </w:pPr>
            <w:r>
              <w:rPr>
                <w:rFonts w:ascii="Arial" w:cs="Arial" w:eastAsia="Arial" w:hAnsi="Arial"/>
                <w:sz w:val="13"/>
                <w:szCs w:val="13"/>
                <w:b w:val="1"/>
                <w:bCs w:val="1"/>
                <w:color w:val="auto"/>
                <w:w w:val="74"/>
              </w:rPr>
              <w:t>thousands)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17,163</w:t>
            </w:r>
          </w:p>
        </w:tc>
        <w:tc>
          <w:tcPr>
            <w:tcW w:w="120" w:type="dxa"/>
            <w:vAlign w:val="bottom"/>
            <w:shd w:val="clear" w:color="auto" w:fill="CFF0FC"/>
          </w:tcPr>
          <w:p>
            <w:pPr>
              <w:spacing w:after="0"/>
              <w:rPr>
                <w:sz w:val="21"/>
                <w:szCs w:val="21"/>
                <w:color w:val="auto"/>
              </w:rPr>
            </w:pPr>
          </w:p>
        </w:tc>
        <w:tc>
          <w:tcPr>
            <w:tcW w:w="18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12,727</w:t>
            </w:r>
          </w:p>
        </w:tc>
        <w:tc>
          <w:tcPr>
            <w:tcW w:w="80" w:type="dxa"/>
            <w:vAlign w:val="bottom"/>
            <w:tcBorders>
              <w:right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11,404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7,245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software</w:t>
            </w: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3,965</w:t>
            </w: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2,186</w:t>
            </w:r>
          </w:p>
        </w:tc>
        <w:tc>
          <w:tcPr>
            <w:tcW w:w="80" w:type="dxa"/>
            <w:vAlign w:val="bottom"/>
            <w:tcBorders>
              <w:right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80" w:type="dxa"/>
            <w:vAlign w:val="bottom"/>
            <w:tcBorders>
              <w:right w:val="single" w:sz="8" w:color="CFF0FC"/>
            </w:tcBorders>
            <w:shd w:val="clear" w:color="auto" w:fill="CFF0FC"/>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Borders>
              <w:top w:val="single" w:sz="8" w:color="CFF0FC"/>
            </w:tcBorders>
          </w:tcPr>
          <w:p>
            <w:pPr>
              <w:spacing w:after="0"/>
              <w:rPr>
                <w:sz w:val="20"/>
                <w:szCs w:val="20"/>
                <w:color w:val="auto"/>
              </w:rPr>
            </w:pPr>
          </w:p>
        </w:tc>
        <w:tc>
          <w:tcPr>
            <w:tcW w:w="4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88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33,148</w:t>
            </w:r>
          </w:p>
        </w:tc>
        <w:tc>
          <w:tcPr>
            <w:tcW w:w="12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22,356</w:t>
            </w:r>
          </w:p>
        </w:tc>
        <w:tc>
          <w:tcPr>
            <w:tcW w:w="80" w:type="dxa"/>
            <w:vAlign w:val="bottom"/>
            <w:tcBorders>
              <w:top w:val="single" w:sz="8" w:color="CFF0FC"/>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60" w:type="dxa"/>
            <w:vAlign w:val="bottom"/>
            <w:shd w:val="clear" w:color="auto" w:fill="CFF0FC"/>
          </w:tcPr>
          <w:p>
            <w:pPr>
              <w:spacing w:after="0"/>
              <w:rPr>
                <w:sz w:val="20"/>
                <w:szCs w:val="20"/>
                <w:color w:val="auto"/>
              </w:rPr>
            </w:pPr>
            <w:r>
              <w:rPr>
                <w:rFonts w:ascii="Arial" w:cs="Arial" w:eastAsia="Arial" w:hAnsi="Arial"/>
                <w:sz w:val="18"/>
                <w:szCs w:val="18"/>
                <w:color w:val="auto"/>
                <w:w w:val="93"/>
              </w:rPr>
              <w:t>Less: accumulated depreciation and amortization</w:t>
            </w: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(14,489 )</w:t>
            </w: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tcBorders>
              <w:right w:val="single" w:sz="8" w:color="CFF0FC"/>
            </w:tcBorders>
            <w:gridSpan w:val="4"/>
            <w:shd w:val="clear" w:color="auto" w:fill="CFF0FC"/>
          </w:tcPr>
          <w:p>
            <w:pPr>
              <w:jc w:val="right"/>
              <w:spacing w:after="0"/>
              <w:rPr>
                <w:sz w:val="20"/>
                <w:szCs w:val="20"/>
                <w:color w:val="auto"/>
              </w:rPr>
            </w:pPr>
            <w:r>
              <w:rPr>
                <w:rFonts w:ascii="Arial" w:cs="Arial" w:eastAsia="Arial" w:hAnsi="Arial"/>
                <w:sz w:val="18"/>
                <w:szCs w:val="18"/>
                <w:color w:val="auto"/>
              </w:rPr>
              <w:t>(10,812 )</w:t>
            </w: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Property and equipment, net</w:t>
            </w:r>
          </w:p>
        </w:tc>
        <w:tc>
          <w:tcPr>
            <w:tcW w:w="4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880" w:type="dxa"/>
            <w:vAlign w:val="bottom"/>
            <w:tcBorders>
              <w:top w:val="single" w:sz="8" w:color="CFF0FC"/>
            </w:tcBorders>
          </w:tcPr>
          <w:p>
            <w:pPr>
              <w:spacing w:after="0"/>
              <w:rPr>
                <w:sz w:val="20"/>
                <w:szCs w:val="20"/>
                <w:color w:val="auto"/>
              </w:rPr>
            </w:pPr>
          </w:p>
        </w:tc>
        <w:tc>
          <w:tcPr>
            <w:tcW w:w="20" w:type="dxa"/>
            <w:vAlign w:val="bottom"/>
            <w:tcBorders>
              <w:top w:val="single" w:sz="8" w:color="CFF0FC"/>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18,659</w:t>
            </w:r>
          </w:p>
        </w:tc>
        <w:tc>
          <w:tcPr>
            <w:tcW w:w="12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gridSpan w:val="2"/>
          </w:tcPr>
          <w:p>
            <w:pPr>
              <w:spacing w:after="0"/>
              <w:rPr>
                <w:sz w:val="20"/>
                <w:szCs w:val="20"/>
                <w:color w:val="auto"/>
              </w:rPr>
            </w:pPr>
          </w:p>
        </w:tc>
        <w:tc>
          <w:tcPr>
            <w:tcW w:w="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11,544</w:t>
            </w:r>
          </w:p>
        </w:tc>
        <w:tc>
          <w:tcPr>
            <w:tcW w:w="80" w:type="dxa"/>
            <w:vAlign w:val="bottom"/>
            <w:tcBorders>
              <w:top w:val="single" w:sz="8" w:color="CFF0FC"/>
            </w:tcBorders>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36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-5537200</wp:posOffset>
            </wp:positionV>
            <wp:extent cx="68580" cy="1631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-5537200</wp:posOffset>
            </wp:positionV>
            <wp:extent cx="60325" cy="1631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-5537200</wp:posOffset>
            </wp:positionV>
            <wp:extent cx="60325" cy="1631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-5537200</wp:posOffset>
            </wp:positionV>
            <wp:extent cx="60325" cy="1631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0325" cy="16319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-5078095</wp:posOffset>
            </wp:positionV>
            <wp:extent cx="6424930" cy="3638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424930" cy="3638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-3059430</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-3042285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-3059430</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-3042285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-3059430</wp:posOffset>
            </wp:positionV>
            <wp:extent cx="6032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-3042285</wp:posOffset>
            </wp:positionV>
            <wp:extent cx="603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-3059430</wp:posOffset>
            </wp:positionV>
            <wp:extent cx="603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-3042285</wp:posOffset>
            </wp:positionV>
            <wp:extent cx="6032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-984885</wp:posOffset>
            </wp:positionV>
            <wp:extent cx="51435" cy="1625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1435" cy="16256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-984885</wp:posOffset>
            </wp:positionV>
            <wp:extent cx="43180" cy="1625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3180" cy="16256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-668020</wp:posOffset>
            </wp:positionV>
            <wp:extent cx="51435" cy="1885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-668020</wp:posOffset>
            </wp:positionV>
            <wp:extent cx="43180" cy="1885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3180" cy="1885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12" w:name="page113"/>
    <w:bookmarkEnd w:id="112"/>
    <w:p>
      <w:pPr>
        <w:ind w:right="400" w:firstLine="509"/>
        <w:spacing w:after="0" w:line="277" w:lineRule="auto"/>
        <w:rPr>
          <w:sz w:val="20"/>
          <w:szCs w:val="20"/>
          <w:color w:val="auto"/>
        </w:rPr>
      </w:pPr>
      <w:r>
        <w:rPr>
          <w:rFonts w:ascii="Arial" w:cs="Arial" w:eastAsia="Arial" w:hAnsi="Arial"/>
          <w:sz w:val="18"/>
          <w:szCs w:val="18"/>
          <w:color w:val="auto"/>
        </w:rPr>
        <w:t>Depreciation and amortization expense for property and equipment amounted to $4.0 million, $3.1 million and $2.6 million for the years ended December 31, 2022, 2021 and 2020,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jc w:val="right"/>
              <w:ind w:right="142"/>
              <w:spacing w:after="0"/>
              <w:rPr>
                <w:sz w:val="20"/>
                <w:szCs w:val="20"/>
                <w:color w:val="auto"/>
              </w:rPr>
            </w:pPr>
            <w:r>
              <w:rPr>
                <w:rFonts w:ascii="Arial" w:cs="Arial" w:eastAsia="Arial" w:hAnsi="Arial"/>
                <w:sz w:val="14"/>
                <w:szCs w:val="14"/>
                <w:b w:val="1"/>
                <w:bCs w:val="1"/>
                <w:color w:val="auto"/>
              </w:rPr>
              <w:t>December 31,</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jc w:val="right"/>
              <w:ind w:right="104"/>
              <w:spacing w:after="0"/>
              <w:rPr>
                <w:sz w:val="20"/>
                <w:szCs w:val="20"/>
                <w:color w:val="auto"/>
              </w:rPr>
            </w:pPr>
            <w:r>
              <w:rPr>
                <w:rFonts w:ascii="Arial" w:cs="Arial" w:eastAsia="Arial" w:hAnsi="Arial"/>
                <w:sz w:val="14"/>
                <w:szCs w:val="14"/>
                <w:b w:val="1"/>
                <w:bCs w:val="1"/>
                <w:color w:val="auto"/>
              </w:rPr>
              <w:t>(in</w:t>
            </w:r>
          </w:p>
        </w:tc>
        <w:tc>
          <w:tcPr>
            <w:tcW w:w="720" w:type="dxa"/>
            <w:vAlign w:val="bottom"/>
            <w:gridSpan w:val="4"/>
          </w:tcPr>
          <w:p>
            <w:pPr>
              <w:jc w:val="right"/>
              <w:ind w:right="122"/>
              <w:spacing w:after="0"/>
              <w:rPr>
                <w:sz w:val="20"/>
                <w:szCs w:val="20"/>
                <w:color w:val="auto"/>
              </w:rPr>
            </w:pPr>
            <w:r>
              <w:rPr>
                <w:rFonts w:ascii="Arial" w:cs="Arial" w:eastAsia="Arial" w:hAnsi="Arial"/>
                <w:sz w:val="13"/>
                <w:szCs w:val="13"/>
                <w:b w:val="1"/>
                <w:bCs w:val="1"/>
                <w:color w:val="auto"/>
                <w:w w:val="71"/>
              </w:rPr>
              <w:t>thousands)</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13,281</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ind w:right="342"/>
              <w:spacing w:after="0"/>
              <w:rPr>
                <w:sz w:val="20"/>
                <w:szCs w:val="20"/>
                <w:color w:val="auto"/>
              </w:rPr>
            </w:pPr>
            <w:r>
              <w:rPr>
                <w:rFonts w:ascii="Arial" w:cs="Arial" w:eastAsia="Arial" w:hAnsi="Arial"/>
                <w:sz w:val="18"/>
                <w:szCs w:val="18"/>
                <w:color w:val="auto"/>
                <w:w w:val="79"/>
              </w:rPr>
              <w:t>$</w:t>
            </w: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9,852</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Accrued research and development</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15,161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w w:val="98"/>
              </w:rPr>
              <w:t>17,018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professional services</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499</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5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2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4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29,446</w:t>
            </w:r>
          </w:p>
        </w:tc>
        <w:tc>
          <w:tcPr>
            <w:tcW w:w="8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gridSpan w:val="2"/>
            <w:shd w:val="clear" w:color="auto" w:fill="CFF0FC"/>
          </w:tcPr>
          <w:p>
            <w:pPr>
              <w:jc w:val="right"/>
              <w:ind w:right="342"/>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w w:val="98"/>
              </w:rPr>
              <w:t>27,721</w:t>
            </w:r>
          </w:p>
        </w:tc>
        <w:tc>
          <w:tcPr>
            <w:tcW w:w="80" w:type="dxa"/>
            <w:vAlign w:val="bottom"/>
            <w:tcBorders>
              <w:bottom w:val="single" w:sz="8" w:color="CFF0FC"/>
            </w:tcBorders>
            <w:shd w:val="clear" w:color="auto" w:fill="CFF0FC"/>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7"/>
        </w:trPr>
        <w:tc>
          <w:tcPr>
            <w:tcW w:w="340" w:type="dxa"/>
            <w:vAlign w:val="bottom"/>
          </w:tcPr>
          <w:p>
            <w:pPr>
              <w:spacing w:after="0"/>
              <w:rPr>
                <w:sz w:val="20"/>
                <w:szCs w:val="20"/>
                <w:color w:val="auto"/>
              </w:rPr>
            </w:pPr>
            <w:r>
              <w:rPr>
                <w:rFonts w:ascii="Arial" w:cs="Arial" w:eastAsia="Arial" w:hAnsi="Arial"/>
                <w:sz w:val="18"/>
                <w:szCs w:val="18"/>
                <w:b w:val="1"/>
                <w:bCs w:val="1"/>
                <w:color w:val="auto"/>
              </w:rPr>
              <w:t>6.</w:t>
            </w:r>
          </w:p>
        </w:tc>
        <w:tc>
          <w:tcPr>
            <w:tcW w:w="5640" w:type="dxa"/>
            <w:vAlign w:val="bottom"/>
            <w:gridSpan w:val="4"/>
          </w:tcPr>
          <w:p>
            <w:pPr>
              <w:ind w:left="180"/>
              <w:spacing w:after="0"/>
              <w:rPr>
                <w:sz w:val="20"/>
                <w:szCs w:val="20"/>
                <w:color w:val="auto"/>
              </w:rPr>
            </w:pPr>
            <w:r>
              <w:rPr>
                <w:rFonts w:ascii="Arial" w:cs="Arial" w:eastAsia="Arial" w:hAnsi="Arial"/>
                <w:sz w:val="18"/>
                <w:szCs w:val="18"/>
                <w:b w:val="1"/>
                <w:bCs w:val="1"/>
                <w:color w:val="auto"/>
              </w:rPr>
              <w:t>Intangible assets and goodwill</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80" w:type="dxa"/>
            <w:vAlign w:val="bottom"/>
            <w:gridSpan w:val="5"/>
          </w:tcPr>
          <w:p>
            <w:pPr>
              <w:spacing w:after="0"/>
              <w:rPr>
                <w:sz w:val="20"/>
                <w:szCs w:val="20"/>
                <w:color w:val="auto"/>
              </w:rPr>
            </w:pPr>
            <w:r>
              <w:rPr>
                <w:rFonts w:ascii="Arial" w:cs="Arial" w:eastAsia="Arial" w:hAnsi="Arial"/>
                <w:sz w:val="18"/>
                <w:szCs w:val="18"/>
                <w:b w:val="1"/>
                <w:bCs w:val="1"/>
                <w:i w:val="1"/>
                <w:iCs w:val="1"/>
                <w:color w:val="auto"/>
              </w:rPr>
              <w:t>Intangible assets, net</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 w:type="dxa"/>
            <w:vAlign w:val="bottom"/>
          </w:tcPr>
          <w:p>
            <w:pPr>
              <w:spacing w:after="0"/>
              <w:rPr>
                <w:sz w:val="24"/>
                <w:szCs w:val="24"/>
                <w:color w:val="auto"/>
              </w:rPr>
            </w:pPr>
          </w:p>
        </w:tc>
        <w:tc>
          <w:tcPr>
            <w:tcW w:w="5640" w:type="dxa"/>
            <w:vAlign w:val="bottom"/>
            <w:gridSpan w:val="4"/>
          </w:tcPr>
          <w:p>
            <w:pPr>
              <w:ind w:left="180"/>
              <w:spacing w:after="0"/>
              <w:rPr>
                <w:sz w:val="20"/>
                <w:szCs w:val="20"/>
                <w:color w:val="auto"/>
              </w:rPr>
            </w:pPr>
            <w:r>
              <w:rPr>
                <w:rFonts w:ascii="Arial" w:cs="Arial" w:eastAsia="Arial" w:hAnsi="Arial"/>
                <w:sz w:val="18"/>
                <w:szCs w:val="18"/>
                <w:color w:val="auto"/>
                <w:w w:val="95"/>
              </w:rPr>
              <w:t>Intangible assets, net consist of the following as of December 31, 2022:</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vMerge w:val="restart"/>
          </w:tcPr>
          <w:p>
            <w:pPr>
              <w:jc w:val="right"/>
              <w:ind w:right="150"/>
              <w:spacing w:after="0"/>
              <w:rPr>
                <w:sz w:val="20"/>
                <w:szCs w:val="20"/>
                <w:color w:val="auto"/>
              </w:rPr>
            </w:pPr>
            <w:r>
              <w:rPr>
                <w:rFonts w:ascii="Arial" w:cs="Arial" w:eastAsia="Arial" w:hAnsi="Arial"/>
                <w:sz w:val="14"/>
                <w:szCs w:val="14"/>
                <w:b w:val="1"/>
                <w:bCs w:val="1"/>
                <w:color w:val="auto"/>
                <w:w w:val="90"/>
              </w:rPr>
              <w:t>Accumulated</w:t>
            </w:r>
          </w:p>
        </w:tc>
        <w:tc>
          <w:tcPr>
            <w:tcW w:w="40" w:type="dxa"/>
            <w:vAlign w:val="bottom"/>
          </w:tcPr>
          <w:p>
            <w:pPr>
              <w:spacing w:after="0"/>
              <w:rPr>
                <w:sz w:val="12"/>
                <w:szCs w:val="12"/>
                <w:color w:val="auto"/>
              </w:rPr>
            </w:pPr>
          </w:p>
        </w:tc>
        <w:tc>
          <w:tcPr>
            <w:tcW w:w="104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3"/>
              </w:rPr>
              <w:t>Net book</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value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remaining</w:t>
            </w:r>
          </w:p>
        </w:tc>
        <w:tc>
          <w:tcPr>
            <w:tcW w:w="0" w:type="dxa"/>
            <w:vAlign w:val="bottom"/>
          </w:tcPr>
          <w:p>
            <w:pPr>
              <w:spacing w:after="0"/>
              <w:rPr>
                <w:sz w:val="1"/>
                <w:szCs w:val="1"/>
                <w:color w:val="auto"/>
              </w:rPr>
            </w:pPr>
          </w:p>
        </w:tc>
      </w:tr>
      <w:tr>
        <w:trPr>
          <w:trHeight w:val="185"/>
        </w:trPr>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w w:val="93"/>
              </w:rPr>
              <w:t>amortization</w:t>
            </w:r>
          </w:p>
        </w:tc>
        <w:tc>
          <w:tcPr>
            <w:tcW w:w="40" w:type="dxa"/>
            <w:vAlign w:val="bottom"/>
          </w:tcPr>
          <w:p>
            <w:pPr>
              <w:spacing w:after="0"/>
              <w:rPr>
                <w:sz w:val="16"/>
                <w:szCs w:val="16"/>
                <w:color w:val="auto"/>
              </w:rPr>
            </w:pPr>
          </w:p>
        </w:tc>
        <w:tc>
          <w:tcPr>
            <w:tcW w:w="10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value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useful life</w:t>
            </w: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Borders>
              <w:top w:val="single" w:sz="8" w:color="auto"/>
            </w:tcBorders>
            <w:gridSpan w:val="4"/>
          </w:tcPr>
          <w:p>
            <w:pPr>
              <w:jc w:val="right"/>
              <w:ind w:right="73"/>
              <w:spacing w:after="0"/>
              <w:rPr>
                <w:sz w:val="20"/>
                <w:szCs w:val="20"/>
                <w:color w:val="auto"/>
              </w:rPr>
            </w:pPr>
            <w:r>
              <w:rPr>
                <w:rFonts w:ascii="Arial" w:cs="Arial" w:eastAsia="Arial" w:hAnsi="Arial"/>
                <w:sz w:val="14"/>
                <w:szCs w:val="14"/>
                <w:b w:val="1"/>
                <w:bCs w:val="1"/>
                <w:color w:val="auto"/>
                <w:w w:val="93"/>
              </w:rPr>
              <w:t>(in thousands)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In-process research and development — RAS</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tcBorders>
              <w:right w:val="single" w:sz="8" w:color="CFF0FC"/>
            </w:tcBorders>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Programs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55,800</w:t>
            </w:r>
          </w:p>
        </w:tc>
        <w:tc>
          <w:tcPr>
            <w:tcW w:w="80" w:type="dxa"/>
            <w:vAlign w:val="bottom"/>
            <w:shd w:val="clear" w:color="auto" w:fill="CFF0FC"/>
          </w:tcPr>
          <w:p>
            <w:pPr>
              <w:spacing w:after="0"/>
              <w:rPr>
                <w:sz w:val="21"/>
                <w:szCs w:val="21"/>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21"/>
                <w:szCs w:val="21"/>
                <w:color w:val="auto"/>
              </w:rPr>
            </w:pPr>
          </w:p>
        </w:tc>
        <w:tc>
          <w:tcPr>
            <w:tcW w:w="64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302"/>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7"/>
              </w:rPr>
              <w:t>55,800</w:t>
            </w: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0" w:type="dxa"/>
            <w:vAlign w:val="bottom"/>
            <w:gridSpan w:val="3"/>
          </w:tcPr>
          <w:p>
            <w:pPr>
              <w:spacing w:after="0"/>
              <w:rPr>
                <w:sz w:val="20"/>
                <w:szCs w:val="20"/>
                <w:color w:val="auto"/>
              </w:rPr>
            </w:pPr>
            <w:r>
              <w:rPr>
                <w:rFonts w:ascii="Arial" w:cs="Arial" w:eastAsia="Arial" w:hAnsi="Arial"/>
                <w:sz w:val="18"/>
                <w:szCs w:val="18"/>
                <w:color w:val="auto"/>
              </w:rPr>
              <w:t>Developed technology — tri-complex platform</w:t>
            </w: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(4,473 )</w:t>
            </w: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3,007</w:t>
            </w:r>
          </w:p>
        </w:tc>
        <w:tc>
          <w:tcPr>
            <w:tcW w:w="40" w:type="dxa"/>
            <w:vAlign w:val="bottom"/>
          </w:tcPr>
          <w:p>
            <w:pPr>
              <w:spacing w:after="0"/>
              <w:rPr>
                <w:sz w:val="21"/>
                <w:szCs w:val="21"/>
                <w:color w:val="auto"/>
              </w:rPr>
            </w:pPr>
          </w:p>
        </w:tc>
        <w:tc>
          <w:tcPr>
            <w:tcW w:w="1100" w:type="dxa"/>
            <w:vAlign w:val="bottom"/>
            <w:gridSpan w:val="3"/>
          </w:tcPr>
          <w:p>
            <w:pPr>
              <w:ind w:left="860"/>
              <w:spacing w:after="0"/>
              <w:rPr>
                <w:sz w:val="20"/>
                <w:szCs w:val="20"/>
                <w:color w:val="auto"/>
              </w:rPr>
            </w:pPr>
            <w:r>
              <w:rPr>
                <w:rFonts w:ascii="Arial" w:cs="Arial" w:eastAsia="Arial" w:hAnsi="Arial"/>
                <w:sz w:val="18"/>
                <w:szCs w:val="18"/>
                <w:color w:val="auto"/>
                <w:w w:val="87"/>
              </w:rPr>
              <w:t>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0" w:type="dxa"/>
            <w:vAlign w:val="bottom"/>
            <w:tcBorders>
              <w:bottom w:val="single" w:sz="8" w:color="CFF0FC"/>
            </w:tcBorders>
            <w:gridSpan w:val="3"/>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63,280</w:t>
            </w:r>
          </w:p>
        </w:tc>
        <w:tc>
          <w:tcPr>
            <w:tcW w:w="8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bottom w:val="single" w:sz="8" w:color="CFF0FC"/>
            </w:tcBorders>
            <w:shd w:val="clear" w:color="auto" w:fill="CFF0FC"/>
          </w:tcPr>
          <w:p>
            <w:pPr>
              <w:spacing w:after="0"/>
              <w:rPr>
                <w:sz w:val="23"/>
                <w:szCs w:val="23"/>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(4,473</w:t>
            </w:r>
          </w:p>
        </w:tc>
        <w:tc>
          <w:tcPr>
            <w:tcW w:w="12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8"/>
                <w:szCs w:val="18"/>
                <w:color w:val="auto"/>
                <w:w w:val="99"/>
              </w:rPr>
              <w:t>)</w:t>
            </w:r>
          </w:p>
        </w:tc>
        <w:tc>
          <w:tcPr>
            <w:tcW w:w="40" w:type="dxa"/>
            <w:vAlign w:val="bottom"/>
            <w:tcBorders>
              <w:bottom w:val="single" w:sz="8" w:color="CFF0FC"/>
            </w:tcBorders>
            <w:shd w:val="clear" w:color="auto" w:fill="CFF0FC"/>
          </w:tcPr>
          <w:p>
            <w:pPr>
              <w:spacing w:after="0"/>
              <w:rPr>
                <w:sz w:val="23"/>
                <w:szCs w:val="23"/>
                <w:color w:val="auto"/>
              </w:rPr>
            </w:pPr>
          </w:p>
        </w:tc>
        <w:tc>
          <w:tcPr>
            <w:tcW w:w="480" w:type="dxa"/>
            <w:vAlign w:val="bottom"/>
            <w:tcBorders>
              <w:top w:val="single" w:sz="8" w:color="auto"/>
              <w:bottom w:val="single" w:sz="8" w:color="auto"/>
            </w:tcBorders>
            <w:shd w:val="clear" w:color="auto" w:fill="CFF0FC"/>
          </w:tcPr>
          <w:p>
            <w:pPr>
              <w:jc w:val="right"/>
              <w:ind w:right="30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7"/>
              </w:rPr>
              <w:t>58,807</w:t>
            </w:r>
          </w:p>
        </w:tc>
        <w:tc>
          <w:tcPr>
            <w:tcW w:w="40" w:type="dxa"/>
            <w:vAlign w:val="bottom"/>
            <w:tcBorders>
              <w:bottom w:val="single" w:sz="8" w:color="CFF0FC"/>
            </w:tcBorders>
            <w:shd w:val="clear" w:color="auto" w:fill="CFF0FC"/>
          </w:tcPr>
          <w:p>
            <w:pPr>
              <w:spacing w:after="0"/>
              <w:rPr>
                <w:sz w:val="23"/>
                <w:szCs w:val="23"/>
                <w:color w:val="auto"/>
              </w:rPr>
            </w:pPr>
          </w:p>
        </w:tc>
        <w:tc>
          <w:tcPr>
            <w:tcW w:w="80" w:type="dxa"/>
            <w:vAlign w:val="bottom"/>
            <w:tcBorders>
              <w:bottom w:val="single" w:sz="8" w:color="CFF0FC"/>
            </w:tcBorders>
            <w:shd w:val="clear" w:color="auto" w:fill="CFF0FC"/>
          </w:tcPr>
          <w:p>
            <w:pPr>
              <w:spacing w:after="0"/>
              <w:rPr>
                <w:sz w:val="23"/>
                <w:szCs w:val="23"/>
                <w:color w:val="auto"/>
              </w:rPr>
            </w:pPr>
          </w:p>
        </w:tc>
        <w:tc>
          <w:tcPr>
            <w:tcW w:w="20" w:type="dxa"/>
            <w:vAlign w:val="bottom"/>
            <w:tcBorders>
              <w:bottom w:val="single" w:sz="8" w:color="CFF0FC"/>
            </w:tcBorders>
            <w:shd w:val="clear" w:color="auto" w:fill="CFF0FC"/>
          </w:tcPr>
          <w:p>
            <w:pPr>
              <w:spacing w:after="0"/>
              <w:rPr>
                <w:sz w:val="23"/>
                <w:szCs w:val="23"/>
                <w:color w:val="auto"/>
              </w:rPr>
            </w:pPr>
          </w:p>
        </w:tc>
        <w:tc>
          <w:tcPr>
            <w:tcW w:w="10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r>
        <w:trPr>
          <w:trHeight w:val="486"/>
        </w:trPr>
        <w:tc>
          <w:tcPr>
            <w:tcW w:w="340" w:type="dxa"/>
            <w:vAlign w:val="bottom"/>
          </w:tcPr>
          <w:p>
            <w:pPr>
              <w:spacing w:after="0"/>
              <w:rPr>
                <w:sz w:val="24"/>
                <w:szCs w:val="24"/>
                <w:color w:val="auto"/>
              </w:rPr>
            </w:pPr>
          </w:p>
        </w:tc>
        <w:tc>
          <w:tcPr>
            <w:tcW w:w="10340" w:type="dxa"/>
            <w:vAlign w:val="bottom"/>
            <w:gridSpan w:val="22"/>
          </w:tcPr>
          <w:p>
            <w:pPr>
              <w:ind w:left="180"/>
              <w:spacing w:after="0"/>
              <w:rPr>
                <w:sz w:val="20"/>
                <w:szCs w:val="20"/>
                <w:color w:val="auto"/>
              </w:rPr>
            </w:pPr>
            <w:r>
              <w:rPr>
                <w:rFonts w:ascii="Arial" w:cs="Arial" w:eastAsia="Arial" w:hAnsi="Arial"/>
                <w:sz w:val="18"/>
                <w:szCs w:val="18"/>
                <w:color w:val="auto"/>
                <w:w w:val="91"/>
              </w:rPr>
              <w:t>Amortization expense for the years ended December 31, 2022, 2021 and 2020 were $1.1 million, $1.1 million and $1.1 million, respectively.</w:t>
            </w:r>
          </w:p>
        </w:tc>
        <w:tc>
          <w:tcPr>
            <w:tcW w:w="0" w:type="dxa"/>
            <w:vAlign w:val="bottom"/>
          </w:tcPr>
          <w:p>
            <w:pPr>
              <w:spacing w:after="0"/>
              <w:rPr>
                <w:sz w:val="1"/>
                <w:szCs w:val="1"/>
                <w:color w:val="auto"/>
              </w:rPr>
            </w:pPr>
          </w:p>
        </w:tc>
      </w:tr>
      <w:tr>
        <w:trPr>
          <w:trHeight w:val="459"/>
        </w:trPr>
        <w:tc>
          <w:tcPr>
            <w:tcW w:w="340" w:type="dxa"/>
            <w:vAlign w:val="bottom"/>
          </w:tcPr>
          <w:p>
            <w:pPr>
              <w:spacing w:after="0"/>
              <w:rPr>
                <w:sz w:val="24"/>
                <w:szCs w:val="24"/>
                <w:color w:val="auto"/>
              </w:rPr>
            </w:pPr>
          </w:p>
        </w:tc>
        <w:tc>
          <w:tcPr>
            <w:tcW w:w="5640" w:type="dxa"/>
            <w:vAlign w:val="bottom"/>
            <w:gridSpan w:val="4"/>
          </w:tcPr>
          <w:p>
            <w:pPr>
              <w:ind w:left="180"/>
              <w:spacing w:after="0"/>
              <w:rPr>
                <w:sz w:val="20"/>
                <w:szCs w:val="20"/>
                <w:color w:val="auto"/>
              </w:rPr>
            </w:pPr>
            <w:r>
              <w:rPr>
                <w:rFonts w:ascii="Arial" w:cs="Arial" w:eastAsia="Arial" w:hAnsi="Arial"/>
                <w:sz w:val="18"/>
                <w:szCs w:val="18"/>
                <w:color w:val="auto"/>
              </w:rPr>
              <w:t>As of December 31, 2022, future amortization expense is as follows: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Amount</w:t>
            </w:r>
          </w:p>
        </w:tc>
        <w:tc>
          <w:tcPr>
            <w:tcW w:w="8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920" w:type="dxa"/>
            <w:vAlign w:val="bottom"/>
            <w:gridSpan w:val="3"/>
          </w:tcPr>
          <w:p>
            <w:pPr>
              <w:spacing w:after="0"/>
              <w:rPr>
                <w:sz w:val="21"/>
                <w:szCs w:val="21"/>
                <w:color w:val="auto"/>
              </w:rPr>
            </w:pPr>
          </w:p>
        </w:tc>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64"/>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1,069</w:t>
            </w:r>
          </w:p>
        </w:tc>
        <w:tc>
          <w:tcPr>
            <w:tcW w:w="80" w:type="dxa"/>
            <w:vAlign w:val="bottom"/>
            <w:tcBorders>
              <w:right w:val="single" w:sz="8" w:color="CFF0FC"/>
            </w:tcBorders>
            <w:shd w:val="clear" w:color="auto" w:fill="CFF0FC"/>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1920" w:type="dxa"/>
            <w:vAlign w:val="bottom"/>
            <w:gridSpan w:val="3"/>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1,068</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340" w:type="dxa"/>
            <w:vAlign w:val="bottom"/>
          </w:tcPr>
          <w:p>
            <w:pPr>
              <w:spacing w:after="0"/>
              <w:rPr>
                <w:sz w:val="21"/>
                <w:szCs w:val="21"/>
                <w:color w:val="auto"/>
              </w:rPr>
            </w:pPr>
          </w:p>
        </w:tc>
        <w:tc>
          <w:tcPr>
            <w:tcW w:w="1920" w:type="dxa"/>
            <w:vAlign w:val="bottom"/>
            <w:gridSpan w:val="3"/>
          </w:tcPr>
          <w:p>
            <w:pPr>
              <w:spacing w:after="0"/>
              <w:rPr>
                <w:sz w:val="21"/>
                <w:szCs w:val="21"/>
                <w:color w:val="auto"/>
              </w:rPr>
            </w:pPr>
          </w:p>
        </w:tc>
        <w:tc>
          <w:tcPr>
            <w:tcW w:w="3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2025</w:t>
            </w:r>
          </w:p>
        </w:tc>
        <w:tc>
          <w:tcPr>
            <w:tcW w:w="14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870</w:t>
            </w:r>
          </w:p>
        </w:tc>
        <w:tc>
          <w:tcPr>
            <w:tcW w:w="80" w:type="dxa"/>
            <w:vAlign w:val="bottom"/>
            <w:tcBorders>
              <w:bottom w:val="single" w:sz="8" w:color="auto"/>
              <w:right w:val="single" w:sz="8" w:color="CFF0FC"/>
            </w:tcBorders>
            <w:shd w:val="clear" w:color="auto" w:fill="CFF0FC"/>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26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3,007</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-3754120</wp:posOffset>
            </wp:positionV>
            <wp:extent cx="514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-3736975</wp:posOffset>
            </wp:positionV>
            <wp:extent cx="514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-3754120</wp:posOffset>
            </wp:positionV>
            <wp:extent cx="431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-3736975</wp:posOffset>
            </wp:positionV>
            <wp:extent cx="431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-1671320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-1653540</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-1671320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-1653540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-1671320</wp:posOffset>
            </wp:positionV>
            <wp:extent cx="5969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-1653540</wp:posOffset>
            </wp:positionV>
            <wp:extent cx="596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3429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3429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 assets, net consist of the following as of December 31, 2021:</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17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2"/>
                <w:szCs w:val="12"/>
                <w:color w:val="auto"/>
              </w:rPr>
            </w:pPr>
          </w:p>
        </w:tc>
        <w:tc>
          <w:tcPr>
            <w:tcW w:w="860" w:type="dxa"/>
            <w:vAlign w:val="bottom"/>
            <w:vMerge w:val="restart"/>
          </w:tcPr>
          <w:p>
            <w:pPr>
              <w:jc w:val="right"/>
              <w:ind w:right="157"/>
              <w:spacing w:after="0"/>
              <w:rPr>
                <w:sz w:val="20"/>
                <w:szCs w:val="20"/>
                <w:color w:val="auto"/>
              </w:rPr>
            </w:pPr>
            <w:r>
              <w:rPr>
                <w:rFonts w:ascii="Arial" w:cs="Arial" w:eastAsia="Arial" w:hAnsi="Arial"/>
                <w:sz w:val="14"/>
                <w:szCs w:val="14"/>
                <w:b w:val="1"/>
                <w:bCs w:val="1"/>
                <w:color w:val="auto"/>
              </w:rPr>
              <w:t>Net book</w:t>
            </w: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89"/>
              </w:rPr>
              <w:t>Gross value</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w w:val="96"/>
              </w:rPr>
              <w:t>amortization</w:t>
            </w:r>
          </w:p>
        </w:tc>
        <w:tc>
          <w:tcPr>
            <w:tcW w:w="180" w:type="dxa"/>
            <w:vAlign w:val="bottom"/>
          </w:tcPr>
          <w:p>
            <w:pPr>
              <w:spacing w:after="0"/>
              <w:rPr>
                <w:sz w:val="16"/>
                <w:szCs w:val="16"/>
                <w:color w:val="auto"/>
              </w:rPr>
            </w:pPr>
          </w:p>
        </w:tc>
        <w:tc>
          <w:tcPr>
            <w:tcW w:w="860" w:type="dxa"/>
            <w:vAlign w:val="bottom"/>
          </w:tcPr>
          <w:p>
            <w:pPr>
              <w:jc w:val="right"/>
              <w:ind w:right="277"/>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1"/>
              </w:rPr>
              <w:t>useful life</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Borders>
              <w:top w:val="single" w:sz="8" w:color="auto"/>
            </w:tcBorders>
            <w:gridSpan w:val="2"/>
          </w:tcPr>
          <w:p>
            <w:pPr>
              <w:jc w:val="right"/>
              <w:ind w:right="37"/>
              <w:spacing w:after="0"/>
              <w:rPr>
                <w:sz w:val="20"/>
                <w:szCs w:val="20"/>
                <w:color w:val="auto"/>
              </w:rPr>
            </w:pPr>
            <w:r>
              <w:rPr>
                <w:rFonts w:ascii="Arial" w:cs="Arial" w:eastAsia="Arial" w:hAnsi="Arial"/>
                <w:sz w:val="14"/>
                <w:szCs w:val="14"/>
                <w:b w:val="1"/>
                <w:bCs w:val="1"/>
                <w:color w:val="auto"/>
                <w:w w:val="95"/>
              </w:rPr>
              <w:t>(in thousands)</w:t>
            </w:r>
          </w:p>
        </w:tc>
        <w:tc>
          <w:tcPr>
            <w:tcW w:w="1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In-process research and development — RAS</w:t>
            </w: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580" w:type="dxa"/>
            <w:vAlign w:val="bottom"/>
          </w:tcPr>
          <w:p>
            <w:pPr>
              <w:spacing w:after="0"/>
              <w:rPr>
                <w:sz w:val="21"/>
                <w:szCs w:val="21"/>
                <w:color w:val="auto"/>
              </w:rPr>
            </w:pPr>
          </w:p>
        </w:tc>
        <w:tc>
          <w:tcPr>
            <w:tcW w:w="41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Programs</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55,800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55,800</w:t>
            </w:r>
          </w:p>
        </w:tc>
        <w:tc>
          <w:tcPr>
            <w:tcW w:w="160" w:type="dxa"/>
            <w:vAlign w:val="bottom"/>
            <w:shd w:val="clear" w:color="auto" w:fill="CFF0FC"/>
          </w:tcPr>
          <w:p>
            <w:pPr>
              <w:spacing w:after="0"/>
              <w:rPr>
                <w:sz w:val="21"/>
                <w:szCs w:val="21"/>
                <w:color w:val="auto"/>
              </w:rPr>
            </w:pPr>
          </w:p>
        </w:tc>
        <w:tc>
          <w:tcPr>
            <w:tcW w:w="940" w:type="dxa"/>
            <w:vAlign w:val="bottom"/>
            <w:shd w:val="clear" w:color="auto" w:fill="CFF0FC"/>
          </w:tcPr>
          <w:p>
            <w:pPr>
              <w:ind w:left="700"/>
              <w:spacing w:after="0"/>
              <w:rPr>
                <w:sz w:val="20"/>
                <w:szCs w:val="20"/>
                <w:color w:val="auto"/>
              </w:rPr>
            </w:pPr>
            <w:r>
              <w:rPr>
                <w:rFonts w:ascii="Arial" w:cs="Arial" w:eastAsia="Arial" w:hAnsi="Arial"/>
                <w:sz w:val="18"/>
                <w:szCs w:val="18"/>
                <w:color w:val="auto"/>
                <w:w w:val="87"/>
              </w:rPr>
              <w:t>n/a</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Developed technology — tri-complex platform</w:t>
            </w: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7,480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(3,404 )</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4,076</w:t>
            </w:r>
          </w:p>
        </w:tc>
        <w:tc>
          <w:tcPr>
            <w:tcW w:w="1100" w:type="dxa"/>
            <w:vAlign w:val="bottom"/>
            <w:gridSpan w:val="2"/>
          </w:tcPr>
          <w:p>
            <w:pPr>
              <w:ind w:left="860"/>
              <w:spacing w:after="0"/>
              <w:rPr>
                <w:sz w:val="20"/>
                <w:szCs w:val="20"/>
                <w:color w:val="auto"/>
              </w:rPr>
            </w:pPr>
            <w:r>
              <w:rPr>
                <w:rFonts w:ascii="Arial" w:cs="Arial" w:eastAsia="Arial" w:hAnsi="Arial"/>
                <w:sz w:val="18"/>
                <w:szCs w:val="18"/>
                <w:color w:val="auto"/>
                <w:w w:val="87"/>
              </w:rPr>
              <w:t>3.9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416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26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63,280</w:t>
            </w:r>
          </w:p>
        </w:tc>
        <w:tc>
          <w:tcPr>
            <w:tcW w:w="20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(3,404</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59,876</w:t>
            </w:r>
          </w:p>
        </w:tc>
        <w:tc>
          <w:tcPr>
            <w:tcW w:w="16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5"/>
        </w:trPr>
        <w:tc>
          <w:tcPr>
            <w:tcW w:w="5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-522605</wp:posOffset>
            </wp:positionV>
            <wp:extent cx="6858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-504825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-522605</wp:posOffset>
            </wp:positionV>
            <wp:extent cx="6858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-504825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-522605</wp:posOffset>
            </wp:positionV>
            <wp:extent cx="6032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-504825</wp:posOffset>
            </wp:positionV>
            <wp:extent cx="603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Goodwill consists of the following:</w:t>
      </w:r>
    </w:p>
    <w:p>
      <w:pPr>
        <w:spacing w:after="0" w:line="311"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6"/>
                <w:szCs w:val="16"/>
                <w:color w:val="auto"/>
              </w:rPr>
            </w:pPr>
          </w:p>
        </w:tc>
      </w:tr>
      <w:tr>
        <w:trPr>
          <w:trHeight w:val="236"/>
        </w:trPr>
        <w:tc>
          <w:tcPr>
            <w:tcW w:w="5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77"/>
              <w:spacing w:after="0"/>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20"/>
                <w:szCs w:val="20"/>
                <w:color w:val="auto"/>
              </w:rPr>
            </w:pPr>
          </w:p>
        </w:tc>
      </w:tr>
      <w:tr>
        <w:trPr>
          <w:trHeight w:val="24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2021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14,608</w:t>
            </w:r>
          </w:p>
        </w:tc>
        <w:tc>
          <w:tcPr>
            <w:tcW w:w="60" w:type="dxa"/>
            <w:vAlign w:val="bottom"/>
            <w:shd w:val="clear" w:color="auto" w:fill="CFF0FC"/>
          </w:tcPr>
          <w:p>
            <w:pPr>
              <w:spacing w:after="0"/>
              <w:rPr>
                <w:sz w:val="21"/>
                <w:szCs w:val="21"/>
                <w:color w:val="auto"/>
              </w:rPr>
            </w:pP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Adjustment</w:t>
            </w: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76"/>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2022</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14,608</w:t>
            </w:r>
          </w:p>
        </w:tc>
        <w:tc>
          <w:tcPr>
            <w:tcW w:w="6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 impairment has been recognized as of December 31, 2022. Goodwill is not deductible for income tax purposes.</w:t>
      </w:r>
    </w:p>
    <w:p>
      <w:pPr>
        <w:spacing w:after="0" w:line="329"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right="60" w:firstLine="509"/>
        <w:spacing w:after="0" w:line="254" w:lineRule="auto"/>
        <w:rPr>
          <w:sz w:val="20"/>
          <w:szCs w:val="20"/>
          <w:color w:val="auto"/>
        </w:rPr>
      </w:pPr>
      <w:r>
        <w:rPr>
          <w:rFonts w:ascii="Arial" w:cs="Arial" w:eastAsia="Arial" w:hAnsi="Arial"/>
          <w:sz w:val="18"/>
          <w:szCs w:val="18"/>
          <w:color w:val="auto"/>
        </w:rPr>
        <w:t>In January 2015, as amended in September 2016, the Company entered into an operating lease for approximately 42,000 square feet of office and laboratory space located at 700 Saginaw Drive, Redwood City, California (the 700 Building), with a term through April 2023. In April 2020, the Company amended the lease to lease an additional 19,000 square feet of office, laboratory and research and development space located at 300 Saginaw Drive, Redwood City, California (the 300 Building), and to extend the lease term through December 2030. In November 2021, the Company amended the lease to lease an additional 41,000 square feet of office, laboratory and research and development space located at 800 Saginaw Drive, Redwood City, California (the 800 Building), and to extend the lease term through November 2033. The Company has the option to extend the lease for an additional ten years after November 30, 2033.</w:t>
      </w:r>
    </w:p>
    <w:p>
      <w:pPr>
        <w:spacing w:after="0" w:line="195" w:lineRule="exact"/>
        <w:rPr>
          <w:sz w:val="20"/>
          <w:szCs w:val="20"/>
          <w:color w:val="auto"/>
        </w:rPr>
      </w:pPr>
    </w:p>
    <w:p>
      <w:pPr>
        <w:ind w:right="480" w:firstLine="509"/>
        <w:spacing w:after="0" w:line="263" w:lineRule="auto"/>
        <w:rPr>
          <w:sz w:val="20"/>
          <w:szCs w:val="20"/>
          <w:color w:val="auto"/>
        </w:rPr>
      </w:pPr>
      <w:r>
        <w:rPr>
          <w:rFonts w:ascii="Arial" w:cs="Arial" w:eastAsia="Arial" w:hAnsi="Arial"/>
          <w:sz w:val="18"/>
          <w:szCs w:val="18"/>
          <w:color w:val="auto"/>
        </w:rPr>
        <w:t>The Company maintains letters of credit for the benefit of the landlord which is disclosed as restricted cash in the consolidated balance sheets. Restricted cash related to letters of credit due to the landlord was $1.5 million and $1.5 million as of December 31, 2022 and December 31, 2021, respectively.</w:t>
      </w:r>
    </w:p>
    <w:p>
      <w:pPr>
        <w:spacing w:after="0" w:line="184"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Through December 31, 2022, the landlord had provided the Company with $3.4 million in tenant improvement allowances for the 700 Building, and $4.6 million for the 300 building, which were recognized as lease incentives. The lease incentives are being amortized as an offset to rent expense over the lease term in the consolidated statements of operations.</w:t>
      </w:r>
    </w:p>
    <w:p>
      <w:pPr>
        <w:spacing w:after="0" w:line="184"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Upon the execution of the lease in April 2020, which was deemed to be a lease modification, the Company re-evaluated the assumptions used during the adoption of ASC 842 for the lease. The Company determined the amendment consists of two separate contracts under ASC 842. One contract is related to a new right-of-use asset for the 300 Building, which is being accounted for as an operating lease, and the other is related to the modification of the original lease term for the 700 Building. As a result, the Company recorded a right-of-use asset of $6.4 million and a lease liability of $9.0 million for the 300 Building and an increase of $14.8 million to the right-of-use asset and lease liability for the 700 Building upon execution of the lease amendment. The Company is recognizing rent expense for both buildings on a straight-line basis through the remaining extended term of the lease.</w:t>
      </w:r>
    </w:p>
    <w:p>
      <w:pPr>
        <w:spacing w:after="0" w:line="164"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Upon the execution of the lease amendment in November 2021, which was deemed to be a lease modification, the Company re-evaluated the assumptions used during the lease amendment in April 2020. The Company determined the amendment consists of two separate contracts under ASC 842. One contract is related to a new right-of-use asset for the 800 Building, which is being accounted for as an operating lease, and the other is related to the modification of the lease term, as amended in April 2020, for the 700 Building and 300 Building. As a result, the Company recorded a right-of-use asset and a lease liability of $26.8 million for the 800 Building and an aggregate increase of $8.6 million to the right-of-use assets and lease liabilities for the 700 Building and 300 Building upon execution of the lease amendment. The Company is recognizing rent expense for the buildings on a straight-line basis through the remaining extended term of the lease.</w:t>
      </w:r>
    </w:p>
    <w:p>
      <w:pPr>
        <w:spacing w:after="0" w:line="177" w:lineRule="exact"/>
        <w:rPr>
          <w:sz w:val="20"/>
          <w:szCs w:val="20"/>
          <w:color w:val="auto"/>
        </w:rPr>
      </w:pPr>
    </w:p>
    <w:p>
      <w:pPr>
        <w:ind w:right="80" w:firstLine="509"/>
        <w:spacing w:after="0" w:line="272" w:lineRule="auto"/>
        <w:rPr>
          <w:sz w:val="20"/>
          <w:szCs w:val="20"/>
          <w:color w:val="auto"/>
        </w:rPr>
      </w:pPr>
      <w:r>
        <w:rPr>
          <w:rFonts w:ascii="Arial" w:cs="Arial" w:eastAsia="Arial" w:hAnsi="Arial"/>
          <w:sz w:val="17"/>
          <w:szCs w:val="17"/>
          <w:color w:val="auto"/>
        </w:rPr>
        <w:t>As part of the Warp Drive acquisition in October 2018, the Company assumed an operating lease for approximately 22,000 square feet of office and laboratory space located in Cambridge, Massachusetts (Cambridge Lease), which expires in February 2023, with an option to extend the term through February 2028, subject to certain conditions. In March 2019, the Company fully subleased the Cambridge Lease to Casma Therapeutics, Inc. (Casma), a related party, on financial terms substantially the same as the original lease. The sublease term with Casma is through the remainder of the Cambridge Lease term. The sublease by Casma and related sublease payments by Casma to the Company are fully guaranteed by Third Rock Ventures, LLC, a related party. In conjunction with the Cambridge Lease, the Company issued a letter of credit for $0.2 million, which is included in restricted cash on the consolidated balance sheets as of December 31, 2022 and 2021.</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4" w:name="page115"/>
    <w:bookmarkEnd w:id="114"/>
    <w:p>
      <w:pPr>
        <w:ind w:left="520"/>
        <w:spacing w:after="0"/>
        <w:rPr>
          <w:sz w:val="20"/>
          <w:szCs w:val="20"/>
          <w:color w:val="auto"/>
        </w:rPr>
      </w:pPr>
      <w:r>
        <w:rPr>
          <w:rFonts w:ascii="Arial" w:cs="Arial" w:eastAsia="Arial" w:hAnsi="Arial"/>
          <w:sz w:val="18"/>
          <w:szCs w:val="18"/>
          <w:color w:val="auto"/>
        </w:rPr>
        <w:t>The balance sheet classification of the Company’s operating lease liabilities was as follows:</w:t>
      </w:r>
    </w:p>
    <w:p>
      <w:pPr>
        <w:spacing w:after="0" w:line="325" w:lineRule="exact"/>
        <w:rPr>
          <w:sz w:val="20"/>
          <w:szCs w:val="20"/>
          <w:color w:val="auto"/>
        </w:rPr>
      </w:pPr>
    </w:p>
    <w:tbl>
      <w:tblPr>
        <w:tblLayout w:type="fixed"/>
        <w:tblInd w:w="2260" w:type="dxa"/>
        <w:tblCellMar>
          <w:top w:w="0" w:type="dxa"/>
          <w:left w:w="0" w:type="dxa"/>
          <w:bottom w:w="0" w:type="dxa"/>
          <w:right w:w="0" w:type="dxa"/>
        </w:tblCellMar>
      </w:tblPr>
      <w:tr>
        <w:trPr>
          <w:trHeight w:val="176"/>
        </w:trPr>
        <w:tc>
          <w:tcPr>
            <w:tcW w:w="5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97"/>
              <w:spacing w:after="0"/>
              <w:rPr>
                <w:sz w:val="20"/>
                <w:szCs w:val="20"/>
                <w:color w:val="auto"/>
              </w:rPr>
            </w:pPr>
            <w:r>
              <w:rPr>
                <w:rFonts w:ascii="Arial" w:cs="Arial" w:eastAsia="Arial" w:hAnsi="Arial"/>
                <w:sz w:val="14"/>
                <w:szCs w:val="14"/>
                <w:b w:val="1"/>
                <w:bCs w:val="1"/>
                <w:color w:val="auto"/>
                <w:w w:val="94"/>
              </w:rPr>
              <w:t>December 31,</w:t>
            </w:r>
          </w:p>
        </w:tc>
        <w:tc>
          <w:tcPr>
            <w:tcW w:w="60" w:type="dxa"/>
            <w:vAlign w:val="bottom"/>
          </w:tcPr>
          <w:p>
            <w:pPr>
              <w:spacing w:after="0"/>
              <w:rPr>
                <w:sz w:val="15"/>
                <w:szCs w:val="15"/>
                <w:color w:val="auto"/>
              </w:rPr>
            </w:pPr>
          </w:p>
        </w:tc>
      </w:tr>
      <w:tr>
        <w:trPr>
          <w:trHeight w:val="185"/>
        </w:trPr>
        <w:tc>
          <w:tcPr>
            <w:tcW w:w="54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r>
      <w:tr>
        <w:trPr>
          <w:trHeight w:val="169"/>
        </w:trPr>
        <w:tc>
          <w:tcPr>
            <w:tcW w:w="548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4"/>
                <w:szCs w:val="14"/>
                <w:color w:val="auto"/>
              </w:rPr>
            </w:pPr>
          </w:p>
        </w:tc>
      </w:tr>
      <w:tr>
        <w:trPr>
          <w:trHeight w:val="243"/>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w:t>
            </w: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r>
      <w:tr>
        <w:trPr>
          <w:trHeight w:val="237"/>
        </w:trPr>
        <w:tc>
          <w:tcPr>
            <w:tcW w:w="5480" w:type="dxa"/>
            <w:vAlign w:val="bottom"/>
          </w:tcPr>
          <w:p>
            <w:pPr>
              <w:spacing w:after="0"/>
              <w:rPr>
                <w:sz w:val="20"/>
                <w:szCs w:val="20"/>
                <w:color w:val="auto"/>
              </w:rPr>
            </w:pPr>
            <w:r>
              <w:rPr>
                <w:rFonts w:ascii="Arial" w:cs="Arial" w:eastAsia="Arial" w:hAnsi="Arial"/>
                <w:sz w:val="18"/>
                <w:szCs w:val="18"/>
                <w:color w:val="auto"/>
              </w:rPr>
              <w:t>Operating lease liability – current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6,773</w:t>
            </w:r>
          </w:p>
        </w:tc>
        <w:tc>
          <w:tcPr>
            <w:tcW w:w="60" w:type="dxa"/>
            <w:vAlign w:val="bottom"/>
          </w:tcPr>
          <w:p>
            <w:pPr>
              <w:spacing w:after="0"/>
              <w:rPr>
                <w:sz w:val="20"/>
                <w:szCs w:val="20"/>
                <w:color w:val="auto"/>
              </w:rPr>
            </w:pPr>
          </w:p>
        </w:tc>
      </w:tr>
      <w:tr>
        <w:trPr>
          <w:trHeight w:val="243"/>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liability – noncurrent</w:t>
            </w:r>
          </w:p>
        </w:tc>
        <w:tc>
          <w:tcPr>
            <w:tcW w:w="1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57,432</w:t>
            </w:r>
          </w:p>
        </w:tc>
        <w:tc>
          <w:tcPr>
            <w:tcW w:w="60" w:type="dxa"/>
            <w:vAlign w:val="bottom"/>
            <w:tcBorders>
              <w:bottom w:val="single" w:sz="8" w:color="CFF0FC"/>
            </w:tcBorders>
            <w:shd w:val="clear" w:color="auto" w:fill="CFF0FC"/>
          </w:tcPr>
          <w:p>
            <w:pPr>
              <w:spacing w:after="0"/>
              <w:rPr>
                <w:sz w:val="21"/>
                <w:szCs w:val="21"/>
                <w:color w:val="auto"/>
              </w:rPr>
            </w:pPr>
          </w:p>
        </w:tc>
      </w:tr>
      <w:tr>
        <w:trPr>
          <w:trHeight w:val="236"/>
        </w:trPr>
        <w:tc>
          <w:tcPr>
            <w:tcW w:w="5480" w:type="dxa"/>
            <w:vAlign w:val="bottom"/>
          </w:tcPr>
          <w:p>
            <w:pPr>
              <w:spacing w:after="0"/>
              <w:rPr>
                <w:sz w:val="20"/>
                <w:szCs w:val="20"/>
                <w:color w:val="auto"/>
              </w:rPr>
            </w:pPr>
            <w:r>
              <w:rPr>
                <w:rFonts w:ascii="Arial" w:cs="Arial" w:eastAsia="Arial" w:hAnsi="Arial"/>
                <w:sz w:val="18"/>
                <w:szCs w:val="18"/>
                <w:color w:val="auto"/>
              </w:rPr>
              <w:t>Total operating lease liabilities</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64,205</w:t>
            </w:r>
          </w:p>
        </w:tc>
        <w:tc>
          <w:tcPr>
            <w:tcW w:w="60" w:type="dxa"/>
            <w:vAlign w:val="bottom"/>
          </w:tcPr>
          <w:p>
            <w:pPr>
              <w:spacing w:after="0"/>
              <w:rPr>
                <w:sz w:val="20"/>
                <w:szCs w:val="20"/>
                <w:color w:val="auto"/>
              </w:rPr>
            </w:pPr>
          </w:p>
        </w:tc>
      </w:tr>
      <w:tr>
        <w:trPr>
          <w:trHeight w:val="20"/>
        </w:trPr>
        <w:tc>
          <w:tcPr>
            <w:tcW w:w="5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-187960</wp:posOffset>
            </wp:positionV>
            <wp:extent cx="34290" cy="18859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222" w:lineRule="exact"/>
        <w:rPr>
          <w:sz w:val="20"/>
          <w:szCs w:val="20"/>
          <w:color w:val="auto"/>
        </w:rPr>
      </w:pPr>
    </w:p>
    <w:p>
      <w:pPr>
        <w:ind w:right="260" w:firstLine="509"/>
        <w:spacing w:after="0" w:line="286" w:lineRule="auto"/>
        <w:rPr>
          <w:sz w:val="20"/>
          <w:szCs w:val="20"/>
          <w:color w:val="auto"/>
        </w:rPr>
      </w:pPr>
      <w:r>
        <w:rPr>
          <w:rFonts w:ascii="Arial" w:cs="Arial" w:eastAsia="Arial" w:hAnsi="Arial"/>
          <w:sz w:val="17"/>
          <w:szCs w:val="17"/>
          <w:color w:val="auto"/>
        </w:rPr>
        <w:t>For the years ended December 31, 2022 and 2021, operating lease cost was $6.4 million and $3.4 million, respectively, net of sublease income of $2.5 million and $2.1 million, respectively. The operating cash flows for operating leases were $2.4 million and $1.5 million year ended December 31, 2022 and 2021, respectively. Short-term lease costs were immaterial for the years ended December 31, 2022 and 2021.</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2022, the maturities of the Company’s operating lease liabilities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2260" w:type="dxa"/>
        <w:tblCellMar>
          <w:top w:w="0" w:type="dxa"/>
          <w:left w:w="0" w:type="dxa"/>
          <w:bottom w:w="0" w:type="dxa"/>
          <w:right w:w="0" w:type="dxa"/>
        </w:tblCellMar>
      </w:tblPr>
      <w:tr>
        <w:trPr>
          <w:trHeight w:val="24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6,961</w:t>
            </w:r>
          </w:p>
        </w:tc>
        <w:tc>
          <w:tcPr>
            <w:tcW w:w="180" w:type="dxa"/>
            <w:vAlign w:val="bottom"/>
            <w:shd w:val="clear" w:color="auto" w:fill="CFF0FC"/>
          </w:tcPr>
          <w:p>
            <w:pPr>
              <w:spacing w:after="0"/>
              <w:rPr>
                <w:sz w:val="21"/>
                <w:szCs w:val="21"/>
                <w:color w:val="auto"/>
              </w:rPr>
            </w:pP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2024</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7,100</w:t>
            </w:r>
          </w:p>
        </w:tc>
        <w:tc>
          <w:tcPr>
            <w:tcW w:w="180" w:type="dxa"/>
            <w:vAlign w:val="bottom"/>
          </w:tcPr>
          <w:p>
            <w:pPr>
              <w:spacing w:after="0"/>
              <w:rPr>
                <w:sz w:val="20"/>
                <w:szCs w:val="20"/>
                <w:color w:val="auto"/>
              </w:rPr>
            </w:pPr>
          </w:p>
        </w:tc>
      </w:tr>
      <w:tr>
        <w:trPr>
          <w:trHeight w:val="24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7,349</w:t>
            </w:r>
          </w:p>
        </w:tc>
        <w:tc>
          <w:tcPr>
            <w:tcW w:w="180" w:type="dxa"/>
            <w:vAlign w:val="bottom"/>
            <w:shd w:val="clear" w:color="auto" w:fill="CFF0FC"/>
          </w:tcPr>
          <w:p>
            <w:pPr>
              <w:spacing w:after="0"/>
              <w:rPr>
                <w:sz w:val="21"/>
                <w:szCs w:val="21"/>
                <w:color w:val="auto"/>
              </w:rPr>
            </w:pP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7,606</w:t>
            </w:r>
          </w:p>
        </w:tc>
        <w:tc>
          <w:tcPr>
            <w:tcW w:w="180" w:type="dxa"/>
            <w:vAlign w:val="bottom"/>
          </w:tcPr>
          <w:p>
            <w:pPr>
              <w:spacing w:after="0"/>
              <w:rPr>
                <w:sz w:val="20"/>
                <w:szCs w:val="20"/>
                <w:color w:val="auto"/>
              </w:rPr>
            </w:pPr>
          </w:p>
        </w:tc>
      </w:tr>
      <w:tr>
        <w:trPr>
          <w:trHeight w:val="249"/>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36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7,872</w:t>
            </w:r>
          </w:p>
        </w:tc>
        <w:tc>
          <w:tcPr>
            <w:tcW w:w="180" w:type="dxa"/>
            <w:vAlign w:val="bottom"/>
            <w:shd w:val="clear" w:color="auto" w:fill="CFF0FC"/>
          </w:tcPr>
          <w:p>
            <w:pPr>
              <w:spacing w:after="0"/>
              <w:rPr>
                <w:sz w:val="21"/>
                <w:szCs w:val="21"/>
                <w:color w:val="auto"/>
              </w:rPr>
            </w:pPr>
          </w:p>
        </w:tc>
      </w:tr>
      <w:tr>
        <w:trPr>
          <w:trHeight w:val="237"/>
        </w:trPr>
        <w:tc>
          <w:tcPr>
            <w:tcW w:w="5380" w:type="dxa"/>
            <w:vAlign w:val="bottom"/>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52,550</w:t>
            </w:r>
          </w:p>
        </w:tc>
        <w:tc>
          <w:tcPr>
            <w:tcW w:w="180" w:type="dxa"/>
            <w:vAlign w:val="bottom"/>
          </w:tcPr>
          <w:p>
            <w:pPr>
              <w:spacing w:after="0"/>
              <w:rPr>
                <w:sz w:val="20"/>
                <w:szCs w:val="20"/>
                <w:color w:val="auto"/>
              </w:rPr>
            </w:pPr>
          </w:p>
        </w:tc>
      </w:tr>
      <w:tr>
        <w:trPr>
          <w:trHeight w:val="277"/>
        </w:trPr>
        <w:tc>
          <w:tcPr>
            <w:tcW w:w="53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89,438</w:t>
            </w:r>
          </w:p>
        </w:tc>
        <w:tc>
          <w:tcPr>
            <w:tcW w:w="180" w:type="dxa"/>
            <w:vAlign w:val="bottom"/>
            <w:tcBorders>
              <w:bottom w:val="single" w:sz="8" w:color="CFF0FC"/>
            </w:tcBorders>
            <w:shd w:val="clear" w:color="auto" w:fill="CFF0FC"/>
          </w:tcPr>
          <w:p>
            <w:pPr>
              <w:spacing w:after="0"/>
              <w:rPr>
                <w:sz w:val="24"/>
                <w:szCs w:val="24"/>
                <w:color w:val="auto"/>
              </w:rPr>
            </w:pPr>
          </w:p>
        </w:tc>
      </w:tr>
      <w:tr>
        <w:trPr>
          <w:trHeight w:val="224"/>
        </w:trPr>
        <w:tc>
          <w:tcPr>
            <w:tcW w:w="5380" w:type="dxa"/>
            <w:vAlign w:val="bottom"/>
          </w:tcPr>
          <w:p>
            <w:pPr>
              <w:spacing w:after="0"/>
              <w:rPr>
                <w:sz w:val="20"/>
                <w:szCs w:val="20"/>
                <w:color w:val="auto"/>
              </w:rPr>
            </w:pPr>
            <w:r>
              <w:rPr>
                <w:rFonts w:ascii="Arial" w:cs="Arial" w:eastAsia="Arial" w:hAnsi="Arial"/>
                <w:sz w:val="18"/>
                <w:szCs w:val="18"/>
                <w:color w:val="auto"/>
              </w:rPr>
              <w:t>Less: Imputed interest</w:t>
            </w:r>
          </w:p>
        </w:tc>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 xml:space="preserve">(25,233 </w:t>
            </w:r>
            <w:r>
              <w:rPr>
                <w:rFonts w:ascii="Arial" w:cs="Arial" w:eastAsia="Arial" w:hAnsi="Arial"/>
                <w:sz w:val="18"/>
                <w:szCs w:val="18"/>
                <w:color w:val="auto"/>
                <w:highlight w:val="white"/>
              </w:rPr>
              <w:t>)</w:t>
            </w:r>
          </w:p>
        </w:tc>
      </w:tr>
      <w:tr>
        <w:trPr>
          <w:trHeight w:val="24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Less: Tenant improvement allowance</w:t>
            </w:r>
          </w:p>
        </w:tc>
        <w:tc>
          <w:tcPr>
            <w:tcW w:w="36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36"/>
        </w:trPr>
        <w:tc>
          <w:tcPr>
            <w:tcW w:w="53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Total operating lease liabilities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64,205</w:t>
            </w:r>
          </w:p>
        </w:tc>
        <w:tc>
          <w:tcPr>
            <w:tcW w:w="180" w:type="dxa"/>
            <w:vAlign w:val="bottom"/>
            <w:tcBorders>
              <w:top w:val="single" w:sz="8" w:color="CFF0FC"/>
            </w:tcBorders>
          </w:tcPr>
          <w:p>
            <w:pPr>
              <w:spacing w:after="0"/>
              <w:rPr>
                <w:sz w:val="20"/>
                <w:szCs w:val="20"/>
                <w:color w:val="auto"/>
              </w:rPr>
            </w:pPr>
          </w:p>
        </w:tc>
      </w:tr>
      <w:tr>
        <w:trPr>
          <w:trHeight w:val="20"/>
        </w:trPr>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-521970</wp:posOffset>
            </wp:positionV>
            <wp:extent cx="342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5602605</wp:posOffset>
            </wp:positionH>
            <wp:positionV relativeFrom="paragraph">
              <wp:posOffset>-187960</wp:posOffset>
            </wp:positionV>
            <wp:extent cx="34290" cy="1885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4290" cy="188595"/>
                    </a:xfrm>
                    <a:prstGeom prst="rect">
                      <a:avLst/>
                    </a:prstGeom>
                    <a:noFill/>
                  </pic:spPr>
                </pic:pic>
              </a:graphicData>
            </a:graphic>
          </wp:anchor>
        </w:drawing>
      </w:r>
    </w:p>
    <w:p>
      <w:pPr>
        <w:spacing w:after="0" w:line="209" w:lineRule="exact"/>
        <w:rPr>
          <w:sz w:val="20"/>
          <w:szCs w:val="20"/>
          <w:color w:val="auto"/>
        </w:rPr>
      </w:pPr>
    </w:p>
    <w:p>
      <w:pPr>
        <w:ind w:right="560" w:firstLine="509"/>
        <w:spacing w:after="0" w:line="277" w:lineRule="auto"/>
        <w:rPr>
          <w:sz w:val="20"/>
          <w:szCs w:val="20"/>
          <w:color w:val="auto"/>
        </w:rPr>
      </w:pPr>
      <w:r>
        <w:rPr>
          <w:rFonts w:ascii="Arial" w:cs="Arial" w:eastAsia="Arial" w:hAnsi="Arial"/>
          <w:sz w:val="18"/>
          <w:szCs w:val="18"/>
          <w:color w:val="auto"/>
        </w:rPr>
        <w:t>The amounts reflected in the table above include the Company’s lease payments for the Cambridge lease, but do not reflect any offset for the sublease payments the Company is entitled to receive from Casma.</w:t>
      </w:r>
    </w:p>
    <w:p>
      <w:pPr>
        <w:spacing w:after="0" w:line="170" w:lineRule="exact"/>
        <w:rPr>
          <w:sz w:val="20"/>
          <w:szCs w:val="20"/>
          <w:color w:val="auto"/>
        </w:rPr>
      </w:pPr>
    </w:p>
    <w:p>
      <w:pPr>
        <w:ind w:right="320" w:firstLine="509"/>
        <w:spacing w:after="0" w:line="311" w:lineRule="auto"/>
        <w:rPr>
          <w:sz w:val="20"/>
          <w:szCs w:val="20"/>
          <w:color w:val="auto"/>
        </w:rPr>
      </w:pPr>
      <w:r>
        <w:rPr>
          <w:rFonts w:ascii="Arial" w:cs="Arial" w:eastAsia="Arial" w:hAnsi="Arial"/>
          <w:sz w:val="16"/>
          <w:szCs w:val="16"/>
          <w:color w:val="auto"/>
        </w:rPr>
        <w:t>Operating lease liabilities are based on the net present value of the remaining lease payments over the remaining lease term. In determining the present value of lease payments, the Company uses its incremental borrowing rate. The weighted-average discount rate used to determine the operating lease liability was 6.1%. As of December 31, 2022 and 2021, the weighted-average remaining lease term is 10.9 years and 11.6 years, respectively.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80" w:firstLine="509"/>
        <w:spacing w:after="0" w:line="259" w:lineRule="auto"/>
        <w:rPr>
          <w:sz w:val="20"/>
          <w:szCs w:val="20"/>
          <w:color w:val="auto"/>
        </w:rPr>
      </w:pPr>
      <w:r>
        <w:rPr>
          <w:rFonts w:ascii="Arial" w:cs="Arial" w:eastAsia="Arial" w:hAnsi="Arial"/>
          <w:sz w:val="18"/>
          <w:szCs w:val="18"/>
          <w:color w:val="auto"/>
        </w:rPr>
        <w:t>From time to time, the Company may be involved in litigation related to claims that arise in the ordinary course of its business activities. The Company accrues for these matters when it is probable that losses will be incurred and these losses can be reasonably estimated. As of December 31, 2022 and 2021, the Company does not believe that any such matters, individually or in the aggregate, will have a material adverse effect on the Company’s financial position, results of operations or cash flows.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firstLine="509"/>
        <w:spacing w:after="0" w:line="293" w:lineRule="auto"/>
        <w:rPr>
          <w:sz w:val="20"/>
          <w:szCs w:val="20"/>
          <w:color w:val="auto"/>
        </w:rPr>
      </w:pPr>
      <w:r>
        <w:rPr>
          <w:rFonts w:ascii="Arial" w:cs="Arial" w:eastAsia="Arial" w:hAnsi="Arial"/>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not incurred costs to defend lawsuits or settle claims related to these indemnification agreements. As a result, the Company believes the fair value of these agreements is minimal.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600" w:firstLine="509"/>
        <w:spacing w:after="0" w:line="263" w:lineRule="auto"/>
        <w:rPr>
          <w:sz w:val="20"/>
          <w:szCs w:val="20"/>
          <w:color w:val="auto"/>
        </w:rPr>
      </w:pPr>
      <w:r>
        <w:rPr>
          <w:rFonts w:ascii="Arial" w:cs="Arial" w:eastAsia="Arial" w:hAnsi="Arial"/>
          <w:sz w:val="18"/>
          <w:szCs w:val="18"/>
          <w:color w:val="auto"/>
        </w:rPr>
        <w:t>The Company enters into agreements in the ordinary course of business with contract research organizations for clinical trials, contract manufacturing organizations to provide clinical trial materials and with vendors for preclinical studies and other services and products for operating purposes which are generally cancelable at any time by us upon 30 to 90 days prior written notice.</w:t>
      </w:r>
    </w:p>
    <w:p>
      <w:pPr>
        <w:spacing w:after="0" w:line="288" w:lineRule="exact"/>
        <w:rPr>
          <w:sz w:val="20"/>
          <w:szCs w:val="20"/>
          <w:color w:val="auto"/>
        </w:rPr>
      </w:pPr>
    </w:p>
    <w:p>
      <w:pPr>
        <w:ind w:left="520" w:hanging="512"/>
        <w:spacing w:after="0"/>
        <w:tabs>
          <w:tab w:leader="none" w:pos="5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Sanofi collaboration agreement</w:t>
      </w:r>
    </w:p>
    <w:p>
      <w:pPr>
        <w:spacing w:after="0" w:line="121" w:lineRule="exact"/>
        <w:rPr>
          <w:sz w:val="20"/>
          <w:szCs w:val="20"/>
          <w:color w:val="auto"/>
        </w:rPr>
      </w:pPr>
    </w:p>
    <w:p>
      <w:pPr>
        <w:ind w:right="40" w:firstLine="509"/>
        <w:spacing w:after="0" w:line="269" w:lineRule="auto"/>
        <w:rPr>
          <w:sz w:val="20"/>
          <w:szCs w:val="20"/>
          <w:color w:val="auto"/>
        </w:rPr>
      </w:pPr>
      <w:r>
        <w:rPr>
          <w:rFonts w:ascii="Arial" w:cs="Arial" w:eastAsia="Arial" w:hAnsi="Arial"/>
          <w:sz w:val="17"/>
          <w:szCs w:val="17"/>
          <w:color w:val="auto"/>
        </w:rPr>
        <w:t>In June 2018, the Company entered into a collaborative research, development and commercialization agreement (the Sanofi Agreement) with Aventis, Inc. (an affiliate of Sanofi) to research and develop SHP2 inhibitors, including RMC-4630, for any indications. The Sanofi Agreement was assigned to Genzyme Corporation, a Sanofi affiliate, in December 2018. For the purposes of this discussion, we refer to Genzyme Corporation as Sanofi. Pursuant to the Sanofi Agreement, the Company granted Sanofi a worldwide, exclusive, sublicensable (subject to the Company’s consent in certain circumstances) license under certain of the Company’s patents and know-how to research, develop, manufacture, use, sell, offer for sale, import and otherwise commercialize SHP2 inhibitors, including RMC-4630, for any and all uses, subject to the Company’s exercise of rights and performance of obligations under the Sanofi Agreement. In December 2022, the Company received notice of Sanofi’s decision to terminate for convenience under the Sanofi Agreement, with a termination date in June 2023. Upon effectiveness of the termination of the Sanofi Agreement (the termination date), the licenses granted to Sanofi thereunder shall become fully paid-up, royalty-free, perpetual and irrevocable and all rights and obligations of Sanofi under the Sanofi Agreement will revert to the Company.</w:t>
      </w:r>
    </w:p>
    <w:p>
      <w:pPr>
        <w:spacing w:after="0" w:line="185" w:lineRule="exact"/>
        <w:rPr>
          <w:sz w:val="20"/>
          <w:szCs w:val="20"/>
          <w:color w:val="auto"/>
        </w:rPr>
      </w:pPr>
    </w:p>
    <w:p>
      <w:pPr>
        <w:ind w:right="20" w:firstLine="509"/>
        <w:spacing w:after="0" w:line="301" w:lineRule="auto"/>
        <w:rPr>
          <w:sz w:val="20"/>
          <w:szCs w:val="20"/>
          <w:color w:val="auto"/>
        </w:rPr>
      </w:pPr>
      <w:r>
        <w:rPr>
          <w:rFonts w:ascii="Arial" w:cs="Arial" w:eastAsia="Arial" w:hAnsi="Arial"/>
          <w:sz w:val="16"/>
          <w:szCs w:val="16"/>
          <w:color w:val="auto"/>
        </w:rPr>
        <w:t>In October 2018, the Company acquired Warp Drive in exchange for issuance of shares of the Company’s Series B redeemable convertible preferred stock and payment of cash. Sanofi was a stockholder of Warp Drive and received the Company’s Series B redeemable convertible preferred stock during the transaction and accordingly became an investor and related party of the Company. As a result of the Company’s underwritten offering of common stock in February 2021, Sanofi’s ownership percentage in the Company decreased and Sanofi is no longer considered a related party.</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Under the Sanofi Agreement, the Company received a non-refundable, upfront cash payment of $50 million in July 2018.</w:t>
      </w:r>
    </w:p>
    <w:p>
      <w:pPr>
        <w:spacing w:after="0" w:line="225" w:lineRule="exact"/>
        <w:rPr>
          <w:sz w:val="20"/>
          <w:szCs w:val="20"/>
          <w:color w:val="auto"/>
        </w:rPr>
      </w:pPr>
    </w:p>
    <w:p>
      <w:pPr>
        <w:ind w:right="140" w:firstLine="509"/>
        <w:spacing w:after="0" w:line="273" w:lineRule="auto"/>
        <w:rPr>
          <w:sz w:val="20"/>
          <w:szCs w:val="20"/>
          <w:color w:val="auto"/>
        </w:rPr>
      </w:pPr>
      <w:r>
        <w:rPr>
          <w:rFonts w:ascii="Arial" w:cs="Arial" w:eastAsia="Arial" w:hAnsi="Arial"/>
          <w:sz w:val="17"/>
          <w:szCs w:val="17"/>
          <w:color w:val="auto"/>
        </w:rPr>
        <w:t>Prior to the termination date, the Company has primary responsibility for early clinical development of RMC-4630 and is responsible for the manufacture of SHP2 inhibitors for Phase 1 and non-registrational Phase 2 clinical trials pursuant to an approved development plan. In August 2021, the Company entered into a letter agreement with Sanofi (the Letter Agreement) to include an additional clinical study, RMC-4630-03, as part of the Company’s responsibilities under the development plan. Sanofi is responsible to reimburse the Company all internal and external costs and expenses to perform the Company’s activities under approved development plans up to the termination date, except for the RMC-4630-03 study, for which Sanofi will reimburse the Company for 50% of the costs and expenses up to the termination date.</w:t>
      </w:r>
    </w:p>
    <w:p>
      <w:pPr>
        <w:spacing w:after="0" w:line="178"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In addition to the ongoing development plan, the Company was also primarily responsible for performing preclinical research on SHP2 inhibitors pursuant to a research plan through 2021. Sanofi was responsible to reimburse the Company for all internal and external costs and expenses incurred to perform activities under approved research plan for 2021.</w:t>
      </w:r>
    </w:p>
    <w:p>
      <w:pPr>
        <w:spacing w:after="0" w:line="184" w:lineRule="exact"/>
        <w:rPr>
          <w:sz w:val="20"/>
          <w:szCs w:val="20"/>
          <w:color w:val="auto"/>
        </w:rPr>
      </w:pPr>
    </w:p>
    <w:p>
      <w:pPr>
        <w:ind w:firstLine="509"/>
        <w:spacing w:after="0" w:line="289" w:lineRule="auto"/>
        <w:rPr>
          <w:sz w:val="20"/>
          <w:szCs w:val="20"/>
          <w:color w:val="auto"/>
        </w:rPr>
      </w:pPr>
      <w:r>
        <w:rPr>
          <w:rFonts w:ascii="Arial" w:cs="Arial" w:eastAsia="Arial" w:hAnsi="Arial"/>
          <w:sz w:val="16"/>
          <w:szCs w:val="16"/>
          <w:color w:val="auto"/>
        </w:rPr>
        <w:t>The Company identified the following promises in the agreement (1) the license related to SHP2 inhibitors, (2) the performance of research and development services for Phase 1 clinical studies and Phase 2 clinical trials that are non-registrational clinical trials and (3) the performance of manufacturing services for the non-registrational clinical trials. The Company determined that the license is not distinct from the services within the context of the agreement because the research, development and manufacturing significantly increase the utility of the intellectual property. The intellectual property (IP) related to SHP2 inhibitors, which is proprietary to the Company, is the foundation for the research and development activities. The manufacturing services are a necessary and integral part of the research and development services as they could only be conducted utilizing the outcomes of these services. Given the research and development services under the Sanofi Agreement are expected to involve significant further development of the initial IP, the Company has concluded that the research, development and manufacturing services are not distinct from the license, and thus the license, research and development services and manufacturing services are combined into a single performance obligation.</w:t>
      </w:r>
    </w:p>
    <w:p>
      <w:pPr>
        <w:spacing w:after="0" w:line="166" w:lineRule="exact"/>
        <w:rPr>
          <w:sz w:val="20"/>
          <w:szCs w:val="20"/>
          <w:color w:val="auto"/>
        </w:rPr>
      </w:pPr>
    </w:p>
    <w:p>
      <w:pPr>
        <w:ind w:right="60" w:firstLine="509"/>
        <w:spacing w:after="0" w:line="277" w:lineRule="auto"/>
        <w:rPr>
          <w:sz w:val="20"/>
          <w:szCs w:val="20"/>
          <w:color w:val="auto"/>
        </w:rPr>
      </w:pPr>
      <w:r>
        <w:rPr>
          <w:rFonts w:ascii="Arial" w:cs="Arial" w:eastAsia="Arial" w:hAnsi="Arial"/>
          <w:sz w:val="18"/>
          <w:szCs w:val="18"/>
          <w:color w:val="auto"/>
        </w:rPr>
        <w:t>For revenue recognition purposes, the Company determined that the duration of the contract begins on the effective date of the Sanofi Agreement in July 2018 and ends on the termination date in June 2023.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116" w:name="page117"/>
    <w:bookmarkEnd w:id="116"/>
    <w:p>
      <w:pPr>
        <w:ind w:right="20" w:firstLine="509"/>
        <w:spacing w:after="0" w:line="255" w:lineRule="auto"/>
        <w:rPr>
          <w:sz w:val="20"/>
          <w:szCs w:val="20"/>
          <w:color w:val="auto"/>
        </w:rPr>
      </w:pPr>
      <w:r>
        <w:rPr>
          <w:rFonts w:ascii="Arial" w:cs="Arial" w:eastAsia="Arial" w:hAnsi="Arial"/>
          <w:sz w:val="18"/>
          <w:szCs w:val="18"/>
          <w:color w:val="auto"/>
        </w:rPr>
        <w:t>The Company determined that the transaction price of the Sanofi Agreement was $186.9 million as of December 31, 2022. In order to determine the transaction price, the Company evaluated all the payments to be received during the duration of the contract. The Company determined that the $50.0 million upfront payment and $136.9 million of estimated variable consideration for expense reimbursements from Sanofi for agreed upon research and development services as of December 31, 2022 constituted consideration to be included in the transaction price, which is to be allocated to the combined performance obligation. The Company will re-evaluate the transaction price in each reporting period and as uncertain events are resolved or other changes in circumstances occur.</w:t>
      </w:r>
    </w:p>
    <w:p>
      <w:pPr>
        <w:spacing w:after="0" w:line="192" w:lineRule="exact"/>
        <w:rPr>
          <w:sz w:val="20"/>
          <w:szCs w:val="20"/>
          <w:color w:val="auto"/>
        </w:rPr>
      </w:pPr>
    </w:p>
    <w:p>
      <w:pPr>
        <w:ind w:firstLine="509"/>
        <w:spacing w:after="0" w:line="288" w:lineRule="auto"/>
        <w:rPr>
          <w:sz w:val="20"/>
          <w:szCs w:val="20"/>
          <w:color w:val="auto"/>
        </w:rPr>
      </w:pPr>
      <w:r>
        <w:rPr>
          <w:rFonts w:ascii="Arial" w:cs="Arial" w:eastAsia="Arial" w:hAnsi="Arial"/>
          <w:sz w:val="16"/>
          <w:szCs w:val="16"/>
          <w:color w:val="auto"/>
        </w:rPr>
        <w:t>The license, research, development and manufacturing services are combined as one performance obligation that will be performed over the duration of the contract, which is from the effective date of the Sanofi Agreement through the termination date. The Company concluded that it would utilize a cost-based input method to measure proportional performance and to calculate the corresponding amount of revenue to recognize. In applying the cost-based input method of revenue recognition, the Company uses actual costs incurred relative to estimated costs to fulfill the combined performance obligation. These costs consist primarily of internal full-time equivalent efforts and third-party costs. As noted above, a percentage of the actual costs incurred under approved research and development plans are reimbursed by Sanofi under the collaboration agreement. The research and development plans are determined by a joint research and development committee, over which Sanofi has final decision-making subject to certain exceptions. Revenue is recognized under the collaboration agreement with Sanofi, based on actual costs incurred as a percentage of total estimated costs to be incurred over the performance obligation as the Company completes its performance obligation. The cumulative effect of revisions to estimated costs to complete the Company’s performance obligations will be recorded in the period in which changes are identified and amounts can be reasonably estimated.</w:t>
      </w:r>
    </w:p>
    <w:p>
      <w:pPr>
        <w:spacing w:after="0" w:line="168" w:lineRule="exact"/>
        <w:rPr>
          <w:sz w:val="20"/>
          <w:szCs w:val="20"/>
          <w:color w:val="auto"/>
        </w:rPr>
      </w:pPr>
    </w:p>
    <w:p>
      <w:pPr>
        <w:ind w:right="140" w:firstLine="509"/>
        <w:spacing w:after="0" w:line="257" w:lineRule="auto"/>
        <w:rPr>
          <w:sz w:val="20"/>
          <w:szCs w:val="20"/>
          <w:color w:val="auto"/>
        </w:rPr>
      </w:pPr>
      <w:r>
        <w:rPr>
          <w:rFonts w:ascii="Arial" w:cs="Arial" w:eastAsia="Arial" w:hAnsi="Arial"/>
          <w:sz w:val="18"/>
          <w:szCs w:val="18"/>
          <w:color w:val="auto"/>
        </w:rPr>
        <w:t>Pursuant to the termination noticed provided by Sanofi in December 2022, effective as of the termination date, Sanofi will have no further reimbursement obligations post termination. As a result of the termination and development plan adjustments during the year, the Company updated the accounting transaction price for the estimated consideration to be received and updated the estimated costs to fulfill the performance obligation, which increased the Company’s percentage of completion under the agreement with Sanofi, and resulted in total cumulative catch-up adjustments that increased collaboration revenue by $3.0 million for the year ended December 31, 2022.</w:t>
      </w:r>
    </w:p>
    <w:p>
      <w:pPr>
        <w:spacing w:after="0" w:line="188"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As a result of entering into the Letter Agreement for the RMC-4630-03 study in August 2021, the Company updated the transaction price for the estimated consideration to be received, and updated the estimated costs to fulfill the performance obligation, which decreased the estimated percentage of completion to date and resulted in a cumulative catch-up adjustment that reduced collaboration revenue by $8.5 million for the year ended December 31, 2021.</w:t>
      </w:r>
    </w:p>
    <w:p>
      <w:pPr>
        <w:spacing w:after="0" w:line="187" w:lineRule="exact"/>
        <w:rPr>
          <w:sz w:val="20"/>
          <w:szCs w:val="20"/>
          <w:color w:val="auto"/>
        </w:rPr>
      </w:pPr>
    </w:p>
    <w:p>
      <w:pPr>
        <w:ind w:right="920" w:firstLine="509"/>
        <w:spacing w:after="0" w:line="277" w:lineRule="auto"/>
        <w:rPr>
          <w:sz w:val="20"/>
          <w:szCs w:val="20"/>
          <w:color w:val="auto"/>
        </w:rPr>
      </w:pPr>
      <w:r>
        <w:rPr>
          <w:rFonts w:ascii="Arial" w:cs="Arial" w:eastAsia="Arial" w:hAnsi="Arial"/>
          <w:sz w:val="18"/>
          <w:szCs w:val="18"/>
          <w:color w:val="auto"/>
        </w:rPr>
        <w:t>During the years ended December 31, 2022, 2021 and 2020, the Company recognized $35.4 million, $29.4 million and $43.0 million of collaboration revenue associated with this agreement, respectively.</w:t>
      </w:r>
    </w:p>
    <w:p>
      <w:pPr>
        <w:spacing w:after="0" w:line="170" w:lineRule="exact"/>
        <w:rPr>
          <w:sz w:val="20"/>
          <w:szCs w:val="20"/>
          <w:color w:val="auto"/>
        </w:rPr>
      </w:pPr>
    </w:p>
    <w:p>
      <w:pPr>
        <w:ind w:right="680" w:firstLine="509"/>
        <w:spacing w:after="0" w:line="277" w:lineRule="auto"/>
        <w:rPr>
          <w:sz w:val="20"/>
          <w:szCs w:val="20"/>
          <w:color w:val="auto"/>
        </w:rPr>
      </w:pPr>
      <w:r>
        <w:rPr>
          <w:rFonts w:ascii="Arial" w:cs="Arial" w:eastAsia="Arial" w:hAnsi="Arial"/>
          <w:sz w:val="18"/>
          <w:szCs w:val="18"/>
          <w:color w:val="auto"/>
        </w:rPr>
        <w:t>As of December 31, 2022 and 2021, $4.5 million and $12.4 million of deferred revenue is classified as current and zero and $6.6 million is classified as noncurrent,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73" w:right="379" w:bottom="1440" w:gutter="0" w:footer="0" w:header="0"/>
        </w:sectPr>
      </w:pPr>
    </w:p>
    <w:bookmarkStart w:id="117" w:name="page118"/>
    <w:bookmarkEnd w:id="117"/>
    <w:p>
      <w:pPr>
        <w:ind w:left="520" w:hanging="512"/>
        <w:spacing w:after="0"/>
        <w:tabs>
          <w:tab w:leader="none" w:pos="52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21"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Upon the closing of the Company’s initial public offering in February 2020, all shares of redeemable convertible preferred stock then outstanding converted into 39,600,423 shares of common stock. There were no shares of redeemable convertible preferred stock outstanding as of December 31, 2022 and 2021.</w:t>
      </w:r>
    </w:p>
    <w:p>
      <w:pPr>
        <w:spacing w:after="0" w:line="288" w:lineRule="exact"/>
        <w:rPr>
          <w:sz w:val="20"/>
          <w:szCs w:val="20"/>
          <w:color w:val="auto"/>
        </w:rPr>
      </w:pPr>
    </w:p>
    <w:p>
      <w:pPr>
        <w:ind w:left="520" w:hanging="512"/>
        <w:spacing w:after="0"/>
        <w:tabs>
          <w:tab w:leader="none" w:pos="5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509"/>
        <w:spacing w:after="0" w:line="259" w:lineRule="auto"/>
        <w:rPr>
          <w:sz w:val="20"/>
          <w:szCs w:val="20"/>
          <w:color w:val="auto"/>
        </w:rPr>
      </w:pPr>
      <w:r>
        <w:rPr>
          <w:rFonts w:ascii="Arial" w:cs="Arial" w:eastAsia="Arial" w:hAnsi="Arial"/>
          <w:sz w:val="18"/>
          <w:szCs w:val="18"/>
          <w:color w:val="auto"/>
        </w:rPr>
        <w:t>As of December 31, 2022 and 2021, the Company’s certificate of incorporation authorized the Company to issue 300,000,000 shares of common stock, at a par value of $0.0001 per share. Each share of common stock is entitled to one vote. The holders of common stock are also entitled to receive dividends whenever funds are legally available and when declared by the Board of Directors, subject to prior rights of the redeemable convertible preferred stockholders. As of December 31, 2022, no dividends have been declared to date.</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reserved shares of common stock for future issuance as follows:</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12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1200" w:type="dxa"/>
            <w:vAlign w:val="bottom"/>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1180" w:type="dxa"/>
            <w:vAlign w:val="bottom"/>
            <w:gridSpan w:val="2"/>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r>
      <w:tr>
        <w:trPr>
          <w:trHeight w:val="23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Outstanding options to purchase common stock</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8,164,375</w:t>
            </w:r>
          </w:p>
        </w:tc>
        <w:tc>
          <w:tcPr>
            <w:tcW w:w="100" w:type="dxa"/>
            <w:vAlign w:val="bottom"/>
            <w:gridSpan w:val="2"/>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6,050,938</w:t>
            </w:r>
          </w:p>
        </w:tc>
        <w:tc>
          <w:tcPr>
            <w:tcW w:w="80" w:type="dxa"/>
            <w:vAlign w:val="bottom"/>
            <w:shd w:val="clear" w:color="auto" w:fill="CFF0FC"/>
          </w:tcPr>
          <w:p>
            <w:pPr>
              <w:spacing w:after="0"/>
              <w:rPr>
                <w:sz w:val="20"/>
                <w:szCs w:val="20"/>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Unvested restricted stock units of common stock</w:t>
            </w:r>
          </w:p>
        </w:tc>
        <w:tc>
          <w:tcPr>
            <w:tcW w:w="1200" w:type="dxa"/>
            <w:vAlign w:val="bottom"/>
          </w:tcPr>
          <w:p>
            <w:pPr>
              <w:jc w:val="right"/>
              <w:spacing w:after="0"/>
              <w:rPr>
                <w:sz w:val="20"/>
                <w:szCs w:val="20"/>
                <w:color w:val="auto"/>
              </w:rPr>
            </w:pPr>
            <w:r>
              <w:rPr>
                <w:rFonts w:ascii="Arial" w:cs="Arial" w:eastAsia="Arial" w:hAnsi="Arial"/>
                <w:sz w:val="18"/>
                <w:szCs w:val="18"/>
                <w:color w:val="auto"/>
              </w:rPr>
              <w:t>1,175,032</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423,621</w:t>
            </w:r>
          </w:p>
        </w:tc>
        <w:tc>
          <w:tcPr>
            <w:tcW w:w="80" w:type="dxa"/>
            <w:vAlign w:val="bottom"/>
          </w:tcPr>
          <w:p>
            <w:pPr>
              <w:spacing w:after="0"/>
              <w:rPr>
                <w:sz w:val="20"/>
                <w:szCs w:val="20"/>
                <w:color w:val="auto"/>
              </w:rPr>
            </w:pPr>
          </w:p>
        </w:tc>
      </w:tr>
      <w:tr>
        <w:trPr>
          <w:trHeight w:val="249"/>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Available for future issuance under the 2020 Incentive Award Plan</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6,726,307</w:t>
            </w:r>
          </w:p>
        </w:tc>
        <w:tc>
          <w:tcPr>
            <w:tcW w:w="12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6,403,548</w:t>
            </w:r>
          </w:p>
        </w:tc>
        <w:tc>
          <w:tcPr>
            <w:tcW w:w="80" w:type="dxa"/>
            <w:vAlign w:val="bottom"/>
            <w:shd w:val="clear" w:color="auto" w:fill="CFF0FC"/>
          </w:tcPr>
          <w:p>
            <w:pPr>
              <w:spacing w:after="0"/>
              <w:rPr>
                <w:sz w:val="21"/>
                <w:szCs w:val="2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w w:val="94"/>
              </w:rPr>
              <w:t>Available for issuance under the 2020 Employee Stock Purchase Plan</w:t>
            </w:r>
          </w:p>
        </w:tc>
        <w:tc>
          <w:tcPr>
            <w:tcW w:w="1200" w:type="dxa"/>
            <w:vAlign w:val="bottom"/>
          </w:tcPr>
          <w:p>
            <w:pPr>
              <w:jc w:val="right"/>
              <w:spacing w:after="0"/>
              <w:rPr>
                <w:sz w:val="20"/>
                <w:szCs w:val="20"/>
                <w:color w:val="auto"/>
              </w:rPr>
            </w:pPr>
            <w:r>
              <w:rPr>
                <w:rFonts w:ascii="Arial" w:cs="Arial" w:eastAsia="Arial" w:hAnsi="Arial"/>
                <w:sz w:val="18"/>
                <w:szCs w:val="18"/>
                <w:color w:val="auto"/>
              </w:rPr>
              <w:t>1,700,887</w:t>
            </w: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1,089,728</w:t>
            </w:r>
          </w:p>
        </w:tc>
        <w:tc>
          <w:tcPr>
            <w:tcW w:w="80" w:type="dxa"/>
            <w:vAlign w:val="bottom"/>
          </w:tcPr>
          <w:p>
            <w:pPr>
              <w:spacing w:after="0"/>
              <w:rPr>
                <w:sz w:val="20"/>
                <w:szCs w:val="20"/>
                <w:color w:val="auto"/>
              </w:rPr>
            </w:pPr>
          </w:p>
        </w:tc>
      </w:tr>
      <w:tr>
        <w:trPr>
          <w:trHeight w:val="276"/>
        </w:trPr>
        <w:tc>
          <w:tcPr>
            <w:tcW w:w="53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Total</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17,766,601</w:t>
            </w:r>
          </w:p>
        </w:tc>
        <w:tc>
          <w:tcPr>
            <w:tcW w:w="100" w:type="dxa"/>
            <w:vAlign w:val="bottom"/>
            <w:tcBorders>
              <w:bottom w:val="single" w:sz="8" w:color="CFF0FC"/>
            </w:tcBorders>
            <w:gridSpan w:val="2"/>
            <w:shd w:val="clear" w:color="auto" w:fill="CFF0FC"/>
          </w:tcPr>
          <w:p>
            <w:pPr>
              <w:spacing w:after="0"/>
              <w:rPr>
                <w:sz w:val="24"/>
                <w:szCs w:val="24"/>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13,967,835</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-25400</wp:posOffset>
            </wp:positionV>
            <wp:extent cx="514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-8255</wp:posOffset>
            </wp:positionV>
            <wp:extent cx="51435"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431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431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313" w:lineRule="exact"/>
        <w:rPr>
          <w:sz w:val="20"/>
          <w:szCs w:val="20"/>
          <w:color w:val="auto"/>
        </w:rPr>
      </w:pPr>
    </w:p>
    <w:p>
      <w:pPr>
        <w:ind w:left="520" w:hanging="512"/>
        <w:spacing w:after="0"/>
        <w:tabs>
          <w:tab w:leader="none" w:pos="52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Incentive Award Plan</w:t>
      </w:r>
    </w:p>
    <w:p>
      <w:pPr>
        <w:spacing w:after="0" w:line="117" w:lineRule="exact"/>
        <w:rPr>
          <w:sz w:val="20"/>
          <w:szCs w:val="20"/>
          <w:color w:val="auto"/>
        </w:rPr>
      </w:pPr>
    </w:p>
    <w:p>
      <w:pPr>
        <w:ind w:firstLine="509"/>
        <w:spacing w:after="0" w:line="275" w:lineRule="auto"/>
        <w:rPr>
          <w:sz w:val="20"/>
          <w:szCs w:val="20"/>
          <w:color w:val="auto"/>
        </w:rPr>
      </w:pPr>
      <w:r>
        <w:rPr>
          <w:rFonts w:ascii="Arial" w:cs="Arial" w:eastAsia="Arial" w:hAnsi="Arial"/>
          <w:sz w:val="17"/>
          <w:szCs w:val="17"/>
          <w:color w:val="auto"/>
        </w:rPr>
        <w:t>In February 2020, the Company adopted the 2020 Equity Incentive Plan (the 2020 Plan). The 2020 Plan became effective on February 11, 2020. The 2020 Plan provides for a variety of stock-based compensation awards, including stock options, stock appreciation rights, restricted stock awards, restricted stock unit awards, performance bonus awards, performance stock unit awards, dividend equivalents, or other stock or cash based awards. Under the 2020 Plan, the Company generally grants stock-based awards with service-based vesting conditions only. Options and restricted stock unit awards granted typically vest over a four-year period, but may be granted with different vesting terms.</w:t>
      </w:r>
    </w:p>
    <w:p>
      <w:pPr>
        <w:spacing w:after="0" w:line="176" w:lineRule="exact"/>
        <w:rPr>
          <w:sz w:val="20"/>
          <w:szCs w:val="20"/>
          <w:color w:val="auto"/>
        </w:rPr>
      </w:pPr>
    </w:p>
    <w:p>
      <w:pPr>
        <w:ind w:right="140" w:firstLine="509"/>
        <w:spacing w:after="0" w:line="259" w:lineRule="auto"/>
        <w:rPr>
          <w:sz w:val="20"/>
          <w:szCs w:val="20"/>
          <w:color w:val="auto"/>
        </w:rPr>
      </w:pPr>
      <w:r>
        <w:rPr>
          <w:rFonts w:ascii="Arial" w:cs="Arial" w:eastAsia="Arial" w:hAnsi="Arial"/>
          <w:sz w:val="18"/>
          <w:szCs w:val="18"/>
          <w:color w:val="auto"/>
        </w:rPr>
        <w:t>Following the effectiveness of the 2020 Plan, the Company will not make any further grants under the 2014 Equity Incentive Plan (the 2014 Plan). However, the 2014 Plan will continue to govern the terms and conditions of the outstanding awards granted under it. Shares of common stock subject to awards granted under the 2014 Plan that are forfeited or lapse unexercised and which following the effective date of the 2020 Plan were not issued under the 2014 Plan are available for issuance under the 2020 Plan.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right="20" w:firstLine="509"/>
        <w:spacing w:after="0" w:line="263" w:lineRule="auto"/>
        <w:rPr>
          <w:sz w:val="20"/>
          <w:szCs w:val="20"/>
          <w:color w:val="auto"/>
        </w:rPr>
      </w:pPr>
      <w:r>
        <w:rPr>
          <w:rFonts w:ascii="Arial" w:cs="Arial" w:eastAsia="Arial" w:hAnsi="Arial"/>
          <w:sz w:val="18"/>
          <w:szCs w:val="18"/>
          <w:color w:val="auto"/>
        </w:rPr>
        <w:t>In February 2020, the Company adopted the 2020 Employee Stock Purchase Plan (the ESPP). Under the ESPP, employees have the ability to purchase shares of the Company’s common stock through payroll deductions at a discount during a series of offering periods of 24 months, each comprised of four six-month purchase periods. The purchase price will be the lower of 85% of the closing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77" w:right="359" w:bottom="1440" w:gutter="0" w:footer="0" w:header="0"/>
        </w:sectPr>
      </w:pPr>
    </w:p>
    <w:bookmarkStart w:id="118" w:name="page119"/>
    <w:bookmarkEnd w:id="118"/>
    <w:p>
      <w:pPr>
        <w:ind w:right="500"/>
        <w:spacing w:after="0" w:line="277" w:lineRule="auto"/>
        <w:rPr>
          <w:sz w:val="20"/>
          <w:szCs w:val="20"/>
          <w:color w:val="auto"/>
        </w:rPr>
      </w:pPr>
      <w:r>
        <w:rPr>
          <w:rFonts w:ascii="Arial" w:cs="Arial" w:eastAsia="Arial" w:hAnsi="Arial"/>
          <w:sz w:val="18"/>
          <w:szCs w:val="18"/>
          <w:color w:val="auto"/>
        </w:rPr>
        <w:t>trading price per share of the Company’s common stock on the first day of an offering period in which an employee is enrolled or 85% of the closing trading price per share on the purchase date, which will occur on the last trading day of each purchase period.</w:t>
      </w:r>
    </w:p>
    <w:p>
      <w:pPr>
        <w:spacing w:after="0" w:line="170" w:lineRule="exact"/>
        <w:rPr>
          <w:sz w:val="20"/>
          <w:szCs w:val="20"/>
          <w:color w:val="auto"/>
        </w:rPr>
      </w:pPr>
    </w:p>
    <w:p>
      <w:pPr>
        <w:ind w:right="240" w:firstLine="509"/>
        <w:spacing w:after="0" w:line="263" w:lineRule="auto"/>
        <w:rPr>
          <w:sz w:val="20"/>
          <w:szCs w:val="20"/>
          <w:color w:val="auto"/>
        </w:rPr>
      </w:pPr>
      <w:r>
        <w:rPr>
          <w:rFonts w:ascii="Arial" w:cs="Arial" w:eastAsia="Arial" w:hAnsi="Arial"/>
          <w:sz w:val="18"/>
          <w:szCs w:val="18"/>
          <w:color w:val="auto"/>
        </w:rPr>
        <w:t>As of December 31, 2022, there have been 235,555 shares of common stock purchased under the ESPP. As of December 31, 2022, a total of 1,700,887 shares of common stock were available for future issuance under the ESPP. As of December 31, 2022, there was $3.2 million of unrecognized compensation cost related to the ESPP.</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summarizes option activity under both the 2020 Plan and the 2014 Plan:</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94"/>
              </w:rPr>
              <w:t>Weighted-</w:t>
            </w: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center"/>
              <w:ind w:right="58"/>
              <w:spacing w:after="0"/>
              <w:rPr>
                <w:sz w:val="20"/>
                <w:szCs w:val="20"/>
                <w:color w:val="auto"/>
              </w:rPr>
            </w:pPr>
            <w:r>
              <w:rPr>
                <w:rFonts w:ascii="Arial" w:cs="Arial" w:eastAsia="Arial" w:hAnsi="Arial"/>
                <w:sz w:val="14"/>
                <w:szCs w:val="14"/>
                <w:b w:val="1"/>
                <w:bCs w:val="1"/>
                <w:color w:val="auto"/>
                <w:w w:val="92"/>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underlying</w:t>
            </w:r>
          </w:p>
        </w:tc>
        <w:tc>
          <w:tcPr>
            <w:tcW w:w="140" w:type="dxa"/>
            <w:vAlign w:val="bottom"/>
          </w:tcPr>
          <w:p>
            <w:pPr>
              <w:spacing w:after="0"/>
              <w:rPr>
                <w:sz w:val="12"/>
                <w:szCs w:val="12"/>
                <w:color w:val="auto"/>
              </w:rPr>
            </w:pPr>
          </w:p>
        </w:tc>
        <w:tc>
          <w:tcPr>
            <w:tcW w:w="82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0"/>
              </w:rPr>
              <w:t>average</w:t>
            </w:r>
          </w:p>
        </w:tc>
        <w:tc>
          <w:tcPr>
            <w:tcW w:w="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5"/>
              </w:rPr>
              <w:t>intrinsic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66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options</w:t>
            </w: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8"/>
              </w:rPr>
              <w:t>term</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58"/>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6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4"/>
                <w:szCs w:val="14"/>
                <w:color w:val="auto"/>
              </w:rPr>
            </w:pPr>
          </w:p>
        </w:tc>
        <w:tc>
          <w:tcPr>
            <w:tcW w:w="10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660" w:type="dxa"/>
            <w:vAlign w:val="bottom"/>
            <w:shd w:val="clear" w:color="auto" w:fill="CFF0FC"/>
          </w:tcPr>
          <w:p>
            <w:pPr>
              <w:spacing w:after="0"/>
              <w:rPr>
                <w:sz w:val="20"/>
                <w:szCs w:val="20"/>
                <w:color w:val="auto"/>
              </w:rPr>
            </w:pPr>
            <w:r>
              <w:rPr>
                <w:rFonts w:ascii="Arial" w:cs="Arial" w:eastAsia="Arial" w:hAnsi="Arial"/>
                <w:sz w:val="18"/>
                <w:szCs w:val="18"/>
                <w:color w:val="auto"/>
              </w:rPr>
              <w:t>Balance, December 31, 2021</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6,050,938</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66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2,758,710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19.37</w:t>
            </w: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6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Options exercised</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(249,544 )</w:t>
            </w: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w:t>
            </w:r>
          </w:p>
        </w:tc>
        <w:tc>
          <w:tcPr>
            <w:tcW w:w="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tcPr>
          <w:p>
            <w:pPr>
              <w:ind w:left="180"/>
              <w:spacing w:after="0"/>
              <w:rPr>
                <w:sz w:val="20"/>
                <w:szCs w:val="20"/>
                <w:color w:val="auto"/>
              </w:rPr>
            </w:pPr>
            <w:r>
              <w:rPr>
                <w:rFonts w:ascii="Arial" w:cs="Arial" w:eastAsia="Arial" w:hAnsi="Arial"/>
                <w:sz w:val="18"/>
                <w:szCs w:val="18"/>
                <w:color w:val="auto"/>
              </w:rPr>
              <w:t>Options cancelled</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(395,729 )</w:t>
            </w: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26.78</w:t>
            </w: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2022</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8,164,375</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16.09</w:t>
            </w: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7.53</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85,181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660" w:type="dxa"/>
            <w:vAlign w:val="bottom"/>
          </w:tcPr>
          <w:p>
            <w:pPr>
              <w:spacing w:after="0"/>
              <w:rPr>
                <w:sz w:val="20"/>
                <w:szCs w:val="20"/>
                <w:color w:val="auto"/>
              </w:rPr>
            </w:pPr>
            <w:r>
              <w:rPr>
                <w:rFonts w:ascii="Arial" w:cs="Arial" w:eastAsia="Arial" w:hAnsi="Arial"/>
                <w:sz w:val="18"/>
                <w:szCs w:val="18"/>
                <w:color w:val="auto"/>
              </w:rPr>
              <w:t>Options vested and expected to vest as of December 31, 2022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8,164,375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16.09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85,181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vested and exercisable as of December 31, 2022</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4,555,124</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11.43</w:t>
            </w: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66,783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-385445</wp:posOffset>
            </wp:positionV>
            <wp:extent cx="68580" cy="2057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20574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9" w:lineRule="exact"/>
        <w:rPr>
          <w:sz w:val="20"/>
          <w:szCs w:val="20"/>
          <w:color w:val="auto"/>
        </w:rPr>
      </w:pPr>
    </w:p>
    <w:p>
      <w:pPr>
        <w:jc w:val="both"/>
        <w:ind w:firstLine="509"/>
        <w:spacing w:after="0" w:line="286" w:lineRule="auto"/>
        <w:rPr>
          <w:sz w:val="20"/>
          <w:szCs w:val="20"/>
          <w:color w:val="auto"/>
        </w:rPr>
      </w:pPr>
      <w:r>
        <w:rPr>
          <w:rFonts w:ascii="Arial" w:cs="Arial" w:eastAsia="Arial" w:hAnsi="Arial"/>
          <w:sz w:val="17"/>
          <w:szCs w:val="17"/>
          <w:color w:val="auto"/>
        </w:rPr>
        <w:t>The aggregate intrinsic values of options outstanding, exercisable, vested and expected to vest were calculated as the difference between the exercise price of the options and the estimated fair value of the Company’s common stock by the Board of Directors. The intrinsic value of the options exercised for the years December 31, 2022, 2021 and 2020 was $3.8 million, $13.1 million and $21.7 million, respectively.</w:t>
      </w:r>
    </w:p>
    <w:p>
      <w:pPr>
        <w:spacing w:after="0" w:line="165" w:lineRule="exact"/>
        <w:rPr>
          <w:sz w:val="20"/>
          <w:szCs w:val="20"/>
          <w:color w:val="auto"/>
        </w:rPr>
      </w:pPr>
    </w:p>
    <w:p>
      <w:pPr>
        <w:jc w:val="both"/>
        <w:ind w:right="180" w:firstLine="509"/>
        <w:spacing w:after="0" w:line="263" w:lineRule="auto"/>
        <w:rPr>
          <w:sz w:val="20"/>
          <w:szCs w:val="20"/>
          <w:color w:val="auto"/>
        </w:rPr>
      </w:pPr>
      <w:r>
        <w:rPr>
          <w:rFonts w:ascii="Arial" w:cs="Arial" w:eastAsia="Arial" w:hAnsi="Arial"/>
          <w:sz w:val="18"/>
          <w:szCs w:val="18"/>
          <w:color w:val="auto"/>
        </w:rPr>
        <w:t>During the years ended December 31, 2022, 2021 and 2020, the weighted-average grant-date fair value of options granted was $12.33, $25.13 and $15.59 per share, respectively. As of December 31, 2022, there was $48.8 million of unrecognized stock-based compensation expense related to unvested stock options that is expected to be recognized over a weighted-average period of 2.57 years.</w:t>
      </w:r>
    </w:p>
    <w:p>
      <w:pPr>
        <w:spacing w:after="0" w:line="184" w:lineRule="exact"/>
        <w:rPr>
          <w:sz w:val="20"/>
          <w:szCs w:val="20"/>
          <w:color w:val="auto"/>
        </w:rPr>
      </w:pPr>
    </w:p>
    <w:p>
      <w:pPr>
        <w:ind w:right="80" w:firstLine="509"/>
        <w:spacing w:after="0" w:line="277" w:lineRule="auto"/>
        <w:rPr>
          <w:sz w:val="20"/>
          <w:szCs w:val="20"/>
          <w:color w:val="auto"/>
        </w:rPr>
      </w:pPr>
      <w:r>
        <w:rPr>
          <w:rFonts w:ascii="Arial" w:cs="Arial" w:eastAsia="Arial" w:hAnsi="Arial"/>
          <w:sz w:val="18"/>
          <w:szCs w:val="18"/>
          <w:color w:val="auto"/>
        </w:rPr>
        <w:t>The fair value of employee and director stock option awards was estimated at the date of grant using a Black-Scholes option-pricing model with the following assumptions:</w:t>
      </w: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r>
      <w:tr>
        <w:trPr>
          <w:trHeight w:val="169"/>
        </w:trPr>
        <w:tc>
          <w:tcPr>
            <w:tcW w:w="5300" w:type="dxa"/>
            <w:vAlign w:val="bottom"/>
          </w:tcPr>
          <w:p>
            <w:pPr>
              <w:spacing w:after="0"/>
              <w:rPr>
                <w:sz w:val="14"/>
                <w:szCs w:val="14"/>
                <w:color w:val="auto"/>
              </w:rPr>
            </w:pPr>
          </w:p>
        </w:tc>
        <w:tc>
          <w:tcPr>
            <w:tcW w:w="1000" w:type="dxa"/>
            <w:vAlign w:val="bottom"/>
          </w:tcPr>
          <w:p>
            <w:pPr>
              <w:jc w:val="center"/>
              <w:ind w:left="74"/>
              <w:spacing w:after="0"/>
              <w:rPr>
                <w:sz w:val="20"/>
                <w:szCs w:val="20"/>
                <w:color w:val="auto"/>
              </w:rPr>
            </w:pPr>
            <w:r>
              <w:rPr>
                <w:rFonts w:ascii="Arial" w:cs="Arial" w:eastAsia="Arial" w:hAnsi="Arial"/>
                <w:sz w:val="14"/>
                <w:szCs w:val="14"/>
                <w:b w:val="1"/>
                <w:bCs w:val="1"/>
                <w:color w:val="auto"/>
                <w:w w:val="89"/>
              </w:rPr>
              <w:t>2022</w:t>
            </w:r>
          </w:p>
        </w:tc>
        <w:tc>
          <w:tcPr>
            <w:tcW w:w="1420" w:type="dxa"/>
            <w:vAlign w:val="bottom"/>
            <w:gridSpan w:val="3"/>
          </w:tcPr>
          <w:p>
            <w:pPr>
              <w:jc w:val="center"/>
              <w:ind w:left="197"/>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2020</w:t>
            </w:r>
          </w:p>
        </w:tc>
      </w:tr>
      <w:tr>
        <w:trPr>
          <w:trHeight w:val="237"/>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1000" w:type="dxa"/>
            <w:vAlign w:val="bottom"/>
            <w:tcBorders>
              <w:top w:val="single" w:sz="8" w:color="auto"/>
            </w:tcBorders>
            <w:shd w:val="clear" w:color="auto" w:fill="CFF0FC"/>
          </w:tcPr>
          <w:p>
            <w:pPr>
              <w:jc w:val="center"/>
              <w:ind w:left="54"/>
              <w:spacing w:after="0"/>
              <w:rPr>
                <w:sz w:val="20"/>
                <w:szCs w:val="20"/>
                <w:color w:val="auto"/>
              </w:rPr>
            </w:pPr>
            <w:r>
              <w:rPr>
                <w:rFonts w:ascii="Arial" w:cs="Arial" w:eastAsia="Arial" w:hAnsi="Arial"/>
                <w:sz w:val="18"/>
                <w:szCs w:val="18"/>
                <w:color w:val="auto"/>
                <w:w w:val="99"/>
              </w:rPr>
              <w:t>6</w:t>
            </w:r>
          </w:p>
        </w:tc>
        <w:tc>
          <w:tcPr>
            <w:tcW w:w="1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center"/>
              <w:ind w:right="34"/>
              <w:spacing w:after="0"/>
              <w:rPr>
                <w:sz w:val="20"/>
                <w:szCs w:val="20"/>
                <w:color w:val="auto"/>
              </w:rPr>
            </w:pPr>
            <w:r>
              <w:rPr>
                <w:rFonts w:ascii="Arial" w:cs="Arial" w:eastAsia="Arial" w:hAnsi="Arial"/>
                <w:sz w:val="18"/>
                <w:szCs w:val="18"/>
                <w:color w:val="auto"/>
                <w:w w:val="99"/>
              </w:rPr>
              <w:t>6</w:t>
            </w:r>
          </w:p>
        </w:tc>
      </w:tr>
      <w:tr>
        <w:trPr>
          <w:trHeight w:val="237"/>
        </w:trPr>
        <w:tc>
          <w:tcPr>
            <w:tcW w:w="5300" w:type="dxa"/>
            <w:vAlign w:val="bottom"/>
          </w:tcPr>
          <w:p>
            <w:pPr>
              <w:spacing w:after="0"/>
              <w:rPr>
                <w:sz w:val="20"/>
                <w:szCs w:val="20"/>
                <w:color w:val="auto"/>
              </w:rPr>
            </w:pPr>
            <w:r>
              <w:rPr>
                <w:rFonts w:ascii="Arial" w:cs="Arial" w:eastAsia="Arial" w:hAnsi="Arial"/>
                <w:sz w:val="18"/>
                <w:szCs w:val="18"/>
                <w:color w:val="auto"/>
              </w:rPr>
              <w:t>Expected volatility</w:t>
            </w:r>
          </w:p>
        </w:tc>
        <w:tc>
          <w:tcPr>
            <w:tcW w:w="1000" w:type="dxa"/>
            <w:vAlign w:val="bottom"/>
          </w:tcPr>
          <w:p>
            <w:pPr>
              <w:jc w:val="center"/>
              <w:ind w:left="54"/>
              <w:spacing w:after="0"/>
              <w:rPr>
                <w:sz w:val="20"/>
                <w:szCs w:val="20"/>
                <w:color w:val="auto"/>
              </w:rPr>
            </w:pPr>
            <w:r>
              <w:rPr>
                <w:rFonts w:ascii="Arial" w:cs="Arial" w:eastAsia="Arial" w:hAnsi="Arial"/>
                <w:sz w:val="18"/>
                <w:szCs w:val="18"/>
                <w:color w:val="auto"/>
                <w:w w:val="93"/>
              </w:rPr>
              <w:t>70-73%</w:t>
            </w:r>
          </w:p>
        </w:tc>
        <w:tc>
          <w:tcPr>
            <w:tcW w:w="1420" w:type="dxa"/>
            <w:vAlign w:val="bottom"/>
            <w:gridSpan w:val="3"/>
          </w:tcPr>
          <w:p>
            <w:pPr>
              <w:jc w:val="center"/>
              <w:ind w:left="197"/>
              <w:spacing w:after="0"/>
              <w:rPr>
                <w:sz w:val="20"/>
                <w:szCs w:val="20"/>
                <w:color w:val="auto"/>
              </w:rPr>
            </w:pPr>
            <w:r>
              <w:rPr>
                <w:rFonts w:ascii="Arial" w:cs="Arial" w:eastAsia="Arial" w:hAnsi="Arial"/>
                <w:sz w:val="18"/>
                <w:szCs w:val="18"/>
                <w:color w:val="auto"/>
                <w:w w:val="93"/>
              </w:rPr>
              <w:t>70-75%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4"/>
              <w:spacing w:after="0"/>
              <w:rPr>
                <w:sz w:val="20"/>
                <w:szCs w:val="20"/>
                <w:color w:val="auto"/>
              </w:rPr>
            </w:pPr>
            <w:r>
              <w:rPr>
                <w:rFonts w:ascii="Arial" w:cs="Arial" w:eastAsia="Arial" w:hAnsi="Arial"/>
                <w:sz w:val="18"/>
                <w:szCs w:val="18"/>
                <w:color w:val="auto"/>
                <w:w w:val="93"/>
              </w:rPr>
              <w:t>74-80%</w:t>
            </w:r>
          </w:p>
        </w:tc>
      </w:tr>
      <w:tr>
        <w:trPr>
          <w:trHeight w:val="24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1000" w:type="dxa"/>
            <w:vAlign w:val="bottom"/>
            <w:shd w:val="clear" w:color="auto" w:fill="CFF0FC"/>
          </w:tcPr>
          <w:p>
            <w:pPr>
              <w:jc w:val="center"/>
              <w:ind w:left="74"/>
              <w:spacing w:after="0"/>
              <w:rPr>
                <w:sz w:val="20"/>
                <w:szCs w:val="20"/>
                <w:color w:val="auto"/>
              </w:rPr>
            </w:pPr>
            <w:r>
              <w:rPr>
                <w:rFonts w:ascii="Arial" w:cs="Arial" w:eastAsia="Arial" w:hAnsi="Arial"/>
                <w:sz w:val="18"/>
                <w:szCs w:val="18"/>
                <w:color w:val="auto"/>
                <w:w w:val="90"/>
              </w:rPr>
              <w:t>1.5%-4.2%</w:t>
            </w:r>
          </w:p>
        </w:tc>
        <w:tc>
          <w:tcPr>
            <w:tcW w:w="1420" w:type="dxa"/>
            <w:vAlign w:val="bottom"/>
            <w:gridSpan w:val="3"/>
            <w:shd w:val="clear" w:color="auto" w:fill="CFF0FC"/>
          </w:tcPr>
          <w:p>
            <w:pPr>
              <w:jc w:val="center"/>
              <w:ind w:left="197"/>
              <w:spacing w:after="0"/>
              <w:rPr>
                <w:sz w:val="20"/>
                <w:szCs w:val="20"/>
                <w:color w:val="auto"/>
              </w:rPr>
            </w:pPr>
            <w:r>
              <w:rPr>
                <w:rFonts w:ascii="Arial" w:cs="Arial" w:eastAsia="Arial" w:hAnsi="Arial"/>
                <w:sz w:val="18"/>
                <w:szCs w:val="18"/>
                <w:color w:val="auto"/>
                <w:w w:val="93"/>
              </w:rPr>
              <w:t>0.5%-1.3%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center"/>
              <w:ind w:right="34"/>
              <w:spacing w:after="0"/>
              <w:rPr>
                <w:sz w:val="20"/>
                <w:szCs w:val="20"/>
                <w:color w:val="auto"/>
              </w:rPr>
            </w:pPr>
            <w:r>
              <w:rPr>
                <w:rFonts w:ascii="Arial" w:cs="Arial" w:eastAsia="Arial" w:hAnsi="Arial"/>
                <w:sz w:val="18"/>
                <w:szCs w:val="18"/>
                <w:color w:val="auto"/>
                <w:w w:val="93"/>
              </w:rPr>
              <w:t>0.2%-1.5%</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Dividend yield</w:t>
            </w:r>
          </w:p>
        </w:tc>
        <w:tc>
          <w:tcPr>
            <w:tcW w:w="1000" w:type="dxa"/>
            <w:vAlign w:val="bottom"/>
          </w:tcPr>
          <w:p>
            <w:pPr>
              <w:jc w:val="center"/>
              <w:ind w:left="74"/>
              <w:spacing w:after="0"/>
              <w:rPr>
                <w:sz w:val="20"/>
                <w:szCs w:val="20"/>
                <w:color w:val="auto"/>
              </w:rPr>
            </w:pPr>
            <w:r>
              <w:rPr>
                <w:rFonts w:ascii="Arial" w:cs="Arial" w:eastAsia="Arial" w:hAnsi="Arial"/>
                <w:sz w:val="18"/>
                <w:szCs w:val="18"/>
                <w:color w:val="auto"/>
                <w:w w:val="92"/>
              </w:rPr>
              <w:t>0%</w:t>
            </w:r>
          </w:p>
        </w:tc>
        <w:tc>
          <w:tcPr>
            <w:tcW w:w="1420" w:type="dxa"/>
            <w:vAlign w:val="bottom"/>
            <w:gridSpan w:val="3"/>
          </w:tcPr>
          <w:p>
            <w:pPr>
              <w:jc w:val="center"/>
              <w:ind w:left="217"/>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4"/>
              <w:spacing w:after="0"/>
              <w:rPr>
                <w:sz w:val="20"/>
                <w:szCs w:val="20"/>
                <w:color w:val="auto"/>
              </w:rPr>
            </w:pPr>
            <w:r>
              <w:rPr>
                <w:rFonts w:ascii="Arial" w:cs="Arial" w:eastAsia="Arial" w:hAnsi="Arial"/>
                <w:sz w:val="18"/>
                <w:szCs w:val="18"/>
                <w:color w:val="auto"/>
                <w:w w:val="92"/>
              </w:rPr>
              <w:t>0%</w:t>
            </w:r>
          </w:p>
        </w:tc>
      </w:tr>
    </w:tbl>
    <w:p>
      <w:pPr>
        <w:spacing w:after="0" w:line="268" w:lineRule="exact"/>
        <w:rPr>
          <w:sz w:val="20"/>
          <w:szCs w:val="20"/>
          <w:color w:val="auto"/>
        </w:rPr>
      </w:pPr>
    </w:p>
    <w:p>
      <w:pPr>
        <w:ind w:right="540" w:firstLine="509"/>
        <w:spacing w:after="0" w:line="277" w:lineRule="auto"/>
        <w:rPr>
          <w:sz w:val="20"/>
          <w:szCs w:val="20"/>
          <w:color w:val="auto"/>
        </w:rPr>
      </w:pPr>
      <w:r>
        <w:rPr>
          <w:rFonts w:ascii="Arial" w:cs="Arial" w:eastAsia="Arial" w:hAnsi="Arial"/>
          <w:sz w:val="18"/>
          <w:szCs w:val="18"/>
          <w:color w:val="auto"/>
        </w:rPr>
        <w:t>Non-employee stock option awards were measured at fair value at each reporting period using a Black-Scholes option-pricing model with the following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3"/>
              </w:rPr>
              <w:t>Year Ended December 31,</w:t>
            </w:r>
          </w:p>
        </w:tc>
        <w:tc>
          <w:tcPr>
            <w:tcW w:w="1020" w:type="dxa"/>
            <w:vAlign w:val="bottom"/>
            <w:tcBorders>
              <w:bottom w:val="single" w:sz="8" w:color="auto"/>
            </w:tcBorders>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0" w:type="dxa"/>
            <w:vAlign w:val="bottom"/>
          </w:tcPr>
          <w:p>
            <w:pPr>
              <w:jc w:val="center"/>
              <w:ind w:left="79"/>
              <w:spacing w:after="0"/>
              <w:rPr>
                <w:sz w:val="20"/>
                <w:szCs w:val="20"/>
                <w:color w:val="auto"/>
              </w:rPr>
            </w:pPr>
            <w:r>
              <w:rPr>
                <w:rFonts w:ascii="Arial" w:cs="Arial" w:eastAsia="Arial" w:hAnsi="Arial"/>
                <w:sz w:val="14"/>
                <w:szCs w:val="14"/>
                <w:b w:val="1"/>
                <w:bCs w:val="1"/>
                <w:color w:val="auto"/>
                <w:w w:val="89"/>
              </w:rPr>
              <w:t>2022</w:t>
            </w:r>
          </w:p>
        </w:tc>
        <w:tc>
          <w:tcPr>
            <w:tcW w:w="1420" w:type="dxa"/>
            <w:vAlign w:val="bottom"/>
            <w:gridSpan w:val="3"/>
          </w:tcPr>
          <w:p>
            <w:pPr>
              <w:jc w:val="center"/>
              <w:ind w:left="197"/>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4"/>
              <w:spacing w:after="0"/>
              <w:rPr>
                <w:sz w:val="20"/>
                <w:szCs w:val="20"/>
                <w:color w:val="auto"/>
              </w:rPr>
            </w:pPr>
            <w:r>
              <w:rPr>
                <w:rFonts w:ascii="Arial" w:cs="Arial" w:eastAsia="Arial" w:hAnsi="Arial"/>
                <w:sz w:val="14"/>
                <w:szCs w:val="14"/>
                <w:b w:val="1"/>
                <w:bCs w:val="1"/>
                <w:color w:val="auto"/>
                <w:w w:val="89"/>
              </w:rPr>
              <w:t>2020</w:t>
            </w:r>
          </w:p>
        </w:tc>
        <w:tc>
          <w:tcPr>
            <w:tcW w:w="112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(years)</w:t>
            </w:r>
          </w:p>
        </w:tc>
        <w:tc>
          <w:tcPr>
            <w:tcW w:w="232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jc w:val="center"/>
              <w:ind w:left="59"/>
              <w:spacing w:after="0"/>
              <w:rPr>
                <w:sz w:val="20"/>
                <w:szCs w:val="20"/>
                <w:color w:val="auto"/>
              </w:rPr>
            </w:pPr>
            <w:r>
              <w:rPr>
                <w:rFonts w:ascii="Arial" w:cs="Arial" w:eastAsia="Arial" w:hAnsi="Arial"/>
                <w:sz w:val="18"/>
                <w:szCs w:val="18"/>
                <w:color w:val="auto"/>
                <w:w w:val="99"/>
              </w:rPr>
              <w:t>6</w:t>
            </w:r>
          </w:p>
        </w:tc>
        <w:tc>
          <w:tcPr>
            <w:tcW w:w="16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center"/>
              <w:ind w:right="34"/>
              <w:spacing w:after="0"/>
              <w:rPr>
                <w:sz w:val="20"/>
                <w:szCs w:val="20"/>
                <w:color w:val="auto"/>
              </w:rPr>
            </w:pPr>
            <w:r>
              <w:rPr>
                <w:rFonts w:ascii="Arial" w:cs="Arial" w:eastAsia="Arial" w:hAnsi="Arial"/>
                <w:sz w:val="18"/>
                <w:szCs w:val="18"/>
                <w:color w:val="auto"/>
                <w:w w:val="94"/>
              </w:rPr>
              <w:t>6-10</w:t>
            </w: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Expected volatility</w:t>
            </w:r>
          </w:p>
        </w:tc>
        <w:tc>
          <w:tcPr>
            <w:tcW w:w="3320" w:type="dxa"/>
            <w:vAlign w:val="bottom"/>
            <w:gridSpan w:val="2"/>
          </w:tcPr>
          <w:p>
            <w:pPr>
              <w:jc w:val="center"/>
              <w:ind w:left="2370"/>
              <w:spacing w:after="0"/>
              <w:rPr>
                <w:sz w:val="20"/>
                <w:szCs w:val="20"/>
                <w:color w:val="auto"/>
              </w:rPr>
            </w:pPr>
            <w:r>
              <w:rPr>
                <w:rFonts w:ascii="Arial" w:cs="Arial" w:eastAsia="Arial" w:hAnsi="Arial"/>
                <w:sz w:val="18"/>
                <w:szCs w:val="18"/>
                <w:color w:val="auto"/>
                <w:w w:val="93"/>
              </w:rPr>
              <w:t>70-71%</w:t>
            </w:r>
          </w:p>
        </w:tc>
        <w:tc>
          <w:tcPr>
            <w:tcW w:w="1420" w:type="dxa"/>
            <w:vAlign w:val="bottom"/>
            <w:gridSpan w:val="3"/>
          </w:tcPr>
          <w:p>
            <w:pPr>
              <w:jc w:val="center"/>
              <w:ind w:left="197"/>
              <w:spacing w:after="0"/>
              <w:rPr>
                <w:sz w:val="20"/>
                <w:szCs w:val="20"/>
                <w:color w:val="auto"/>
              </w:rPr>
            </w:pPr>
            <w:r>
              <w:rPr>
                <w:rFonts w:ascii="Arial" w:cs="Arial" w:eastAsia="Arial" w:hAnsi="Arial"/>
                <w:sz w:val="18"/>
                <w:szCs w:val="18"/>
                <w:color w:val="auto"/>
                <w:w w:val="93"/>
              </w:rPr>
              <w:t>70-75%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34"/>
              <w:spacing w:after="0"/>
              <w:rPr>
                <w:sz w:val="20"/>
                <w:szCs w:val="20"/>
                <w:color w:val="auto"/>
              </w:rPr>
            </w:pPr>
            <w:r>
              <w:rPr>
                <w:rFonts w:ascii="Arial" w:cs="Arial" w:eastAsia="Arial" w:hAnsi="Arial"/>
                <w:sz w:val="18"/>
                <w:szCs w:val="18"/>
                <w:color w:val="auto"/>
                <w:w w:val="93"/>
              </w:rPr>
              <w:t>74-80%</w:t>
            </w: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3320" w:type="dxa"/>
            <w:vAlign w:val="bottom"/>
            <w:gridSpan w:val="2"/>
            <w:shd w:val="clear" w:color="auto" w:fill="CFF0FC"/>
          </w:tcPr>
          <w:p>
            <w:pPr>
              <w:jc w:val="center"/>
              <w:ind w:left="2390"/>
              <w:spacing w:after="0"/>
              <w:rPr>
                <w:sz w:val="20"/>
                <w:szCs w:val="20"/>
                <w:color w:val="auto"/>
              </w:rPr>
            </w:pPr>
            <w:r>
              <w:rPr>
                <w:rFonts w:ascii="Arial" w:cs="Arial" w:eastAsia="Arial" w:hAnsi="Arial"/>
                <w:sz w:val="18"/>
                <w:szCs w:val="18"/>
                <w:color w:val="auto"/>
                <w:w w:val="90"/>
              </w:rPr>
              <w:t>1.6%-3.4%</w:t>
            </w:r>
          </w:p>
        </w:tc>
        <w:tc>
          <w:tcPr>
            <w:tcW w:w="1420" w:type="dxa"/>
            <w:vAlign w:val="bottom"/>
            <w:gridSpan w:val="3"/>
            <w:shd w:val="clear" w:color="auto" w:fill="CFF0FC"/>
          </w:tcPr>
          <w:p>
            <w:pPr>
              <w:jc w:val="center"/>
              <w:ind w:left="197"/>
              <w:spacing w:after="0"/>
              <w:rPr>
                <w:sz w:val="20"/>
                <w:szCs w:val="20"/>
                <w:color w:val="auto"/>
              </w:rPr>
            </w:pPr>
            <w:r>
              <w:rPr>
                <w:rFonts w:ascii="Arial" w:cs="Arial" w:eastAsia="Arial" w:hAnsi="Arial"/>
                <w:sz w:val="18"/>
                <w:szCs w:val="18"/>
                <w:color w:val="auto"/>
                <w:w w:val="93"/>
              </w:rPr>
              <w:t>0.9%-1.3%</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jc w:val="center"/>
              <w:ind w:right="34"/>
              <w:spacing w:after="0"/>
              <w:rPr>
                <w:sz w:val="20"/>
                <w:szCs w:val="20"/>
                <w:color w:val="auto"/>
              </w:rPr>
            </w:pPr>
            <w:r>
              <w:rPr>
                <w:rFonts w:ascii="Arial" w:cs="Arial" w:eastAsia="Arial" w:hAnsi="Arial"/>
                <w:sz w:val="18"/>
                <w:szCs w:val="18"/>
                <w:color w:val="auto"/>
                <w:w w:val="93"/>
              </w:rPr>
              <w:t>1.2%-1.5%</w:t>
            </w:r>
          </w:p>
        </w:tc>
        <w:tc>
          <w:tcPr>
            <w:tcW w:w="1120" w:type="dxa"/>
            <w:vAlign w:val="bottom"/>
          </w:tcPr>
          <w:p>
            <w:pPr>
              <w:spacing w:after="0"/>
              <w:rPr>
                <w:sz w:val="21"/>
                <w:szCs w:val="21"/>
                <w:color w:val="auto"/>
              </w:rPr>
            </w:pPr>
          </w:p>
        </w:tc>
      </w:tr>
      <w:tr>
        <w:trPr>
          <w:trHeight w:val="230"/>
        </w:trPr>
        <w:tc>
          <w:tcPr>
            <w:tcW w:w="114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Dividend yield</w:t>
            </w:r>
          </w:p>
        </w:tc>
        <w:tc>
          <w:tcPr>
            <w:tcW w:w="3320" w:type="dxa"/>
            <w:vAlign w:val="bottom"/>
            <w:gridSpan w:val="2"/>
          </w:tcPr>
          <w:p>
            <w:pPr>
              <w:jc w:val="center"/>
              <w:ind w:left="2390"/>
              <w:spacing w:after="0"/>
              <w:rPr>
                <w:sz w:val="20"/>
                <w:szCs w:val="20"/>
                <w:color w:val="auto"/>
              </w:rPr>
            </w:pPr>
            <w:r>
              <w:rPr>
                <w:rFonts w:ascii="Arial" w:cs="Arial" w:eastAsia="Arial" w:hAnsi="Arial"/>
                <w:sz w:val="18"/>
                <w:szCs w:val="18"/>
                <w:color w:val="auto"/>
                <w:w w:val="92"/>
              </w:rPr>
              <w:t>0%</w:t>
            </w:r>
          </w:p>
        </w:tc>
        <w:tc>
          <w:tcPr>
            <w:tcW w:w="1420" w:type="dxa"/>
            <w:vAlign w:val="bottom"/>
            <w:gridSpan w:val="3"/>
          </w:tcPr>
          <w:p>
            <w:pPr>
              <w:jc w:val="center"/>
              <w:ind w:left="217"/>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4"/>
              <w:spacing w:after="0"/>
              <w:rPr>
                <w:sz w:val="20"/>
                <w:szCs w:val="20"/>
                <w:color w:val="auto"/>
              </w:rPr>
            </w:pPr>
            <w:r>
              <w:rPr>
                <w:rFonts w:ascii="Arial" w:cs="Arial" w:eastAsia="Arial" w:hAnsi="Arial"/>
                <w:sz w:val="18"/>
                <w:szCs w:val="18"/>
                <w:color w:val="auto"/>
                <w:w w:val="92"/>
              </w:rPr>
              <w:t>0%</w:t>
            </w:r>
          </w:p>
        </w:tc>
        <w:tc>
          <w:tcPr>
            <w:tcW w:w="1120" w:type="dxa"/>
            <w:vAlign w:val="bottom"/>
          </w:tcPr>
          <w:p>
            <w:pPr>
              <w:spacing w:after="0"/>
              <w:rPr>
                <w:sz w:val="20"/>
                <w:szCs w:val="20"/>
                <w:color w:val="auto"/>
              </w:rPr>
            </w:pPr>
          </w:p>
        </w:tc>
      </w:tr>
      <w:tr>
        <w:trPr>
          <w:trHeight w:val="661"/>
        </w:trPr>
        <w:tc>
          <w:tcPr>
            <w:tcW w:w="11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320" w:type="dxa"/>
            <w:vAlign w:val="bottom"/>
          </w:tcPr>
          <w:p>
            <w:pPr>
              <w:jc w:val="right"/>
              <w:ind w:right="590"/>
              <w:spacing w:after="0"/>
              <w:rPr>
                <w:sz w:val="20"/>
                <w:szCs w:val="20"/>
                <w:color w:val="auto"/>
              </w:rPr>
            </w:pPr>
            <w:r>
              <w:rPr>
                <w:rFonts w:ascii="Arial" w:cs="Arial" w:eastAsia="Arial" w:hAnsi="Arial"/>
                <w:sz w:val="18"/>
                <w:szCs w:val="18"/>
                <w:color w:val="auto"/>
              </w:rPr>
              <w:t>116</w:t>
            </w: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19" w:name="page120"/>
    <w:bookmarkEnd w:id="119"/>
    <w:p>
      <w:pPr>
        <w:ind w:left="520"/>
        <w:spacing w:after="0"/>
        <w:rPr>
          <w:sz w:val="20"/>
          <w:szCs w:val="20"/>
          <w:color w:val="auto"/>
        </w:rPr>
      </w:pPr>
      <w:r>
        <w:rPr>
          <w:rFonts w:ascii="Arial" w:cs="Arial" w:eastAsia="Arial" w:hAnsi="Arial"/>
          <w:sz w:val="18"/>
          <w:szCs w:val="18"/>
          <w:color w:val="auto"/>
        </w:rPr>
        <w:t>The Black-Scholes model assumptions that determine the fair value of stock-based awards include:</w:t>
      </w:r>
    </w:p>
    <w:p>
      <w:pPr>
        <w:spacing w:after="0" w:line="225" w:lineRule="exact"/>
        <w:rPr>
          <w:sz w:val="20"/>
          <w:szCs w:val="20"/>
          <w:color w:val="auto"/>
        </w:rPr>
      </w:pPr>
    </w:p>
    <w:p>
      <w:pPr>
        <w:jc w:val="both"/>
        <w:ind w:right="260" w:firstLine="509"/>
        <w:spacing w:after="0" w:line="259" w:lineRule="auto"/>
        <w:rPr>
          <w:sz w:val="20"/>
          <w:szCs w:val="20"/>
          <w:color w:val="auto"/>
        </w:rPr>
      </w:pPr>
      <w:r>
        <w:rPr>
          <w:rFonts w:ascii="Arial" w:cs="Arial" w:eastAsia="Arial" w:hAnsi="Arial"/>
          <w:sz w:val="18"/>
          <w:szCs w:val="18"/>
          <w:b w:val="1"/>
          <w:bCs w:val="1"/>
          <w:i w:val="1"/>
          <w:iCs w:val="1"/>
          <w:color w:val="auto"/>
        </w:rPr>
        <w:t>Expected term</w:t>
      </w:r>
      <w:r>
        <w:rPr>
          <w:rFonts w:ascii="Arial" w:cs="Arial" w:eastAsia="Arial" w:hAnsi="Arial"/>
          <w:sz w:val="18"/>
          <w:szCs w:val="18"/>
          <w:color w:val="auto"/>
        </w:rPr>
        <w:t>—The expected term is calculated using the simplified method, which is available where there is insufficient historical data about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exercise patterns and post-vesting employment termination behavior. The simplified method is based on the vesting period and the contractual term for each grant, or for each vesting-tranche for awards with graded vesting. The mid-point between the vesting date and the maximum contractual expiration date is used as the expected term under this method.</w:t>
      </w:r>
    </w:p>
    <w:p>
      <w:pPr>
        <w:spacing w:after="0" w:line="187" w:lineRule="exact"/>
        <w:rPr>
          <w:sz w:val="20"/>
          <w:szCs w:val="20"/>
          <w:color w:val="auto"/>
        </w:rPr>
      </w:pPr>
    </w:p>
    <w:p>
      <w:pPr>
        <w:ind w:right="80" w:firstLine="509"/>
        <w:spacing w:after="0" w:line="286" w:lineRule="auto"/>
        <w:rPr>
          <w:sz w:val="20"/>
          <w:szCs w:val="20"/>
          <w:color w:val="auto"/>
        </w:rPr>
      </w:pPr>
      <w:r>
        <w:rPr>
          <w:rFonts w:ascii="Arial" w:cs="Arial" w:eastAsia="Arial" w:hAnsi="Arial"/>
          <w:sz w:val="17"/>
          <w:szCs w:val="17"/>
          <w:b w:val="1"/>
          <w:bCs w:val="1"/>
          <w:i w:val="1"/>
          <w:iCs w:val="1"/>
          <w:color w:val="auto"/>
        </w:rPr>
        <w:t>Expected volatility</w:t>
      </w:r>
      <w:r>
        <w:rPr>
          <w:rFonts w:ascii="Arial" w:cs="Arial" w:eastAsia="Arial" w:hAnsi="Arial"/>
          <w:sz w:val="17"/>
          <w:szCs w:val="17"/>
          <w:color w:val="auto"/>
        </w:rPr>
        <w:t>—Given the Company does not have sufficient trading history for its common stock, the expected volatility was estimated based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the average volatility of the Company and comparable publicly traded biotechnology companies over a period equal to the expected term of the stock option grants. The comparable companies were chosen based on their similar size, stage in the life cycle or area of specialty.</w:t>
      </w:r>
    </w:p>
    <w:p>
      <w:pPr>
        <w:spacing w:after="0" w:line="165" w:lineRule="exact"/>
        <w:rPr>
          <w:sz w:val="20"/>
          <w:szCs w:val="20"/>
          <w:color w:val="auto"/>
        </w:rPr>
      </w:pPr>
    </w:p>
    <w:p>
      <w:pPr>
        <w:ind w:right="660" w:firstLine="509"/>
        <w:spacing w:after="0" w:line="277" w:lineRule="auto"/>
        <w:rPr>
          <w:sz w:val="20"/>
          <w:szCs w:val="20"/>
          <w:color w:val="auto"/>
        </w:rPr>
      </w:pPr>
      <w:r>
        <w:rPr>
          <w:rFonts w:ascii="Arial" w:cs="Arial" w:eastAsia="Arial" w:hAnsi="Arial"/>
          <w:sz w:val="18"/>
          <w:szCs w:val="18"/>
          <w:b w:val="1"/>
          <w:bCs w:val="1"/>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corresponding with the expected term of option.</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Expected dividend</w:t>
      </w:r>
      <w:r>
        <w:rPr>
          <w:rFonts w:ascii="Arial" w:cs="Arial" w:eastAsia="Arial" w:hAnsi="Arial"/>
          <w:sz w:val="17"/>
          <w:szCs w:val="17"/>
          <w:color w:val="auto"/>
        </w:rPr>
        <w:t>—The Company has never paid dividends on its common stock and has no plans to pay dividends on its common stock.</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Therefore, the Company used an expected dividend yield of zero.</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40" w:firstLine="509"/>
        <w:spacing w:after="0" w:line="263" w:lineRule="auto"/>
        <w:rPr>
          <w:sz w:val="20"/>
          <w:szCs w:val="20"/>
          <w:color w:val="auto"/>
        </w:rPr>
      </w:pPr>
      <w:r>
        <w:rPr>
          <w:rFonts w:ascii="Arial" w:cs="Arial" w:eastAsia="Arial" w:hAnsi="Arial"/>
          <w:sz w:val="18"/>
          <w:szCs w:val="18"/>
          <w:color w:val="auto"/>
        </w:rPr>
        <w:t>Restricted stock units (RSUs) have been granted to employees and directors. The fair value of an RSU award is based on the Company’s stock price on the date of grant. The shares underlying the RSU awards are not issued until the RSUs vest. Upon vesting, each RSU converts into one share of the Company’s common stock. The Company has granted RSUs pursuant to the 2020 plan.</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Activity under the 2020 Plan with respect to the Company’s RSUs during the year ended December 31, 2022 was as follows:</w:t>
      </w:r>
    </w:p>
    <w:p>
      <w:pPr>
        <w:spacing w:after="0" w:line="24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97"/>
              </w:rPr>
              <w:t>grant</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940" w:type="dxa"/>
            <w:vAlign w:val="bottom"/>
          </w:tcPr>
          <w:p>
            <w:pPr>
              <w:spacing w:after="0"/>
              <w:rPr>
                <w:sz w:val="12"/>
                <w:szCs w:val="12"/>
                <w:color w:val="auto"/>
              </w:rPr>
            </w:pPr>
          </w:p>
        </w:tc>
        <w:tc>
          <w:tcPr>
            <w:tcW w:w="12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 of</w:t>
            </w: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date fair</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89"/>
              </w:rPr>
              <w:t>Aggregate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value per</w:t>
            </w: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940" w:type="dxa"/>
            <w:vAlign w:val="bottom"/>
          </w:tcPr>
          <w:p>
            <w:pPr>
              <w:spacing w:after="0"/>
              <w:rPr>
                <w:sz w:val="16"/>
                <w:szCs w:val="16"/>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6"/>
                <w:szCs w:val="16"/>
                <w:color w:val="auto"/>
              </w:rPr>
            </w:pPr>
          </w:p>
        </w:tc>
        <w:tc>
          <w:tcPr>
            <w:tcW w:w="54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share</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term</w:t>
            </w:r>
          </w:p>
        </w:tc>
        <w:tc>
          <w:tcPr>
            <w:tcW w:w="120" w:type="dxa"/>
            <w:vAlign w:val="bottom"/>
          </w:tcPr>
          <w:p>
            <w:pPr>
              <w:spacing w:after="0"/>
              <w:rPr>
                <w:sz w:val="16"/>
                <w:szCs w:val="16"/>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intrinsic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940" w:type="dxa"/>
            <w:vAlign w:val="bottom"/>
          </w:tcPr>
          <w:p>
            <w:pPr>
              <w:spacing w:after="0"/>
              <w:rPr>
                <w:sz w:val="14"/>
                <w:szCs w:val="14"/>
                <w:color w:val="auto"/>
              </w:rPr>
            </w:pPr>
          </w:p>
        </w:tc>
        <w:tc>
          <w:tcPr>
            <w:tcW w:w="11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120" w:type="dxa"/>
            <w:vAlign w:val="bottom"/>
          </w:tcPr>
          <w:p>
            <w:pPr>
              <w:spacing w:after="0"/>
              <w:rPr>
                <w:sz w:val="14"/>
                <w:szCs w:val="14"/>
                <w:color w:val="auto"/>
              </w:rPr>
            </w:pPr>
          </w:p>
        </w:tc>
        <w:tc>
          <w:tcPr>
            <w:tcW w:w="10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Balance, December 31, 2021</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423,621</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10,663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180"/>
              <w:spacing w:after="0"/>
              <w:rPr>
                <w:sz w:val="20"/>
                <w:szCs w:val="20"/>
                <w:color w:val="auto"/>
              </w:rPr>
            </w:pPr>
            <w:r>
              <w:rPr>
                <w:rFonts w:ascii="Arial" w:cs="Arial" w:eastAsia="Arial" w:hAnsi="Arial"/>
                <w:sz w:val="18"/>
                <w:szCs w:val="18"/>
                <w:color w:val="auto"/>
              </w:rPr>
              <w:t>Restricted stock units 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1,142,366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59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Restricted stock units vested</w:t>
            </w: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(278,848 )</w:t>
            </w: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28.23</w:t>
            </w:r>
          </w:p>
        </w:tc>
        <w:tc>
          <w:tcPr>
            <w:tcW w:w="10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40" w:type="dxa"/>
            <w:vAlign w:val="bottom"/>
          </w:tcPr>
          <w:p>
            <w:pPr>
              <w:ind w:left="180"/>
              <w:spacing w:after="0"/>
              <w:rPr>
                <w:sz w:val="20"/>
                <w:szCs w:val="20"/>
                <w:color w:val="auto"/>
              </w:rPr>
            </w:pPr>
            <w:r>
              <w:rPr>
                <w:rFonts w:ascii="Arial" w:cs="Arial" w:eastAsia="Arial" w:hAnsi="Arial"/>
                <w:sz w:val="18"/>
                <w:szCs w:val="18"/>
                <w:color w:val="auto"/>
              </w:rPr>
              <w:t>Restricted stock units forfeited</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(112,107 )</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24.58</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December 31, 2022</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1,175,032</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23.25</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27,989</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Expected to vest as of December 31, 2022</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1,175,032</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23.25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27,989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-205105</wp:posOffset>
            </wp:positionV>
            <wp:extent cx="68580" cy="2057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205740"/>
                    </a:xfrm>
                    <a:prstGeom prst="rect">
                      <a:avLst/>
                    </a:prstGeom>
                    <a:noFill/>
                  </pic:spPr>
                </pic:pic>
              </a:graphicData>
            </a:graphic>
          </wp:anchor>
        </w:drawing>
      </w:r>
    </w:p>
    <w:p>
      <w:pPr>
        <w:spacing w:after="0" w:line="236"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The number of RSUs vested includes shares of common stock that the Company withheld to satisfy the minimum statutory tax withholding requirements. As of December 31, 2022, there was $25.8 million of total unrecognized compensation cost related to RSUs that is expected to be recognized over a weighted average period of 3.07 years.</w:t>
      </w:r>
    </w:p>
    <w:p>
      <w:pPr>
        <w:spacing w:after="0" w:line="184" w:lineRule="exact"/>
        <w:rPr>
          <w:sz w:val="20"/>
          <w:szCs w:val="20"/>
          <w:color w:val="auto"/>
        </w:rPr>
      </w:pPr>
    </w:p>
    <w:p>
      <w:pPr>
        <w:ind w:right="640" w:firstLine="509"/>
        <w:spacing w:after="0" w:line="277" w:lineRule="auto"/>
        <w:rPr>
          <w:sz w:val="20"/>
          <w:szCs w:val="20"/>
          <w:color w:val="auto"/>
        </w:rPr>
      </w:pPr>
      <w:r>
        <w:rPr>
          <w:rFonts w:ascii="Arial" w:cs="Arial" w:eastAsia="Arial" w:hAnsi="Arial"/>
          <w:sz w:val="18"/>
          <w:szCs w:val="18"/>
          <w:color w:val="auto"/>
        </w:rPr>
        <w:t>The total fair value of RSUs vested for the years ended December 31, 2022, 2021 and 2020 was $7.9 million, $3.1 million and $0.1 million,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stock-based compensation expense related to stock options, RSUs and the ESPP by function was as follows: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5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40" w:type="dxa"/>
            <w:vAlign w:val="bottom"/>
            <w:gridSpan w:val="6"/>
          </w:tcPr>
          <w:p>
            <w:pPr>
              <w:jc w:val="center"/>
              <w:ind w:left="497"/>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2021</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r>
      <w:tr>
        <w:trPr>
          <w:trHeight w:val="169"/>
        </w:trPr>
        <w:tc>
          <w:tcPr>
            <w:tcW w:w="5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18,113</w:t>
            </w:r>
          </w:p>
        </w:tc>
        <w:tc>
          <w:tcPr>
            <w:tcW w:w="460" w:type="dxa"/>
            <w:vAlign w:val="bottom"/>
            <w:gridSpan w:val="2"/>
            <w:shd w:val="clear" w:color="auto" w:fill="CFF0FC"/>
          </w:tcPr>
          <w:p>
            <w:pPr>
              <w:jc w:val="right"/>
              <w:ind w:right="59"/>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11,847</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4,848</w:t>
            </w:r>
          </w:p>
        </w:tc>
        <w:tc>
          <w:tcPr>
            <w:tcW w:w="80" w:type="dxa"/>
            <w:vAlign w:val="bottom"/>
            <w:shd w:val="clear" w:color="auto" w:fill="CFF0FC"/>
          </w:tcPr>
          <w:p>
            <w:pPr>
              <w:spacing w:after="0"/>
              <w:rPr>
                <w:sz w:val="21"/>
                <w:szCs w:val="21"/>
                <w:color w:val="auto"/>
              </w:rPr>
            </w:pPr>
          </w:p>
        </w:tc>
      </w:tr>
      <w:tr>
        <w:trPr>
          <w:trHeight w:val="237"/>
        </w:trPr>
        <w:tc>
          <w:tcPr>
            <w:tcW w:w="52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13,083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8,877</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w:t>
            </w:r>
          </w:p>
        </w:tc>
        <w:tc>
          <w:tcPr>
            <w:tcW w:w="80" w:type="dxa"/>
            <w:vAlign w:val="bottom"/>
          </w:tcPr>
          <w:p>
            <w:pPr>
              <w:spacing w:after="0"/>
              <w:rPr>
                <w:sz w:val="20"/>
                <w:szCs w:val="20"/>
                <w:color w:val="auto"/>
              </w:rPr>
            </w:pPr>
          </w:p>
        </w:tc>
      </w:tr>
      <w:tr>
        <w:trPr>
          <w:trHeight w:val="276"/>
        </w:trPr>
        <w:tc>
          <w:tcPr>
            <w:tcW w:w="5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31,196</w:t>
            </w:r>
          </w:p>
        </w:tc>
        <w:tc>
          <w:tcPr>
            <w:tcW w:w="2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20,724</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8,886</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-25400</wp:posOffset>
            </wp:positionV>
            <wp:extent cx="6032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6032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-25400</wp:posOffset>
            </wp:positionV>
            <wp:extent cx="5143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5143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49" w:lineRule="exact"/>
        <w:rPr>
          <w:sz w:val="20"/>
          <w:szCs w:val="20"/>
          <w:color w:val="auto"/>
        </w:rPr>
      </w:pPr>
    </w:p>
    <w:p>
      <w:pPr>
        <w:ind w:right="400" w:firstLine="509"/>
        <w:spacing w:after="0" w:line="277" w:lineRule="auto"/>
        <w:rPr>
          <w:sz w:val="20"/>
          <w:szCs w:val="20"/>
          <w:color w:val="auto"/>
        </w:rPr>
      </w:pPr>
      <w:r>
        <w:rPr>
          <w:rFonts w:ascii="Arial" w:cs="Arial" w:eastAsia="Arial" w:hAnsi="Arial"/>
          <w:sz w:val="18"/>
          <w:szCs w:val="18"/>
          <w:color w:val="auto"/>
        </w:rPr>
        <w:t>Stock-based compensation related to options and RSUs granted to non-employees was $0.5 million, $0.7 million and $0.8 million for the years ended December 31, 2022, 2021 and 2020, respectively.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98" w:right="359" w:bottom="1440" w:gutter="0" w:footer="0" w:header="0"/>
        </w:sectPr>
      </w:pPr>
    </w:p>
    <w:bookmarkStart w:id="120" w:name="page121"/>
    <w:bookmarkEnd w:id="120"/>
    <w:p>
      <w:pPr>
        <w:ind w:left="520" w:hanging="512"/>
        <w:spacing w:after="0"/>
        <w:tabs>
          <w:tab w:leader="none" w:pos="52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509"/>
        <w:spacing w:after="0" w:line="275" w:lineRule="auto"/>
        <w:rPr>
          <w:sz w:val="20"/>
          <w:szCs w:val="20"/>
          <w:color w:val="auto"/>
        </w:rPr>
      </w:pPr>
      <w:r>
        <w:rPr>
          <w:rFonts w:ascii="Arial" w:cs="Arial" w:eastAsia="Arial" w:hAnsi="Arial"/>
          <w:sz w:val="17"/>
          <w:szCs w:val="17"/>
          <w:color w:val="auto"/>
        </w:rPr>
        <w:t>The Company recorded an income tax benefit of 0.4 million and zero for the years ended December 31, 2022 and 2021, respectively, which reflects state tax rates applied to the indefinite lived intangibles recorded as part of the Company’s acquisition of Warp Drive Bio in 2018. The Company has incurred net pre-tax losses in the United States only for all periods presented. Deferred tax assets and liabilities are recognized for the future tax consequences attributable to the differences between the carrying amounts of existing assets and liabilities in the financial statements and their respective tax bases using tax rates expected to be in effect during the years in which the basis differences reverse.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benefit from income taxes differs from the amount expected by applying the federal statutory rate to the loss before taxes as follows:</w:t>
      </w:r>
    </w:p>
    <w:p>
      <w:pPr>
        <w:spacing w:after="0" w:line="269"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Year Ended December 31,</w:t>
      </w:r>
    </w:p>
    <w:p>
      <w:pPr>
        <w:spacing w:after="0" w:line="24" w:lineRule="exact"/>
        <w:rPr>
          <w:sz w:val="20"/>
          <w:szCs w:val="20"/>
          <w:color w:val="auto"/>
        </w:rPr>
      </w:pPr>
    </w:p>
    <w:tbl>
      <w:tblPr>
        <w:tblLayout w:type="fixed"/>
        <w:tblInd w:w="1700" w:type="dxa"/>
        <w:tblCellMar>
          <w:top w:w="0" w:type="dxa"/>
          <w:left w:w="0" w:type="dxa"/>
          <w:bottom w:w="0" w:type="dxa"/>
          <w:right w:w="0" w:type="dxa"/>
        </w:tblCellMar>
      </w:tblPr>
      <w:tr>
        <w:trPr>
          <w:trHeight w:val="169"/>
        </w:trPr>
        <w:tc>
          <w:tcPr>
            <w:tcW w:w="52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r>
      <w:tr>
        <w:trPr>
          <w:trHeight w:val="224"/>
        </w:trPr>
        <w:tc>
          <w:tcPr>
            <w:tcW w:w="5240" w:type="dxa"/>
            <w:vAlign w:val="bottom"/>
          </w:tcPr>
          <w:p>
            <w:pPr>
              <w:spacing w:after="0"/>
              <w:rPr>
                <w:sz w:val="20"/>
                <w:szCs w:val="20"/>
                <w:color w:val="auto"/>
              </w:rPr>
            </w:pPr>
            <w:r>
              <w:rPr>
                <w:rFonts w:ascii="Arial" w:cs="Arial" w:eastAsia="Arial" w:hAnsi="Arial"/>
                <w:sz w:val="18"/>
                <w:szCs w:val="18"/>
                <w:color w:val="auto"/>
              </w:rPr>
              <w:t>Federal statutory income tax rate</w:t>
            </w: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21.0</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42"/>
        </w:trPr>
        <w:tc>
          <w:tcPr>
            <w:tcW w:w="6020" w:type="dxa"/>
            <w:vAlign w:val="bottom"/>
            <w:gridSpan w:val="2"/>
          </w:tcPr>
          <w:p>
            <w:pPr>
              <w:spacing w:after="0"/>
              <w:rPr>
                <w:sz w:val="20"/>
                <w:szCs w:val="20"/>
                <w:color w:val="auto"/>
              </w:rPr>
            </w:pPr>
            <w:r>
              <w:rPr>
                <w:rFonts w:ascii="Arial" w:cs="Arial" w:eastAsia="Arial" w:hAnsi="Arial"/>
                <w:sz w:val="18"/>
                <w:szCs w:val="18"/>
                <w:color w:val="auto"/>
              </w:rPr>
              <w:t>State income tax rate, net of federal benefit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9.4 %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8.9 %</w:t>
            </w:r>
          </w:p>
        </w:tc>
      </w:tr>
      <w:tr>
        <w:trPr>
          <w:trHeight w:val="243"/>
        </w:trPr>
        <w:tc>
          <w:tcPr>
            <w:tcW w:w="6020" w:type="dxa"/>
            <w:vAlign w:val="bottom"/>
            <w:gridSpan w:val="2"/>
          </w:tcPr>
          <w:p>
            <w:pPr>
              <w:spacing w:after="0"/>
              <w:rPr>
                <w:sz w:val="20"/>
                <w:szCs w:val="20"/>
                <w:color w:val="auto"/>
              </w:rPr>
            </w:pPr>
            <w:r>
              <w:rPr>
                <w:rFonts w:ascii="Arial" w:cs="Arial" w:eastAsia="Arial" w:hAnsi="Arial"/>
                <w:sz w:val="18"/>
                <w:szCs w:val="18"/>
                <w:color w:val="auto"/>
              </w:rPr>
              <w:t>Research tax credits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2.2 %</w:t>
            </w:r>
          </w:p>
        </w:tc>
      </w:tr>
      <w:tr>
        <w:trPr>
          <w:trHeight w:val="243"/>
        </w:trPr>
        <w:tc>
          <w:tcPr>
            <w:tcW w:w="602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93"/>
              </w:rPr>
              <w:t>-32.4 %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-31.4 %</w:t>
            </w:r>
          </w:p>
        </w:tc>
      </w:tr>
      <w:tr>
        <w:trPr>
          <w:trHeight w:val="243"/>
        </w:trPr>
        <w:tc>
          <w:tcPr>
            <w:tcW w:w="6020" w:type="dxa"/>
            <w:vAlign w:val="bottom"/>
            <w:gridSpan w:val="2"/>
          </w:tcPr>
          <w:p>
            <w:pPr>
              <w:spacing w:after="0"/>
              <w:rPr>
                <w:sz w:val="20"/>
                <w:szCs w:val="20"/>
                <w:color w:val="auto"/>
              </w:rPr>
            </w:pPr>
            <w:r>
              <w:rPr>
                <w:rFonts w:ascii="Arial" w:cs="Arial" w:eastAsia="Arial" w:hAnsi="Arial"/>
                <w:sz w:val="18"/>
                <w:szCs w:val="18"/>
                <w:color w:val="auto"/>
              </w:rPr>
              <w:t>Non-deductible permanent expenses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-0.5 %</w:t>
            </w:r>
          </w:p>
        </w:tc>
      </w:tr>
      <w:tr>
        <w:trPr>
          <w:trHeight w:val="250"/>
        </w:trPr>
        <w:tc>
          <w:tcPr>
            <w:tcW w:w="6020" w:type="dxa"/>
            <w:vAlign w:val="bottom"/>
            <w:gridSpan w:val="2"/>
          </w:tcPr>
          <w:p>
            <w:pPr>
              <w:spacing w:after="0"/>
              <w:rPr>
                <w:sz w:val="20"/>
                <w:szCs w:val="20"/>
                <w:color w:val="auto"/>
              </w:rPr>
            </w:pPr>
            <w:r>
              <w:rPr>
                <w:rFonts w:ascii="Arial" w:cs="Arial" w:eastAsia="Arial" w:hAnsi="Arial"/>
                <w:sz w:val="18"/>
                <w:szCs w:val="18"/>
                <w:color w:val="auto"/>
              </w:rPr>
              <w:t>Other</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0.0 %</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-0.2 %</w:t>
            </w:r>
          </w:p>
        </w:tc>
      </w:tr>
      <w:tr>
        <w:trPr>
          <w:trHeight w:val="237"/>
        </w:trPr>
        <w:tc>
          <w:tcPr>
            <w:tcW w:w="524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7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52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-1113790</wp:posOffset>
            </wp:positionV>
            <wp:extent cx="4989195" cy="1543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-805180</wp:posOffset>
            </wp:positionV>
            <wp:extent cx="4989195" cy="1543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-496570</wp:posOffset>
            </wp:positionV>
            <wp:extent cx="4989195" cy="1543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-179070</wp:posOffset>
            </wp:positionV>
            <wp:extent cx="4989195" cy="1797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989195" cy="179705"/>
                    </a:xfrm>
                    <a:prstGeom prst="rect">
                      <a:avLst/>
                    </a:prstGeom>
                    <a:noFill/>
                  </pic:spPr>
                </pic:pic>
              </a:graphicData>
            </a:graphic>
          </wp:anchor>
        </w:drawing>
      </w:r>
    </w:p>
    <w:p>
      <w:pPr>
        <w:spacing w:after="0" w:line="249" w:lineRule="exact"/>
        <w:rPr>
          <w:sz w:val="20"/>
          <w:szCs w:val="20"/>
          <w:color w:val="auto"/>
        </w:rPr>
      </w:pPr>
    </w:p>
    <w:p>
      <w:pPr>
        <w:ind w:firstLine="509"/>
        <w:spacing w:after="0" w:line="263" w:lineRule="auto"/>
        <w:rPr>
          <w:sz w:val="20"/>
          <w:szCs w:val="20"/>
          <w:color w:val="auto"/>
        </w:rPr>
      </w:pPr>
      <w:r>
        <w:rPr>
          <w:rFonts w:ascii="Arial" w:cs="Arial" w:eastAsia="Arial" w:hAnsi="Arial"/>
          <w:sz w:val="18"/>
          <w:szCs w:val="18"/>
          <w:color w:val="auto"/>
        </w:rPr>
        <w:t>Deferred income tax reflects the tax effects of temporary differences between the carrying amounts of assets and liabilities for financial reporting purposes and the amounts used for income tax purposes. The categories that give rise to significant components of the deferred tax assets are as follows (in thousands):</w:t>
      </w:r>
    </w:p>
    <w:p>
      <w:pPr>
        <w:spacing w:after="0" w:line="216"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6"/>
              </w:rPr>
              <w:t>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5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113"/>
              <w:spacing w:after="0"/>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74"/>
              </w:rPr>
              <w:t>thousands)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4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32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132,080</w:t>
            </w:r>
          </w:p>
        </w:tc>
        <w:tc>
          <w:tcPr>
            <w:tcW w:w="200" w:type="dxa"/>
            <w:vAlign w:val="bottom"/>
          </w:tcPr>
          <w:p>
            <w:pPr>
              <w:spacing w:after="0"/>
              <w:rPr>
                <w:sz w:val="20"/>
                <w:szCs w:val="20"/>
                <w:color w:val="auto"/>
              </w:rPr>
            </w:pPr>
          </w:p>
        </w:tc>
        <w:tc>
          <w:tcPr>
            <w:tcW w:w="360" w:type="dxa"/>
            <w:vAlign w:val="bottom"/>
          </w:tcPr>
          <w:p>
            <w:pPr>
              <w:jc w:val="center"/>
              <w:ind w:right="15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123,991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Accruals and reserves</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5,494</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9,164</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320" w:type="dxa"/>
            <w:vAlign w:val="bottom"/>
          </w:tcPr>
          <w:p>
            <w:pPr>
              <w:ind w:left="180"/>
              <w:spacing w:after="0"/>
              <w:rPr>
                <w:sz w:val="20"/>
                <w:szCs w:val="20"/>
                <w:color w:val="auto"/>
              </w:rPr>
            </w:pPr>
            <w:r>
              <w:rPr>
                <w:rFonts w:ascii="Arial" w:cs="Arial" w:eastAsia="Arial" w:hAnsi="Arial"/>
                <w:sz w:val="18"/>
                <w:szCs w:val="18"/>
                <w:color w:val="auto"/>
              </w:rPr>
              <w:t>Research and development credits</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22,558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14,449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9"/>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Lease liability</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18,998</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19,979</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7,063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3,829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Capitalized research expenses</w:t>
            </w:r>
          </w:p>
        </w:tc>
        <w:tc>
          <w:tcPr>
            <w:tcW w:w="28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64,149</w:t>
            </w:r>
          </w:p>
        </w:tc>
        <w:tc>
          <w:tcPr>
            <w:tcW w:w="2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7"/>
        </w:trPr>
        <w:tc>
          <w:tcPr>
            <w:tcW w:w="5320" w:type="dxa"/>
            <w:vAlign w:val="bottom"/>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Gross deferred tax assets</w:t>
            </w: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250,384</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171,445</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80" w:type="dxa"/>
            <w:vAlign w:val="bottom"/>
          </w:tcPr>
          <w:p>
            <w:pPr>
              <w:spacing w:after="0"/>
              <w:rPr>
                <w:sz w:val="20"/>
                <w:szCs w:val="20"/>
                <w:color w:val="auto"/>
              </w:rPr>
            </w:pPr>
          </w:p>
        </w:tc>
        <w:tc>
          <w:tcPr>
            <w:tcW w:w="1080" w:type="dxa"/>
            <w:vAlign w:val="bottom"/>
            <w:gridSpan w:val="2"/>
          </w:tcPr>
          <w:p>
            <w:pPr>
              <w:jc w:val="right"/>
              <w:ind w:right="67"/>
              <w:spacing w:after="0"/>
              <w:rPr>
                <w:sz w:val="20"/>
                <w:szCs w:val="20"/>
                <w:color w:val="auto"/>
              </w:rPr>
            </w:pPr>
            <w:r>
              <w:rPr>
                <w:rFonts w:ascii="Arial" w:cs="Arial" w:eastAsia="Arial" w:hAnsi="Arial"/>
                <w:sz w:val="18"/>
                <w:szCs w:val="18"/>
                <w:color w:val="auto"/>
              </w:rPr>
              <w:t>(224,125 )</w:t>
            </w:r>
          </w:p>
        </w:tc>
        <w:tc>
          <w:tcPr>
            <w:tcW w:w="3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w w:val="97"/>
              </w:rPr>
              <w:t>(143,474 )</w:t>
            </w:r>
          </w:p>
        </w:tc>
        <w:tc>
          <w:tcPr>
            <w:tcW w:w="20" w:type="dxa"/>
            <w:vAlign w:val="bottom"/>
          </w:tcPr>
          <w:p>
            <w:pPr>
              <w:spacing w:after="0"/>
              <w:rPr>
                <w:sz w:val="20"/>
                <w:szCs w:val="20"/>
                <w:color w:val="auto"/>
              </w:rPr>
            </w:pPr>
          </w:p>
        </w:tc>
      </w:tr>
      <w:tr>
        <w:trPr>
          <w:trHeight w:val="24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Total deferred tax assets</w:t>
            </w:r>
          </w:p>
        </w:tc>
        <w:tc>
          <w:tcPr>
            <w:tcW w:w="28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26,259</w:t>
            </w:r>
          </w:p>
        </w:tc>
        <w:tc>
          <w:tcPr>
            <w:tcW w:w="200" w:type="dxa"/>
            <w:vAlign w:val="bottom"/>
            <w:shd w:val="clear" w:color="auto" w:fill="CFF0FC"/>
          </w:tcPr>
          <w:p>
            <w:pPr>
              <w:spacing w:after="0"/>
              <w:rPr>
                <w:sz w:val="21"/>
                <w:szCs w:val="21"/>
                <w:color w:val="auto"/>
              </w:rPr>
            </w:pPr>
          </w:p>
        </w:tc>
        <w:tc>
          <w:tcPr>
            <w:tcW w:w="360" w:type="dxa"/>
            <w:vAlign w:val="bottom"/>
            <w:tcBorders>
              <w:top w:val="single" w:sz="8" w:color="auto"/>
            </w:tcBorders>
            <w:shd w:val="clear" w:color="auto" w:fill="CFF0FC"/>
          </w:tcPr>
          <w:p>
            <w:pPr>
              <w:spacing w:after="0"/>
              <w:rPr>
                <w:sz w:val="21"/>
                <w:szCs w:val="21"/>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27,971</w:t>
            </w: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6"/>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Fixed assets and finite-lived intangible assets</w:t>
            </w:r>
          </w:p>
        </w:tc>
        <w:tc>
          <w:tcPr>
            <w:tcW w:w="28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(9,961 )</w:t>
            </w:r>
          </w:p>
        </w:tc>
        <w:tc>
          <w:tcPr>
            <w:tcW w:w="36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(10,073 )</w:t>
            </w:r>
          </w:p>
        </w:tc>
        <w:tc>
          <w:tcPr>
            <w:tcW w:w="20" w:type="dxa"/>
            <w:vAlign w:val="bottom"/>
          </w:tcPr>
          <w:p>
            <w:pPr>
              <w:spacing w:after="0"/>
              <w:rPr>
                <w:sz w:val="22"/>
                <w:szCs w:val="22"/>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Indefinite-lived intangible assets</w:t>
            </w:r>
          </w:p>
        </w:tc>
        <w:tc>
          <w:tcPr>
            <w:tcW w:w="280" w:type="dxa"/>
            <w:vAlign w:val="bottom"/>
          </w:tcPr>
          <w:p>
            <w:pPr>
              <w:spacing w:after="0"/>
              <w:rPr>
                <w:sz w:val="20"/>
                <w:szCs w:val="20"/>
                <w:color w:val="auto"/>
              </w:rPr>
            </w:pPr>
          </w:p>
        </w:tc>
        <w:tc>
          <w:tcPr>
            <w:tcW w:w="1080" w:type="dxa"/>
            <w:vAlign w:val="bottom"/>
            <w:gridSpan w:val="2"/>
          </w:tcPr>
          <w:p>
            <w:pPr>
              <w:jc w:val="right"/>
              <w:ind w:right="67"/>
              <w:spacing w:after="0"/>
              <w:rPr>
                <w:sz w:val="20"/>
                <w:szCs w:val="20"/>
                <w:color w:val="auto"/>
              </w:rPr>
            </w:pPr>
            <w:r>
              <w:rPr>
                <w:rFonts w:ascii="Arial" w:cs="Arial" w:eastAsia="Arial" w:hAnsi="Arial"/>
                <w:sz w:val="18"/>
                <w:szCs w:val="18"/>
                <w:color w:val="auto"/>
              </w:rPr>
              <w:t>(7,025 )</w:t>
            </w:r>
          </w:p>
        </w:tc>
        <w:tc>
          <w:tcPr>
            <w:tcW w:w="3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(7,444 )</w:t>
            </w:r>
          </w:p>
        </w:tc>
        <w:tc>
          <w:tcPr>
            <w:tcW w:w="20" w:type="dxa"/>
            <w:vAlign w:val="bottom"/>
          </w:tcPr>
          <w:p>
            <w:pPr>
              <w:spacing w:after="0"/>
              <w:rPr>
                <w:sz w:val="20"/>
                <w:szCs w:val="20"/>
                <w:color w:val="auto"/>
              </w:rPr>
            </w:pPr>
          </w:p>
        </w:tc>
      </w:tr>
      <w:tr>
        <w:trPr>
          <w:trHeight w:val="256"/>
        </w:trPr>
        <w:tc>
          <w:tcPr>
            <w:tcW w:w="53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Lease asset</w:t>
            </w:r>
          </w:p>
        </w:tc>
        <w:tc>
          <w:tcPr>
            <w:tcW w:w="28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147"/>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r>
      <w:tr>
        <w:trPr>
          <w:trHeight w:val="237"/>
        </w:trPr>
        <w:tc>
          <w:tcPr>
            <w:tcW w:w="5320" w:type="dxa"/>
            <w:vAlign w:val="bottom"/>
          </w:tcPr>
          <w:p>
            <w:pPr>
              <w:ind w:left="180"/>
              <w:spacing w:after="0"/>
              <w:rPr>
                <w:sz w:val="20"/>
                <w:szCs w:val="20"/>
                <w:color w:val="auto"/>
              </w:rPr>
            </w:pPr>
            <w:r>
              <w:rPr>
                <w:rFonts w:ascii="Arial" w:cs="Arial" w:eastAsia="Arial" w:hAnsi="Arial"/>
                <w:sz w:val="18"/>
                <w:szCs w:val="18"/>
                <w:color w:val="auto"/>
              </w:rPr>
              <w:t>Right-of-use asset</w:t>
            </w:r>
          </w:p>
        </w:tc>
        <w:tc>
          <w:tcPr>
            <w:tcW w:w="280" w:type="dxa"/>
            <w:vAlign w:val="bottom"/>
          </w:tcPr>
          <w:p>
            <w:pPr>
              <w:spacing w:after="0"/>
              <w:rPr>
                <w:sz w:val="20"/>
                <w:szCs w:val="20"/>
                <w:color w:val="auto"/>
              </w:rPr>
            </w:pPr>
          </w:p>
        </w:tc>
        <w:tc>
          <w:tcPr>
            <w:tcW w:w="1080" w:type="dxa"/>
            <w:vAlign w:val="bottom"/>
            <w:gridSpan w:val="2"/>
          </w:tcPr>
          <w:p>
            <w:pPr>
              <w:jc w:val="right"/>
              <w:ind w:right="67"/>
              <w:spacing w:after="0"/>
              <w:rPr>
                <w:sz w:val="20"/>
                <w:szCs w:val="20"/>
                <w:color w:val="auto"/>
              </w:rPr>
            </w:pPr>
            <w:r>
              <w:rPr>
                <w:rFonts w:ascii="Arial" w:cs="Arial" w:eastAsia="Arial" w:hAnsi="Arial"/>
                <w:sz w:val="18"/>
                <w:szCs w:val="18"/>
                <w:color w:val="auto"/>
              </w:rPr>
              <w:t>(16,298 )</w:t>
            </w:r>
          </w:p>
        </w:tc>
        <w:tc>
          <w:tcPr>
            <w:tcW w:w="36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(17,898 )</w:t>
            </w:r>
          </w:p>
        </w:tc>
        <w:tc>
          <w:tcPr>
            <w:tcW w:w="20" w:type="dxa"/>
            <w:vAlign w:val="bottom"/>
          </w:tcPr>
          <w:p>
            <w:pPr>
              <w:spacing w:after="0"/>
              <w:rPr>
                <w:sz w:val="20"/>
                <w:szCs w:val="20"/>
                <w:color w:val="auto"/>
              </w:rPr>
            </w:pPr>
          </w:p>
        </w:tc>
      </w:tr>
      <w:tr>
        <w:trPr>
          <w:trHeight w:val="237"/>
        </w:trPr>
        <w:tc>
          <w:tcPr>
            <w:tcW w:w="53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deferred tax liabilities</w:t>
            </w:r>
          </w:p>
        </w:tc>
        <w:tc>
          <w:tcPr>
            <w:tcW w:w="280" w:type="dxa"/>
            <w:vAlign w:val="bottom"/>
            <w:tcBorders>
              <w:top w:val="single" w:sz="8" w:color="auto"/>
              <w:bottom w:val="single" w:sz="8" w:color="auto"/>
            </w:tcBorders>
            <w:shd w:val="clear" w:color="auto" w:fill="CFF0FC"/>
          </w:tcPr>
          <w:p>
            <w:pPr>
              <w:spacing w:after="0"/>
              <w:rPr>
                <w:sz w:val="20"/>
                <w:szCs w:val="20"/>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(33,284</w:t>
            </w:r>
          </w:p>
        </w:tc>
        <w:tc>
          <w:tcPr>
            <w:tcW w:w="200" w:type="dxa"/>
            <w:vAlign w:val="bottom"/>
            <w:tcBorders>
              <w:bottom w:val="single" w:sz="8" w:color="CFF0FC"/>
            </w:tcBorders>
            <w:shd w:val="clear" w:color="auto" w:fill="CFF0FC"/>
          </w:tcPr>
          <w:p>
            <w:pPr>
              <w:jc w:val="right"/>
              <w:ind w:right="67"/>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FF0FC"/>
          </w:tcPr>
          <w:p>
            <w:pPr>
              <w:spacing w:after="0"/>
              <w:rPr>
                <w:sz w:val="20"/>
                <w:szCs w:val="20"/>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(35,415</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r>
      <w:tr>
        <w:trPr>
          <w:trHeight w:val="236"/>
        </w:trPr>
        <w:tc>
          <w:tcPr>
            <w:tcW w:w="5320" w:type="dxa"/>
            <w:vAlign w:val="bottom"/>
          </w:tcPr>
          <w:p>
            <w:pPr>
              <w:spacing w:after="0"/>
              <w:rPr>
                <w:sz w:val="20"/>
                <w:szCs w:val="20"/>
                <w:color w:val="auto"/>
              </w:rPr>
            </w:pPr>
            <w:r>
              <w:rPr>
                <w:rFonts w:ascii="Arial" w:cs="Arial" w:eastAsia="Arial" w:hAnsi="Arial"/>
                <w:sz w:val="18"/>
                <w:szCs w:val="18"/>
                <w:color w:val="auto"/>
              </w:rPr>
              <w:t>Net deferred tax liability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ind w:right="67"/>
              <w:spacing w:after="0"/>
              <w:rPr>
                <w:sz w:val="20"/>
                <w:szCs w:val="20"/>
                <w:color w:val="auto"/>
              </w:rPr>
            </w:pPr>
            <w:r>
              <w:rPr>
                <w:rFonts w:ascii="Arial" w:cs="Arial" w:eastAsia="Arial" w:hAnsi="Arial"/>
                <w:sz w:val="18"/>
                <w:szCs w:val="18"/>
                <w:color w:val="auto"/>
              </w:rPr>
              <w:t>(7,025 )</w:t>
            </w:r>
          </w:p>
        </w:tc>
        <w:tc>
          <w:tcPr>
            <w:tcW w:w="360" w:type="dxa"/>
            <w:vAlign w:val="bottom"/>
          </w:tcPr>
          <w:p>
            <w:pPr>
              <w:jc w:val="center"/>
              <w:ind w:right="15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(7,444 )</w:t>
            </w:r>
          </w:p>
        </w:tc>
        <w:tc>
          <w:tcPr>
            <w:tcW w:w="2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-187960</wp:posOffset>
            </wp:positionV>
            <wp:extent cx="51435" cy="18859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49" w:lineRule="exact"/>
        <w:rPr>
          <w:sz w:val="20"/>
          <w:szCs w:val="20"/>
          <w:color w:val="auto"/>
        </w:rPr>
      </w:pPr>
    </w:p>
    <w:p>
      <w:pPr>
        <w:ind w:right="20" w:firstLine="509"/>
        <w:spacing w:after="0" w:line="289" w:lineRule="auto"/>
        <w:rPr>
          <w:sz w:val="20"/>
          <w:szCs w:val="20"/>
          <w:color w:val="auto"/>
        </w:rPr>
      </w:pPr>
      <w:r>
        <w:rPr>
          <w:rFonts w:ascii="Arial" w:cs="Arial" w:eastAsia="Arial" w:hAnsi="Arial"/>
          <w:sz w:val="16"/>
          <w:szCs w:val="16"/>
          <w:color w:val="auto"/>
        </w:rPr>
        <w:t>The realization of deferred tax assets is dependent upon future earnings, if any, the timing and amount of which are uncertain. Due to the lack of earnings history, the net deferred tax assets have been offset by a valuation allowance excluding certain indefinite lived intangibles. The valuation allowance increased by $80.7 million and $58.8 million during the years ended December 31, 2022 and 2021, respectively. The Company had federal and state net operating loss carryforwards of $448.3 million and $445.5 million, respectively, as of December 31, 2022. The federal net operating loss carryforwards, if not utilized, will expire beginning in 2035, with the exception of $354.7 million in federal net operating loss carryforwards, which can be carried forward indefinitely. State net operating loss carryforwards, if not utilized, will expire beginning in 2035. Under the Tax Cuts and Jobs Act (the TCJA), federal net operating losses arising after December 31, 2017 do not expire and cannot be carried back. However, the TCJA limits the amount of federal net operating losses that can be used annually to 80% of taxable income for periods beginning after December 31, 2017. Existing federal net operating losses arising in years ending on or before December 31, 2017 are not affected by these provisions.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77" w:right="399" w:bottom="1440" w:gutter="0" w:footer="0" w:header="0"/>
        </w:sectPr>
      </w:pPr>
    </w:p>
    <w:bookmarkStart w:id="121" w:name="page122"/>
    <w:bookmarkEnd w:id="121"/>
    <w:p>
      <w:pPr>
        <w:ind w:firstLine="509"/>
        <w:spacing w:after="0" w:line="270" w:lineRule="auto"/>
        <w:rPr>
          <w:sz w:val="20"/>
          <w:szCs w:val="20"/>
          <w:color w:val="auto"/>
        </w:rPr>
      </w:pPr>
      <w:r>
        <w:rPr>
          <w:rFonts w:ascii="Arial" w:cs="Arial" w:eastAsia="Arial" w:hAnsi="Arial"/>
          <w:sz w:val="17"/>
          <w:szCs w:val="17"/>
          <w:color w:val="auto"/>
        </w:rPr>
        <w:t>The Company also had federal and state research and development credit carryforwards of $20.6 million and $11.6 million, respectively, as of December 31, 2022. The federal credits will expire starting in 2034 if not utilized and the state research credits will expire beginning in 2031, with the exception of $10.7 million in California research credits, which can be carried forward indefinitely. Federal, California, Massachusetts and New Jersey tax laws impose significant restrictions on the utilization of net operating loss carryforwards in the event of a change in ownership of the Company, as defined by Internal Revenue Code Section 382 (Section 382). The Company performed a study in which it determined that it had experienced changes in ownership in 2014, 2018, and 2020 as defined by Section 382. No federal or state net operating losses are expected to expire unutilized as a result of the limitation, with the exception of $5.5 million in California net operating losses. The Company's deferred tax assets have been reduced by the amount of net operating loss carryforwards expected to expire due to the limitation. In addition, in the future the Company may experience ownership changes, which may limit the utilization of net operating loss carryforwards or other tax attributes.</w:t>
      </w:r>
    </w:p>
    <w:p>
      <w:pPr>
        <w:spacing w:after="0" w:line="181" w:lineRule="exact"/>
        <w:rPr>
          <w:sz w:val="20"/>
          <w:szCs w:val="20"/>
          <w:color w:val="auto"/>
        </w:rPr>
      </w:pPr>
    </w:p>
    <w:p>
      <w:pPr>
        <w:ind w:right="120" w:firstLine="509"/>
        <w:spacing w:after="0" w:line="301" w:lineRule="auto"/>
        <w:rPr>
          <w:sz w:val="20"/>
          <w:szCs w:val="20"/>
          <w:color w:val="auto"/>
        </w:rPr>
      </w:pPr>
      <w:r>
        <w:rPr>
          <w:rFonts w:ascii="Arial" w:cs="Arial" w:eastAsia="Arial" w:hAnsi="Arial"/>
          <w:sz w:val="16"/>
          <w:szCs w:val="16"/>
          <w:color w:val="auto"/>
        </w:rPr>
        <w:t>The TCJA amended Internal Revenue Code Section 174 requiring capitalization of specified research and experimental expenditures paid or incurred in tax years beginning after December 31, 2021 and amortizing over a period of 5 or 15 years. This resulted in a deferred tax asset for capitalized research expenses in 2022. Also on August 16, 2022, the United States enacted the Inflation Reduction Act (the IRA), which contains among other things, numerous income tax provisions. At this time, the Company does not anticipate the IRA to have a material impact on its financial statements.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25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6"/>
              </w:rPr>
              <w:t>December 31,</w:t>
            </w: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32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2021</w:t>
            </w:r>
          </w:p>
        </w:tc>
        <w:tc>
          <w:tcPr>
            <w:tcW w:w="80" w:type="dxa"/>
            <w:vAlign w:val="bottom"/>
          </w:tcPr>
          <w:p>
            <w:pPr>
              <w:spacing w:after="0"/>
              <w:rPr>
                <w:sz w:val="14"/>
                <w:szCs w:val="14"/>
                <w:color w:val="auto"/>
              </w:rPr>
            </w:pPr>
          </w:p>
        </w:tc>
      </w:tr>
      <w:tr>
        <w:trPr>
          <w:trHeight w:val="169"/>
        </w:trPr>
        <w:tc>
          <w:tcPr>
            <w:tcW w:w="5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jc w:val="right"/>
              <w:ind w:right="116"/>
              <w:spacing w:after="0"/>
              <w:rPr>
                <w:sz w:val="20"/>
                <w:szCs w:val="20"/>
                <w:color w:val="auto"/>
              </w:rPr>
            </w:pPr>
            <w:r>
              <w:rPr>
                <w:rFonts w:ascii="Arial" w:cs="Arial" w:eastAsia="Arial" w:hAnsi="Arial"/>
                <w:sz w:val="14"/>
                <w:szCs w:val="14"/>
                <w:b w:val="1"/>
                <w:bCs w:val="1"/>
                <w:color w:val="auto"/>
              </w:rPr>
              <w:t>(in</w:t>
            </w: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74"/>
              </w:rPr>
              <w:t>thousands)</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43"/>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740" w:type="dxa"/>
            <w:vAlign w:val="bottom"/>
            <w:shd w:val="clear" w:color="auto" w:fill="CFF0FC"/>
          </w:tcPr>
          <w:p>
            <w:pPr>
              <w:jc w:val="right"/>
              <w:ind w:right="536"/>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5,143</w:t>
            </w:r>
          </w:p>
        </w:tc>
        <w:tc>
          <w:tcPr>
            <w:tcW w:w="180" w:type="dxa"/>
            <w:vAlign w:val="bottom"/>
            <w:shd w:val="clear" w:color="auto" w:fill="CFF0FC"/>
          </w:tcPr>
          <w:p>
            <w:pPr>
              <w:spacing w:after="0"/>
              <w:rPr>
                <w:sz w:val="21"/>
                <w:szCs w:val="21"/>
                <w:color w:val="auto"/>
              </w:rPr>
            </w:pPr>
          </w:p>
        </w:tc>
        <w:tc>
          <w:tcPr>
            <w:tcW w:w="380" w:type="dxa"/>
            <w:vAlign w:val="bottom"/>
            <w:shd w:val="clear" w:color="auto" w:fill="CFF0FC"/>
          </w:tcPr>
          <w:p>
            <w:pPr>
              <w:jc w:val="center"/>
              <w:ind w:right="17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3,593</w:t>
            </w:r>
          </w:p>
        </w:tc>
        <w:tc>
          <w:tcPr>
            <w:tcW w:w="80" w:type="dxa"/>
            <w:vAlign w:val="bottom"/>
            <w:shd w:val="clear" w:color="auto" w:fill="CFF0FC"/>
          </w:tcPr>
          <w:p>
            <w:pPr>
              <w:spacing w:after="0"/>
              <w:rPr>
                <w:sz w:val="21"/>
                <w:szCs w:val="21"/>
                <w:color w:val="auto"/>
              </w:rPr>
            </w:pPr>
          </w:p>
        </w:tc>
      </w:tr>
      <w:tr>
        <w:trPr>
          <w:trHeight w:val="237"/>
        </w:trPr>
        <w:tc>
          <w:tcPr>
            <w:tcW w:w="5320" w:type="dxa"/>
            <w:vAlign w:val="bottom"/>
          </w:tcPr>
          <w:p>
            <w:pPr>
              <w:ind w:left="180"/>
              <w:spacing w:after="0"/>
              <w:rPr>
                <w:sz w:val="20"/>
                <w:szCs w:val="20"/>
                <w:color w:val="auto"/>
              </w:rPr>
            </w:pPr>
            <w:r>
              <w:rPr>
                <w:rFonts w:ascii="Arial" w:cs="Arial" w:eastAsia="Arial" w:hAnsi="Arial"/>
                <w:sz w:val="18"/>
                <w:szCs w:val="18"/>
                <w:color w:val="auto"/>
              </w:rPr>
              <w:t>Changes related to tax positions taken in the prior year</w:t>
            </w:r>
          </w:p>
        </w:tc>
        <w:tc>
          <w:tcPr>
            <w:tcW w:w="740" w:type="dxa"/>
            <w:vAlign w:val="bottom"/>
          </w:tcPr>
          <w:p>
            <w:pPr>
              <w:spacing w:after="0"/>
              <w:rPr>
                <w:sz w:val="20"/>
                <w:szCs w:val="20"/>
                <w:color w:val="auto"/>
              </w:rPr>
            </w:pPr>
          </w:p>
        </w:tc>
        <w:tc>
          <w:tcPr>
            <w:tcW w:w="600" w:type="dxa"/>
            <w:vAlign w:val="bottom"/>
            <w:gridSpan w:val="2"/>
          </w:tcPr>
          <w:p>
            <w:pPr>
              <w:jc w:val="right"/>
              <w:ind w:right="53"/>
              <w:spacing w:after="0"/>
              <w:rPr>
                <w:sz w:val="20"/>
                <w:szCs w:val="20"/>
                <w:color w:val="auto"/>
              </w:rPr>
            </w:pPr>
            <w:r>
              <w:rPr>
                <w:rFonts w:ascii="Arial" w:cs="Arial" w:eastAsia="Arial" w:hAnsi="Arial"/>
                <w:sz w:val="18"/>
                <w:szCs w:val="18"/>
                <w:color w:val="auto"/>
              </w:rPr>
              <w:t>(7 )</w:t>
            </w:r>
          </w:p>
        </w:tc>
        <w:tc>
          <w:tcPr>
            <w:tcW w:w="38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(21 )</w:t>
            </w:r>
          </w:p>
        </w:tc>
      </w:tr>
      <w:tr>
        <w:trPr>
          <w:trHeight w:val="243"/>
        </w:trPr>
        <w:tc>
          <w:tcPr>
            <w:tcW w:w="53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Changes related to tax positions taken in the current year</w:t>
            </w:r>
          </w:p>
        </w:tc>
        <w:tc>
          <w:tcPr>
            <w:tcW w:w="74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2,466</w:t>
            </w:r>
          </w:p>
        </w:tc>
        <w:tc>
          <w:tcPr>
            <w:tcW w:w="18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1,571</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7"/>
        </w:trPr>
        <w:tc>
          <w:tcPr>
            <w:tcW w:w="5320" w:type="dxa"/>
            <w:vAlign w:val="bottom"/>
          </w:tcPr>
          <w:p>
            <w:pPr>
              <w:spacing w:after="0"/>
              <w:rPr>
                <w:sz w:val="20"/>
                <w:szCs w:val="20"/>
                <w:color w:val="auto"/>
              </w:rPr>
            </w:pPr>
            <w:r>
              <w:rPr>
                <w:rFonts w:ascii="Arial" w:cs="Arial" w:eastAsia="Arial" w:hAnsi="Arial"/>
                <w:sz w:val="18"/>
                <w:szCs w:val="18"/>
                <w:color w:val="auto"/>
              </w:rPr>
              <w:t>Ending balance</w:t>
            </w:r>
          </w:p>
        </w:tc>
        <w:tc>
          <w:tcPr>
            <w:tcW w:w="740" w:type="dxa"/>
            <w:vAlign w:val="bottom"/>
            <w:tcBorders>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7,602</w:t>
            </w:r>
          </w:p>
        </w:tc>
        <w:tc>
          <w:tcPr>
            <w:tcW w:w="180" w:type="dxa"/>
            <w:vAlign w:val="bottom"/>
          </w:tcPr>
          <w:p>
            <w:pPr>
              <w:spacing w:after="0"/>
              <w:rPr>
                <w:sz w:val="20"/>
                <w:szCs w:val="20"/>
                <w:color w:val="auto"/>
              </w:rPr>
            </w:pPr>
          </w:p>
        </w:tc>
        <w:tc>
          <w:tcPr>
            <w:tcW w:w="38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5,143</w:t>
            </w:r>
          </w:p>
        </w:tc>
        <w:tc>
          <w:tcPr>
            <w:tcW w:w="8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-187960</wp:posOffset>
            </wp:positionV>
            <wp:extent cx="51435" cy="18859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1435" cy="18859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-187960</wp:posOffset>
            </wp:positionV>
            <wp:extent cx="43180" cy="18859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3180" cy="188595"/>
                    </a:xfrm>
                    <a:prstGeom prst="rect">
                      <a:avLst/>
                    </a:prstGeom>
                    <a:noFill/>
                  </pic:spPr>
                </pic:pic>
              </a:graphicData>
            </a:graphic>
          </wp:anchor>
        </w:drawing>
      </w:r>
    </w:p>
    <w:p>
      <w:pPr>
        <w:spacing w:after="0" w:line="249" w:lineRule="exact"/>
        <w:rPr>
          <w:sz w:val="20"/>
          <w:szCs w:val="20"/>
          <w:color w:val="auto"/>
        </w:rPr>
      </w:pPr>
    </w:p>
    <w:p>
      <w:pPr>
        <w:ind w:right="200" w:firstLine="509"/>
        <w:spacing w:after="0" w:line="259" w:lineRule="auto"/>
        <w:rPr>
          <w:sz w:val="20"/>
          <w:szCs w:val="20"/>
          <w:color w:val="auto"/>
        </w:rPr>
      </w:pPr>
      <w:r>
        <w:rPr>
          <w:rFonts w:ascii="Arial" w:cs="Arial" w:eastAsia="Arial" w:hAnsi="Arial"/>
          <w:sz w:val="18"/>
          <w:szCs w:val="18"/>
          <w:color w:val="auto"/>
        </w:rPr>
        <w:t>The Company has unrecognized tax benefits of $7.1 million and $4.7 million as of December 31, 2022 and 2021, which would affect the effective tax rate if recognized; however, recognition would be in the form of a deferred tax attribute which would likely be offset by a valuation allowance. The Company does not anticipate any significant changes to unrecognized tax benefits over the next 12 months. The Company has recognized no interest or penalties related to uncertain tax positions for the periods presented.</w:t>
      </w:r>
    </w:p>
    <w:p>
      <w:pPr>
        <w:spacing w:after="0" w:line="187" w:lineRule="exact"/>
        <w:rPr>
          <w:sz w:val="20"/>
          <w:szCs w:val="20"/>
          <w:color w:val="auto"/>
        </w:rPr>
      </w:pPr>
    </w:p>
    <w:p>
      <w:pPr>
        <w:ind w:right="80" w:firstLine="509"/>
        <w:spacing w:after="0" w:line="263" w:lineRule="auto"/>
        <w:rPr>
          <w:sz w:val="20"/>
          <w:szCs w:val="20"/>
          <w:color w:val="auto"/>
        </w:rPr>
      </w:pPr>
      <w:r>
        <w:rPr>
          <w:rFonts w:ascii="Arial" w:cs="Arial" w:eastAsia="Arial" w:hAnsi="Arial"/>
          <w:sz w:val="18"/>
          <w:szCs w:val="18"/>
          <w:color w:val="auto"/>
        </w:rPr>
        <w:t>Income tax returns are filed in the United States. The years 2010 through 2022 remain open to examination by the domestic taxing jurisdictions to which the Company is subject. Net operating losses generated on a tax return basis by the Company for 2010 through 2022 remain open to examination by the domestic taxing jurisdictions.</w:t>
      </w:r>
    </w:p>
    <w:p>
      <w:pPr>
        <w:spacing w:after="0" w:line="288" w:lineRule="exact"/>
        <w:rPr>
          <w:sz w:val="20"/>
          <w:szCs w:val="20"/>
          <w:color w:val="auto"/>
        </w:rPr>
      </w:pPr>
    </w:p>
    <w:p>
      <w:pPr>
        <w:ind w:left="520" w:hanging="512"/>
        <w:spacing w:after="0"/>
        <w:tabs>
          <w:tab w:leader="none" w:pos="52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net loss per share attributable to common stockholders: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169"/>
              <w:spacing w:after="0"/>
              <w:rPr>
                <w:sz w:val="20"/>
                <w:szCs w:val="20"/>
                <w:color w:val="auto"/>
              </w:rPr>
            </w:pPr>
            <w:r>
              <w:rPr>
                <w:rFonts w:ascii="Arial" w:cs="Arial" w:eastAsia="Arial" w:hAnsi="Arial"/>
                <w:sz w:val="14"/>
                <w:szCs w:val="14"/>
                <w:b w:val="1"/>
                <w:bCs w:val="1"/>
                <w:color w:val="auto"/>
              </w:rPr>
              <w:t>Years Ended December 31,</w:t>
            </w: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0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w w:val="97"/>
              </w:rPr>
              <w:t>(in thousands, except share and per share data)</w:t>
            </w:r>
          </w:p>
        </w:tc>
        <w:tc>
          <w:tcPr>
            <w:tcW w:w="0" w:type="dxa"/>
            <w:vAlign w:val="bottom"/>
          </w:tcPr>
          <w:p>
            <w:pPr>
              <w:spacing w:after="0"/>
              <w:rPr>
                <w:sz w:val="1"/>
                <w:szCs w:val="1"/>
                <w:color w:val="auto"/>
              </w:rPr>
            </w:pPr>
          </w:p>
        </w:tc>
      </w:tr>
      <w:tr>
        <w:trPr>
          <w:trHeight w:val="175"/>
        </w:trPr>
        <w:tc>
          <w:tcPr>
            <w:tcW w:w="5020" w:type="dxa"/>
            <w:vAlign w:val="bottom"/>
            <w:shd w:val="clear" w:color="auto" w:fill="CFF0FC"/>
          </w:tcPr>
          <w:p>
            <w:pPr>
              <w:spacing w:after="0"/>
              <w:rPr>
                <w:sz w:val="20"/>
                <w:szCs w:val="20"/>
                <w:color w:val="auto"/>
              </w:rPr>
            </w:pPr>
            <w:r>
              <w:rPr>
                <w:rFonts w:ascii="Arial" w:cs="Arial" w:eastAsia="Arial" w:hAnsi="Arial"/>
                <w:sz w:val="14"/>
                <w:szCs w:val="14"/>
                <w:color w:val="auto"/>
              </w:rPr>
              <w:t>Numerator:</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20"/>
                <w:szCs w:val="20"/>
                <w:color w:val="auto"/>
              </w:rPr>
            </w:pPr>
            <w:r>
              <w:rPr>
                <w:rFonts w:ascii="Arial" w:cs="Arial" w:eastAsia="Arial" w:hAnsi="Arial"/>
                <w:sz w:val="14"/>
                <w:szCs w:val="14"/>
                <w:color w:val="auto"/>
              </w:rPr>
              <w:t>Net loss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(248,705 )</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(187,091 )</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(108,159 )</w:t>
            </w:r>
          </w:p>
        </w:tc>
        <w:tc>
          <w:tcPr>
            <w:tcW w:w="0" w:type="dxa"/>
            <w:vAlign w:val="bottom"/>
          </w:tcPr>
          <w:p>
            <w:pPr>
              <w:spacing w:after="0"/>
              <w:rPr>
                <w:sz w:val="1"/>
                <w:szCs w:val="1"/>
                <w:color w:val="auto"/>
              </w:rPr>
            </w:pPr>
          </w:p>
        </w:tc>
      </w:tr>
      <w:tr>
        <w:trPr>
          <w:trHeight w:val="175"/>
        </w:trPr>
        <w:tc>
          <w:tcPr>
            <w:tcW w:w="5020" w:type="dxa"/>
            <w:vAlign w:val="bottom"/>
            <w:shd w:val="clear" w:color="auto" w:fill="CFF0FC"/>
          </w:tcPr>
          <w:p>
            <w:pPr>
              <w:spacing w:after="0"/>
              <w:rPr>
                <w:sz w:val="20"/>
                <w:szCs w:val="20"/>
                <w:color w:val="auto"/>
              </w:rPr>
            </w:pPr>
            <w:r>
              <w:rPr>
                <w:rFonts w:ascii="Arial" w:cs="Arial" w:eastAsia="Arial" w:hAnsi="Arial"/>
                <w:sz w:val="14"/>
                <w:szCs w:val="14"/>
                <w:color w:val="auto"/>
              </w:rPr>
              <w:t>Redeemable convertible preferred stock dividends-undeclared and cumulative</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(2,219 )</w:t>
            </w:r>
          </w:p>
        </w:tc>
        <w:tc>
          <w:tcPr>
            <w:tcW w:w="0" w:type="dxa"/>
            <w:vAlign w:val="bottom"/>
          </w:tcPr>
          <w:p>
            <w:pPr>
              <w:spacing w:after="0"/>
              <w:rPr>
                <w:sz w:val="1"/>
                <w:szCs w:val="1"/>
                <w:color w:val="auto"/>
              </w:rPr>
            </w:pPr>
          </w:p>
        </w:tc>
      </w:tr>
      <w:tr>
        <w:trPr>
          <w:trHeight w:val="20"/>
        </w:trPr>
        <w:tc>
          <w:tcPr>
            <w:tcW w:w="50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2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 xml:space="preserve">(248,705 </w:t>
            </w:r>
            <w:r>
              <w:rPr>
                <w:rFonts w:ascii="Arial" w:cs="Arial" w:eastAsia="Arial" w:hAnsi="Arial"/>
                <w:sz w:val="14"/>
                <w:szCs w:val="14"/>
                <w:color w:val="auto"/>
                <w:highlight w:val="white"/>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140"/>
              <w:spacing w:after="0"/>
              <w:rPr>
                <w:sz w:val="20"/>
                <w:szCs w:val="20"/>
                <w:color w:val="auto"/>
              </w:rPr>
            </w:pPr>
            <w:r>
              <w:rPr>
                <w:rFonts w:ascii="Arial" w:cs="Arial" w:eastAsia="Arial" w:hAnsi="Arial"/>
                <w:sz w:val="14"/>
                <w:szCs w:val="14"/>
                <w:color w:val="auto"/>
              </w:rPr>
              <w:t xml:space="preserve">(187,091 </w:t>
            </w:r>
            <w:r>
              <w:rPr>
                <w:rFonts w:ascii="Arial" w:cs="Arial" w:eastAsia="Arial" w:hAnsi="Arial"/>
                <w:sz w:val="14"/>
                <w:szCs w:val="14"/>
                <w:color w:val="auto"/>
                <w:highlight w:val="white"/>
              </w:rPr>
              <w: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 xml:space="preserve">(110,378 </w:t>
            </w:r>
            <w:r>
              <w:rPr>
                <w:rFonts w:ascii="Arial" w:cs="Arial" w:eastAsia="Arial" w:hAnsi="Arial"/>
                <w:sz w:val="14"/>
                <w:szCs w:val="14"/>
                <w:color w:val="auto"/>
                <w:highlight w:val="white"/>
              </w:rPr>
              <w:t>)</w:t>
            </w:r>
          </w:p>
        </w:tc>
        <w:tc>
          <w:tcPr>
            <w:tcW w:w="0" w:type="dxa"/>
            <w:vAlign w:val="bottom"/>
          </w:tcPr>
          <w:p>
            <w:pPr>
              <w:spacing w:after="0"/>
              <w:rPr>
                <w:sz w:val="1"/>
                <w:szCs w:val="1"/>
                <w:color w:val="auto"/>
              </w:rPr>
            </w:pPr>
          </w:p>
        </w:tc>
      </w:tr>
      <w:tr>
        <w:trPr>
          <w:trHeight w:val="175"/>
        </w:trPr>
        <w:tc>
          <w:tcPr>
            <w:tcW w:w="5020" w:type="dxa"/>
            <w:vAlign w:val="bottom"/>
            <w:shd w:val="clear" w:color="auto" w:fill="CFF0FC"/>
          </w:tcPr>
          <w:p>
            <w:pPr>
              <w:spacing w:after="0"/>
              <w:rPr>
                <w:sz w:val="20"/>
                <w:szCs w:val="20"/>
                <w:color w:val="auto"/>
              </w:rPr>
            </w:pPr>
            <w:r>
              <w:rPr>
                <w:rFonts w:ascii="Arial" w:cs="Arial" w:eastAsia="Arial" w:hAnsi="Arial"/>
                <w:sz w:val="14"/>
                <w:szCs w:val="14"/>
                <w:color w:val="auto"/>
              </w:rPr>
              <w:t>Denominator:</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20" w:type="dxa"/>
            <w:vAlign w:val="bottom"/>
          </w:tcPr>
          <w:p>
            <w:pPr>
              <w:spacing w:after="0"/>
              <w:rPr>
                <w:sz w:val="20"/>
                <w:szCs w:val="20"/>
                <w:color w:val="auto"/>
              </w:rPr>
            </w:pPr>
            <w:r>
              <w:rPr>
                <w:rFonts w:ascii="Arial" w:cs="Arial" w:eastAsia="Arial" w:hAnsi="Arial"/>
                <w:sz w:val="14"/>
                <w:szCs w:val="14"/>
                <w:color w:val="auto"/>
              </w:rPr>
              <w:t>Weighted-average shares outstanding</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80,636,570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72,866,022</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55,109,929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0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Less: Weighted-average unvested restricted shares and</w:t>
            </w:r>
          </w:p>
        </w:tc>
        <w:tc>
          <w:tcPr>
            <w:tcW w:w="260" w:type="dxa"/>
            <w:vAlign w:val="bottom"/>
            <w:shd w:val="clear" w:color="auto" w:fill="CFF0FC"/>
          </w:tcPr>
          <w:p>
            <w:pPr>
              <w:spacing w:after="0"/>
              <w:rPr>
                <w:sz w:val="12"/>
                <w:szCs w:val="12"/>
                <w:color w:val="auto"/>
              </w:rPr>
            </w:pPr>
          </w:p>
        </w:tc>
        <w:tc>
          <w:tcPr>
            <w:tcW w:w="11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(10,045 )</w:t>
            </w:r>
          </w:p>
        </w:tc>
        <w:tc>
          <w:tcPr>
            <w:tcW w:w="260" w:type="dxa"/>
            <w:vAlign w:val="bottom"/>
            <w:shd w:val="clear" w:color="auto" w:fill="CFF0FC"/>
          </w:tcPr>
          <w:p>
            <w:pPr>
              <w:spacing w:after="0"/>
              <w:rPr>
                <w:sz w:val="12"/>
                <w:szCs w:val="12"/>
                <w:color w:val="auto"/>
              </w:rPr>
            </w:pPr>
          </w:p>
        </w:tc>
        <w:tc>
          <w:tcPr>
            <w:tcW w:w="11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(59,943 )</w:t>
            </w:r>
          </w:p>
        </w:tc>
        <w:tc>
          <w:tcPr>
            <w:tcW w:w="240" w:type="dxa"/>
            <w:vAlign w:val="bottom"/>
            <w:shd w:val="clear" w:color="auto" w:fill="CFF0FC"/>
          </w:tcPr>
          <w:p>
            <w:pPr>
              <w:spacing w:after="0"/>
              <w:rPr>
                <w:sz w:val="12"/>
                <w:szCs w:val="12"/>
                <w:color w:val="auto"/>
              </w:rPr>
            </w:pPr>
          </w:p>
        </w:tc>
        <w:tc>
          <w:tcPr>
            <w:tcW w:w="9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(235,810 )</w:t>
            </w:r>
          </w:p>
        </w:tc>
        <w:tc>
          <w:tcPr>
            <w:tcW w:w="0" w:type="dxa"/>
            <w:vAlign w:val="bottom"/>
          </w:tcPr>
          <w:p>
            <w:pPr>
              <w:spacing w:after="0"/>
              <w:rPr>
                <w:sz w:val="1"/>
                <w:szCs w:val="1"/>
                <w:color w:val="auto"/>
              </w:rPr>
            </w:pPr>
          </w:p>
        </w:tc>
      </w:tr>
      <w:tr>
        <w:trPr>
          <w:trHeight w:val="167"/>
        </w:trPr>
        <w:tc>
          <w:tcPr>
            <w:tcW w:w="50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shares subject to repurchase</w:t>
            </w:r>
          </w:p>
        </w:tc>
        <w:tc>
          <w:tcPr>
            <w:tcW w:w="260" w:type="dxa"/>
            <w:vAlign w:val="bottom"/>
            <w:shd w:val="clear" w:color="auto" w:fill="CFF0FC"/>
          </w:tcPr>
          <w:p>
            <w:pPr>
              <w:spacing w:after="0"/>
              <w:rPr>
                <w:sz w:val="14"/>
                <w:szCs w:val="14"/>
                <w:color w:val="auto"/>
              </w:rPr>
            </w:pPr>
          </w:p>
        </w:tc>
        <w:tc>
          <w:tcPr>
            <w:tcW w:w="1120" w:type="dxa"/>
            <w:vAlign w:val="bottom"/>
            <w:gridSpan w:val="2"/>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020" w:type="dxa"/>
            <w:vAlign w:val="bottom"/>
            <w:tcBorders>
              <w:top w:val="single" w:sz="8" w:color="CFF0FC"/>
            </w:tcBorders>
          </w:tcPr>
          <w:p>
            <w:pPr>
              <w:spacing w:after="0" w:line="137" w:lineRule="exact"/>
              <w:rPr>
                <w:sz w:val="20"/>
                <w:szCs w:val="20"/>
                <w:color w:val="auto"/>
              </w:rPr>
            </w:pPr>
            <w:r>
              <w:rPr>
                <w:rFonts w:ascii="Arial" w:cs="Arial" w:eastAsia="Arial" w:hAnsi="Arial"/>
                <w:sz w:val="14"/>
                <w:szCs w:val="14"/>
                <w:color w:val="auto"/>
              </w:rPr>
              <w:t>Weighted-average shares used to compute net loss per share</w:t>
            </w: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80,626,525</w:t>
            </w:r>
          </w:p>
        </w:tc>
        <w:tc>
          <w:tcPr>
            <w:tcW w:w="22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72,806,079</w:t>
            </w:r>
          </w:p>
        </w:tc>
        <w:tc>
          <w:tcPr>
            <w:tcW w:w="200" w:type="dxa"/>
            <w:vAlign w:val="bottom"/>
            <w:tcBorders>
              <w:top w:val="single" w:sz="8" w:color="CFF0FC"/>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54,874,119</w:t>
            </w:r>
          </w:p>
        </w:tc>
        <w:tc>
          <w:tcPr>
            <w:tcW w:w="8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20" w:type="dxa"/>
            <w:vAlign w:val="bottom"/>
          </w:tcPr>
          <w:p>
            <w:pPr>
              <w:ind w:left="120"/>
              <w:spacing w:after="0"/>
              <w:rPr>
                <w:sz w:val="20"/>
                <w:szCs w:val="20"/>
                <w:color w:val="auto"/>
              </w:rPr>
            </w:pPr>
            <w:r>
              <w:rPr>
                <w:rFonts w:ascii="Arial" w:cs="Arial" w:eastAsia="Arial" w:hAnsi="Arial"/>
                <w:sz w:val="14"/>
                <w:szCs w:val="14"/>
                <w:color w:val="auto"/>
              </w:rPr>
              <w:t>attributable to common stockholders, basic and diluted</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5020" w:type="dxa"/>
            <w:vAlign w:val="bottom"/>
            <w:shd w:val="clear" w:color="auto" w:fill="CFF0FC"/>
          </w:tcPr>
          <w:p>
            <w:pPr>
              <w:spacing w:after="0" w:line="137" w:lineRule="exact"/>
              <w:rPr>
                <w:sz w:val="20"/>
                <w:szCs w:val="20"/>
                <w:color w:val="auto"/>
              </w:rPr>
            </w:pPr>
            <w:r>
              <w:rPr>
                <w:rFonts w:ascii="Arial" w:cs="Arial" w:eastAsia="Arial" w:hAnsi="Arial"/>
                <w:sz w:val="14"/>
                <w:szCs w:val="14"/>
                <w:color w:val="auto"/>
              </w:rPr>
              <w:t>Net loss per share attributable to common stockholders, basic</w:t>
            </w:r>
          </w:p>
        </w:tc>
        <w:tc>
          <w:tcPr>
            <w:tcW w:w="260" w:type="dxa"/>
            <w:vAlign w:val="bottom"/>
            <w:vMerge w:val="restart"/>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(3.08 )</w:t>
            </w:r>
          </w:p>
        </w:tc>
        <w:tc>
          <w:tcPr>
            <w:tcW w:w="260" w:type="dxa"/>
            <w:vAlign w:val="bottom"/>
            <w:vMerge w:val="restart"/>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1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(2.57 )</w:t>
            </w:r>
          </w:p>
        </w:tc>
        <w:tc>
          <w:tcPr>
            <w:tcW w:w="240" w:type="dxa"/>
            <w:vAlign w:val="bottom"/>
            <w:vMerge w:val="restart"/>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98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4"/>
                <w:szCs w:val="14"/>
                <w:color w:val="auto"/>
              </w:rPr>
              <w:t>(2.01 )</w:t>
            </w:r>
          </w:p>
        </w:tc>
        <w:tc>
          <w:tcPr>
            <w:tcW w:w="0" w:type="dxa"/>
            <w:vAlign w:val="bottom"/>
          </w:tcPr>
          <w:p>
            <w:pPr>
              <w:spacing w:after="0"/>
              <w:rPr>
                <w:sz w:val="1"/>
                <w:szCs w:val="1"/>
                <w:color w:val="auto"/>
              </w:rPr>
            </w:pPr>
          </w:p>
        </w:tc>
      </w:tr>
      <w:tr>
        <w:trPr>
          <w:trHeight w:val="160"/>
        </w:trPr>
        <w:tc>
          <w:tcPr>
            <w:tcW w:w="5020" w:type="dxa"/>
            <w:vAlign w:val="bottom"/>
            <w:shd w:val="clear" w:color="auto" w:fill="CFF0FC"/>
          </w:tcPr>
          <w:p>
            <w:pPr>
              <w:ind w:left="120"/>
              <w:spacing w:after="0" w:line="121" w:lineRule="exact"/>
              <w:rPr>
                <w:sz w:val="20"/>
                <w:szCs w:val="20"/>
                <w:color w:val="auto"/>
              </w:rPr>
            </w:pPr>
            <w:r>
              <w:rPr>
                <w:rFonts w:ascii="Arial" w:cs="Arial" w:eastAsia="Arial" w:hAnsi="Arial"/>
                <w:sz w:val="13"/>
                <w:szCs w:val="13"/>
                <w:color w:val="auto"/>
              </w:rPr>
              <w:t>and diluted</w:t>
            </w:r>
          </w:p>
        </w:tc>
        <w:tc>
          <w:tcPr>
            <w:tcW w:w="260" w:type="dxa"/>
            <w:vAlign w:val="bottom"/>
            <w:vMerge w:val="continue"/>
            <w:shd w:val="clear" w:color="auto" w:fill="CFF0FC"/>
          </w:tcPr>
          <w:p>
            <w:pPr>
              <w:spacing w:after="0"/>
              <w:rPr>
                <w:sz w:val="13"/>
                <w:szCs w:val="13"/>
                <w:color w:val="auto"/>
              </w:rPr>
            </w:pPr>
          </w:p>
        </w:tc>
        <w:tc>
          <w:tcPr>
            <w:tcW w:w="1120" w:type="dxa"/>
            <w:vAlign w:val="bottom"/>
            <w:gridSpan w:val="2"/>
            <w:vMerge w:val="continue"/>
            <w:shd w:val="clear" w:color="auto" w:fill="CFF0FC"/>
          </w:tcPr>
          <w:p>
            <w:pPr>
              <w:spacing w:after="0"/>
              <w:rPr>
                <w:sz w:val="13"/>
                <w:szCs w:val="13"/>
                <w:color w:val="auto"/>
              </w:rPr>
            </w:pPr>
          </w:p>
        </w:tc>
        <w:tc>
          <w:tcPr>
            <w:tcW w:w="260" w:type="dxa"/>
            <w:vAlign w:val="bottom"/>
            <w:vMerge w:val="continue"/>
            <w:shd w:val="clear" w:color="auto" w:fill="CFF0FC"/>
          </w:tcPr>
          <w:p>
            <w:pPr>
              <w:spacing w:after="0"/>
              <w:rPr>
                <w:sz w:val="13"/>
                <w:szCs w:val="13"/>
                <w:color w:val="auto"/>
              </w:rPr>
            </w:pPr>
          </w:p>
        </w:tc>
        <w:tc>
          <w:tcPr>
            <w:tcW w:w="1100" w:type="dxa"/>
            <w:vAlign w:val="bottom"/>
            <w:gridSpan w:val="2"/>
            <w:vMerge w:val="continue"/>
            <w:shd w:val="clear" w:color="auto" w:fill="CFF0FC"/>
          </w:tcPr>
          <w:p>
            <w:pPr>
              <w:spacing w:after="0"/>
              <w:rPr>
                <w:sz w:val="13"/>
                <w:szCs w:val="13"/>
                <w:color w:val="auto"/>
              </w:rPr>
            </w:pPr>
          </w:p>
        </w:tc>
        <w:tc>
          <w:tcPr>
            <w:tcW w:w="240" w:type="dxa"/>
            <w:vAlign w:val="bottom"/>
            <w:vMerge w:val="continue"/>
            <w:shd w:val="clear" w:color="auto" w:fill="CFF0FC"/>
          </w:tcPr>
          <w:p>
            <w:pPr>
              <w:spacing w:after="0"/>
              <w:rPr>
                <w:sz w:val="13"/>
                <w:szCs w:val="13"/>
                <w:color w:val="auto"/>
              </w:rPr>
            </w:pPr>
          </w:p>
        </w:tc>
        <w:tc>
          <w:tcPr>
            <w:tcW w:w="98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-419100</wp:posOffset>
            </wp:positionV>
            <wp:extent cx="59690" cy="2146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9690" cy="21463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-419100</wp:posOffset>
            </wp:positionV>
            <wp:extent cx="51435" cy="2146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21463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-419100</wp:posOffset>
            </wp:positionV>
            <wp:extent cx="51435" cy="2146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21463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-24765</wp:posOffset>
            </wp:positionV>
            <wp:extent cx="596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-8255</wp:posOffset>
            </wp:positionV>
            <wp:extent cx="5969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-24765</wp:posOffset>
            </wp:positionV>
            <wp:extent cx="514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5143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22" w:name="page123"/>
    <w:bookmarkEnd w:id="122"/>
    <w:p>
      <w:pPr>
        <w:ind w:right="100" w:firstLine="509"/>
        <w:spacing w:after="0" w:line="277" w:lineRule="auto"/>
        <w:rPr>
          <w:sz w:val="20"/>
          <w:szCs w:val="20"/>
          <w:color w:val="auto"/>
        </w:rPr>
      </w:pPr>
      <w:r>
        <w:rPr>
          <w:rFonts w:ascii="Arial" w:cs="Arial" w:eastAsia="Arial" w:hAnsi="Arial"/>
          <w:sz w:val="18"/>
          <w:szCs w:val="18"/>
          <w:color w:val="auto"/>
        </w:rPr>
        <w:t>The following outstanding potentially dilutive shares have been excluded from the calculation of diluted net loss per share for the periods presented due to their anti-dilutive effect: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9"/>
        </w:trPr>
        <w:tc>
          <w:tcPr>
            <w:tcW w:w="11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32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1140" w:type="dxa"/>
            <w:vAlign w:val="bottom"/>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237"/>
        </w:trPr>
        <w:tc>
          <w:tcPr>
            <w:tcW w:w="1140" w:type="dxa"/>
            <w:vAlign w:val="bottom"/>
          </w:tcPr>
          <w:p>
            <w:pPr>
              <w:spacing w:after="0"/>
              <w:rPr>
                <w:sz w:val="20"/>
                <w:szCs w:val="20"/>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Options to purchase common stock</w:t>
            </w:r>
          </w:p>
        </w:tc>
        <w:tc>
          <w:tcPr>
            <w:tcW w:w="120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8,164,375</w:t>
            </w:r>
          </w:p>
        </w:tc>
        <w:tc>
          <w:tcPr>
            <w:tcW w:w="18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6,050,938</w:t>
            </w:r>
          </w:p>
        </w:tc>
        <w:tc>
          <w:tcPr>
            <w:tcW w:w="16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5,118,979</w:t>
            </w: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37"/>
        </w:trPr>
        <w:tc>
          <w:tcPr>
            <w:tcW w:w="114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Options early exercised subject to future vesting</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6,918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30,378</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130,793</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9"/>
        </w:trPr>
        <w:tc>
          <w:tcPr>
            <w:tcW w:w="1140" w:type="dxa"/>
            <w:vAlign w:val="bottom"/>
          </w:tcPr>
          <w:p>
            <w:pPr>
              <w:spacing w:after="0"/>
              <w:rPr>
                <w:sz w:val="21"/>
                <w:szCs w:val="21"/>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 units of common stock</w:t>
            </w:r>
          </w:p>
        </w:tc>
        <w:tc>
          <w:tcPr>
            <w:tcW w:w="2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1,175,032</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423,621</w:t>
            </w:r>
          </w:p>
        </w:tc>
        <w:tc>
          <w:tcPr>
            <w:tcW w:w="16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85,639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37"/>
        </w:trPr>
        <w:tc>
          <w:tcPr>
            <w:tcW w:w="114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Expected shares to be purchased under ESPP</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378,429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176,131</w:t>
            </w:r>
          </w:p>
        </w:tc>
        <w:tc>
          <w:tcPr>
            <w:tcW w:w="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91,210</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6"/>
        </w:trPr>
        <w:tc>
          <w:tcPr>
            <w:tcW w:w="1140" w:type="dxa"/>
            <w:vAlign w:val="bottom"/>
          </w:tcPr>
          <w:p>
            <w:pPr>
              <w:spacing w:after="0"/>
              <w:rPr>
                <w:sz w:val="24"/>
                <w:szCs w:val="24"/>
                <w:color w:val="auto"/>
              </w:rPr>
            </w:pPr>
          </w:p>
        </w:tc>
        <w:tc>
          <w:tcPr>
            <w:tcW w:w="3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20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9,724,754</w:t>
            </w:r>
          </w:p>
        </w:tc>
        <w:tc>
          <w:tcPr>
            <w:tcW w:w="1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6,681,068</w:t>
            </w:r>
          </w:p>
        </w:tc>
        <w:tc>
          <w:tcPr>
            <w:tcW w:w="16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5,426,621</w:t>
            </w:r>
          </w:p>
        </w:tc>
        <w:tc>
          <w:tcPr>
            <w:tcW w:w="80" w:type="dxa"/>
            <w:vAlign w:val="bottom"/>
            <w:tcBorders>
              <w:bottom w:val="single" w:sz="8" w:color="CFF0FC"/>
            </w:tcBorders>
            <w:shd w:val="clear" w:color="auto" w:fill="CFF0FC"/>
          </w:tcPr>
          <w:p>
            <w:pPr>
              <w:spacing w:after="0"/>
              <w:rPr>
                <w:sz w:val="24"/>
                <w:szCs w:val="24"/>
                <w:color w:val="auto"/>
              </w:rPr>
            </w:pPr>
          </w:p>
        </w:tc>
        <w:tc>
          <w:tcPr>
            <w:tcW w:w="1120" w:type="dxa"/>
            <w:vAlign w:val="bottom"/>
          </w:tcPr>
          <w:p>
            <w:pPr>
              <w:spacing w:after="0"/>
              <w:rPr>
                <w:sz w:val="24"/>
                <w:szCs w:val="24"/>
                <w:color w:val="auto"/>
              </w:rPr>
            </w:pPr>
          </w:p>
        </w:tc>
      </w:tr>
      <w:tr>
        <w:trPr>
          <w:trHeight w:val="635"/>
        </w:trPr>
        <w:tc>
          <w:tcPr>
            <w:tcW w:w="1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color w:val="auto"/>
              </w:rPr>
              <w:t>120</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-521970</wp:posOffset>
            </wp:positionV>
            <wp:extent cx="60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-505460</wp:posOffset>
            </wp:positionV>
            <wp:extent cx="603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-521970</wp:posOffset>
            </wp:positionV>
            <wp:extent cx="514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-505460</wp:posOffset>
            </wp:positionV>
            <wp:extent cx="514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-521970</wp:posOffset>
            </wp:positionV>
            <wp:extent cx="514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-505460</wp:posOffset>
            </wp:positionV>
            <wp:extent cx="514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firstLine="509"/>
        <w:spacing w:after="0" w:line="301" w:lineRule="auto"/>
        <w:rPr>
          <w:sz w:val="20"/>
          <w:szCs w:val="20"/>
          <w:color w:val="auto"/>
        </w:rPr>
      </w:pPr>
      <w:r>
        <w:rPr>
          <w:rFonts w:ascii="Arial" w:cs="Arial" w:eastAsia="Arial" w:hAnsi="Arial"/>
          <w:sz w:val="16"/>
          <w:szCs w:val="16"/>
          <w:color w:val="auto"/>
        </w:rPr>
        <w:t>Our management, with the participation of our President and Chief Executive Officer and our Chief Financial Officer, our principal executive officer and principal financial officer, respectively, have evaluated our disclosure controls and procedures (as defined in Rules 13a-15(e) and 15d-15(e) under the Securities Exchange Act of 1934, as amended) as of December 31, 2022. Based on the evaluation, our President and Chief Executive Officer and our Chief Financial Officer have concluded that, as of December 31, 2022, our disclosure controls and procedures were effective.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117" w:lineRule="exact"/>
        <w:rPr>
          <w:sz w:val="20"/>
          <w:szCs w:val="20"/>
          <w:color w:val="auto"/>
        </w:rPr>
      </w:pPr>
    </w:p>
    <w:p>
      <w:pPr>
        <w:ind w:firstLine="509"/>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Exchange Act Rules 13a-15(f) and 15d-15(f). Our internal control over financial reporting is designed to provide reasonable assurance regarding the reliability of financial reporting and the preparation of consolidated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2" w:lineRule="exact"/>
        <w:rPr>
          <w:sz w:val="20"/>
          <w:szCs w:val="20"/>
          <w:color w:val="auto"/>
        </w:rPr>
      </w:pPr>
    </w:p>
    <w:p>
      <w:pPr>
        <w:jc w:val="both"/>
        <w:ind w:right="260" w:firstLine="509"/>
        <w:spacing w:after="0" w:line="311" w:lineRule="auto"/>
        <w:rPr>
          <w:sz w:val="20"/>
          <w:szCs w:val="20"/>
          <w:color w:val="auto"/>
        </w:rPr>
      </w:pPr>
      <w:r>
        <w:rPr>
          <w:rFonts w:ascii="Arial" w:cs="Arial" w:eastAsia="Arial" w:hAnsi="Arial"/>
          <w:sz w:val="16"/>
          <w:szCs w:val="16"/>
          <w:color w:val="auto"/>
        </w:rPr>
        <w:t>Management has assessed the effectiveness of our internal control over financial reporting based on the framework set forth by the Committee of Sponsoring Organizations of the Treadway Commission (COSO) in Internal Control-Integrated Framework (2013 framework). Based on our evaluation, management has concluded that our internal control over financial reporting was effective at the reasonable assurance level as of December 31, 2022.</w:t>
      </w:r>
    </w:p>
    <w:p>
      <w:pPr>
        <w:spacing w:after="0" w:line="149" w:lineRule="exact"/>
        <w:rPr>
          <w:sz w:val="20"/>
          <w:szCs w:val="20"/>
          <w:color w:val="auto"/>
        </w:rPr>
      </w:pPr>
    </w:p>
    <w:p>
      <w:pPr>
        <w:ind w:right="340" w:firstLine="509"/>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2022 has been audited by PricewaterhouseCoopers LLP, an independent registered public accounting firm, as stated in their report which appears herein.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460" w:firstLine="509"/>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three months ended December 31, 2022 that have materially affected, or are reasonably likely to materially affect, our internal control over financial reporting.</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 on the effectiveness over financial reporting</w:t>
      </w:r>
    </w:p>
    <w:p>
      <w:pPr>
        <w:spacing w:after="0" w:line="117" w:lineRule="exact"/>
        <w:rPr>
          <w:sz w:val="20"/>
          <w:szCs w:val="20"/>
          <w:color w:val="auto"/>
        </w:rPr>
      </w:pPr>
    </w:p>
    <w:p>
      <w:pPr>
        <w:ind w:right="140" w:firstLine="509"/>
        <w:spacing w:after="0" w:line="272" w:lineRule="auto"/>
        <w:rPr>
          <w:sz w:val="20"/>
          <w:szCs w:val="20"/>
          <w:color w:val="auto"/>
        </w:rPr>
      </w:pPr>
      <w:r>
        <w:rPr>
          <w:rFonts w:ascii="Arial" w:cs="Arial" w:eastAsia="Arial" w:hAnsi="Arial"/>
          <w:sz w:val="17"/>
          <w:szCs w:val="17"/>
          <w:color w:val="auto"/>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any system of internal control over financial reporting, including ours, no matter how well designed and operated, can only provide reasonable, not absolute assurances.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4" w:name="page125"/>
    <w:bookmarkEnd w:id="124"/>
    <w:p>
      <w:pPr>
        <w:jc w:val="center"/>
        <w:ind w:right="4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within 120 days after December 31, 2022,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right="160" w:firstLine="509"/>
        <w:spacing w:after="0" w:line="291" w:lineRule="auto"/>
        <w:rPr>
          <w:sz w:val="20"/>
          <w:szCs w:val="20"/>
          <w:color w:val="auto"/>
        </w:rPr>
      </w:pPr>
      <w:r>
        <w:rPr>
          <w:rFonts w:ascii="Arial" w:cs="Arial" w:eastAsia="Arial" w:hAnsi="Arial"/>
          <w:sz w:val="16"/>
          <w:szCs w:val="16"/>
          <w:color w:val="auto"/>
        </w:rPr>
        <w:t>We have adopted a Code of Business Conduct and Ethics that applies to our officers, directors and employees, which is available on our website at https://ir.revmed.com/. The Code of Business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 (2) 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to be filed within 120 days after December 31, 2022,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to be filed within 120 days after December 31, 2022,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to be filed within 120 days after December 31, 2022,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right="300" w:firstLine="509"/>
        <w:spacing w:after="0" w:line="277" w:lineRule="auto"/>
        <w:rPr>
          <w:sz w:val="20"/>
          <w:szCs w:val="20"/>
          <w:color w:val="auto"/>
        </w:rPr>
      </w:pPr>
      <w:r>
        <w:rPr>
          <w:rFonts w:ascii="Arial" w:cs="Arial" w:eastAsia="Arial" w:hAnsi="Arial"/>
          <w:sz w:val="18"/>
          <w:szCs w:val="18"/>
          <w:color w:val="auto"/>
        </w:rPr>
        <w:t>Information required by this item will be contained in our definitive proxy statement to be filed with the SEC on Schedule 14A to be filed within 120 days after December 31, 2022, and is incorporated herein by reference.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5" w:name="page126"/>
    <w:bookmarkEnd w:id="125"/>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121" w:lineRule="exact"/>
        <w:rPr>
          <w:sz w:val="20"/>
          <w:szCs w:val="20"/>
          <w:color w:val="auto"/>
        </w:rPr>
      </w:pPr>
    </w:p>
    <w:p>
      <w:pPr>
        <w:ind w:left="1500" w:hanging="743"/>
        <w:spacing w:after="0"/>
        <w:tabs>
          <w:tab w:leader="none" w:pos="1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 on Form 10-K:</w:t>
      </w:r>
    </w:p>
    <w:p>
      <w:pPr>
        <w:spacing w:after="0" w:line="117" w:lineRule="exact"/>
        <w:rPr>
          <w:sz w:val="20"/>
          <w:szCs w:val="20"/>
          <w:color w:val="auto"/>
        </w:rPr>
      </w:pPr>
    </w:p>
    <w:p>
      <w:pPr>
        <w:ind w:left="1500" w:hanging="743"/>
        <w:spacing w:after="0"/>
        <w:tabs>
          <w:tab w:leader="none" w:pos="1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25" w:lineRule="exact"/>
        <w:rPr>
          <w:sz w:val="20"/>
          <w:szCs w:val="20"/>
          <w:color w:val="auto"/>
        </w:rPr>
      </w:pPr>
    </w:p>
    <w:p>
      <w:pPr>
        <w:ind w:right="100" w:firstLine="509"/>
        <w:spacing w:after="0" w:line="277" w:lineRule="auto"/>
        <w:rPr>
          <w:sz w:val="20"/>
          <w:szCs w:val="20"/>
          <w:color w:val="auto"/>
        </w:rPr>
      </w:pPr>
      <w:r>
        <w:rPr>
          <w:rFonts w:ascii="Arial" w:cs="Arial" w:eastAsia="Arial" w:hAnsi="Arial"/>
          <w:sz w:val="18"/>
          <w:szCs w:val="18"/>
          <w:color w:val="auto"/>
        </w:rPr>
        <w:t>The following financial statements and schedules of the Registrant are contained in Part II, Item 8, “Financial Statements and Supplementary Data” of this Annual Report on Form 10-K:</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0"/>
              </w:rPr>
              <w:t>Page</w:t>
            </w:r>
          </w:p>
        </w:tc>
      </w:tr>
      <w:tr>
        <w:trPr>
          <w:trHeight w:val="189"/>
        </w:trPr>
        <w:tc>
          <w:tcPr>
            <w:tcW w:w="10600" w:type="dxa"/>
            <w:vAlign w:val="bottom"/>
            <w:gridSpan w:val="9"/>
          </w:tcPr>
          <w:p>
            <w:pPr>
              <w:spacing w:after="0" w:line="189" w:lineRule="exact"/>
              <w:rPr>
                <w:sz w:val="20"/>
                <w:szCs w:val="20"/>
                <w:color w:val="auto"/>
              </w:rPr>
            </w:pPr>
            <w:r>
              <w:rPr>
                <w:rFonts w:ascii="Arial" w:cs="Arial" w:eastAsia="Arial" w:hAnsi="Arial"/>
                <w:sz w:val="18"/>
                <w:szCs w:val="18"/>
                <w:color w:val="0000FF"/>
              </w:rPr>
              <w:t>Report of Independent Registered Public Accounting Firm</w:t>
            </w:r>
          </w:p>
        </w:tc>
        <w:tc>
          <w:tcPr>
            <w:tcW w:w="620" w:type="dxa"/>
            <w:vAlign w:val="bottom"/>
          </w:tcPr>
          <w:p>
            <w:pPr>
              <w:jc w:val="right"/>
              <w:spacing w:after="0" w:line="189" w:lineRule="exact"/>
              <w:rPr>
                <w:sz w:val="20"/>
                <w:szCs w:val="20"/>
                <w:color w:val="auto"/>
              </w:rPr>
            </w:pPr>
            <w:r>
              <w:rPr>
                <w:rFonts w:ascii="Arial" w:cs="Arial" w:eastAsia="Arial" w:hAnsi="Arial"/>
                <w:sz w:val="18"/>
                <w:szCs w:val="18"/>
                <w:color w:val="auto"/>
              </w:rPr>
              <w:t>94</w:t>
            </w:r>
          </w:p>
        </w:tc>
      </w:tr>
      <w:tr>
        <w:trPr>
          <w:trHeight w:val="20"/>
        </w:trPr>
        <w:tc>
          <w:tcPr>
            <w:tcW w:w="20" w:type="dxa"/>
            <w:vAlign w:val="bottom"/>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10600" w:type="dxa"/>
            <w:vAlign w:val="bottom"/>
            <w:gridSpan w:val="9"/>
          </w:tcPr>
          <w:p>
            <w:pPr>
              <w:spacing w:after="0"/>
              <w:rPr>
                <w:sz w:val="20"/>
                <w:szCs w:val="20"/>
                <w:color w:val="auto"/>
              </w:rPr>
            </w:pPr>
            <w:r>
              <w:rPr>
                <w:rFonts w:ascii="Arial" w:cs="Arial" w:eastAsia="Arial" w:hAnsi="Arial"/>
                <w:sz w:val="18"/>
                <w:szCs w:val="18"/>
                <w:color w:val="0000FF"/>
              </w:rPr>
              <w:t>Consolidated Balance Sheets</w:t>
            </w:r>
          </w:p>
        </w:tc>
        <w:tc>
          <w:tcPr>
            <w:tcW w:w="6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0"/>
        </w:trPr>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10600" w:type="dxa"/>
            <w:vAlign w:val="bottom"/>
            <w:gridSpan w:val="9"/>
          </w:tcPr>
          <w:p>
            <w:pPr>
              <w:spacing w:after="0"/>
              <w:rPr>
                <w:sz w:val="20"/>
                <w:szCs w:val="20"/>
                <w:color w:val="auto"/>
              </w:rPr>
            </w:pPr>
            <w:r>
              <w:rPr>
                <w:rFonts w:ascii="Arial" w:cs="Arial" w:eastAsia="Arial" w:hAnsi="Arial"/>
                <w:sz w:val="18"/>
                <w:szCs w:val="18"/>
                <w:color w:val="0000FF"/>
              </w:rPr>
              <w:t>Consolidated Statements of Operations</w:t>
            </w: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20" w:type="dxa"/>
            <w:vAlign w:val="bottom"/>
            <w:shd w:val="clear" w:color="auto" w:fill="0000EE"/>
          </w:tcPr>
          <w:p>
            <w:pPr>
              <w:spacing w:after="0" w:line="20" w:lineRule="exact"/>
              <w:rPr>
                <w:sz w:val="1"/>
                <w:szCs w:val="1"/>
                <w:color w:val="auto"/>
              </w:rPr>
            </w:pPr>
          </w:p>
        </w:tc>
        <w:tc>
          <w:tcPr>
            <w:tcW w:w="282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10600" w:type="dxa"/>
            <w:vAlign w:val="bottom"/>
            <w:gridSpan w:val="9"/>
          </w:tcPr>
          <w:p>
            <w:pPr>
              <w:spacing w:after="0"/>
              <w:rPr>
                <w:sz w:val="20"/>
                <w:szCs w:val="20"/>
                <w:color w:val="auto"/>
              </w:rPr>
            </w:pPr>
            <w:r>
              <w:rPr>
                <w:rFonts w:ascii="Arial" w:cs="Arial" w:eastAsia="Arial" w:hAnsi="Arial"/>
                <w:sz w:val="18"/>
                <w:szCs w:val="18"/>
                <w:color w:val="0000FF"/>
              </w:rPr>
              <w:t>Consolidated Statements of Comprehensive Loss</w:t>
            </w:r>
          </w:p>
        </w:tc>
        <w:tc>
          <w:tcPr>
            <w:tcW w:w="6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2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10600" w:type="dxa"/>
            <w:vAlign w:val="bottom"/>
            <w:gridSpan w:val="9"/>
          </w:tcPr>
          <w:p>
            <w:pPr>
              <w:spacing w:after="0"/>
              <w:rPr>
                <w:sz w:val="20"/>
                <w:szCs w:val="20"/>
                <w:color w:val="auto"/>
              </w:rPr>
            </w:pPr>
            <w:r>
              <w:rPr>
                <w:rFonts w:ascii="Arial" w:cs="Arial" w:eastAsia="Arial" w:hAnsi="Arial"/>
                <w:sz w:val="18"/>
                <w:szCs w:val="18"/>
                <w:color w:val="0000FF"/>
              </w:rPr>
              <w:t>Consolidated Statements of Redeemable Convertible Preferred Stock and Stockholders’ Equity (Deficit)</w:t>
            </w:r>
          </w:p>
        </w:tc>
        <w:tc>
          <w:tcPr>
            <w:tcW w:w="6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2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300" w:type="dxa"/>
            <w:vAlign w:val="bottom"/>
            <w:shd w:val="clear" w:color="auto" w:fill="0000FF"/>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10600" w:type="dxa"/>
            <w:vAlign w:val="bottom"/>
            <w:gridSpan w:val="9"/>
          </w:tcPr>
          <w:p>
            <w:pPr>
              <w:spacing w:after="0"/>
              <w:rPr>
                <w:sz w:val="20"/>
                <w:szCs w:val="20"/>
                <w:color w:val="auto"/>
              </w:rPr>
            </w:pPr>
            <w:r>
              <w:rPr>
                <w:rFonts w:ascii="Arial" w:cs="Arial" w:eastAsia="Arial" w:hAnsi="Arial"/>
                <w:sz w:val="18"/>
                <w:szCs w:val="18"/>
                <w:color w:val="0000FF"/>
              </w:rPr>
              <w:t>Consolidated Statements of Cash Flows</w:t>
            </w:r>
          </w:p>
        </w:tc>
        <w:tc>
          <w:tcPr>
            <w:tcW w:w="6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shd w:val="clear" w:color="auto" w:fill="0000EE"/>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3"/>
        </w:trPr>
        <w:tc>
          <w:tcPr>
            <w:tcW w:w="10600" w:type="dxa"/>
            <w:vAlign w:val="bottom"/>
            <w:gridSpan w:val="9"/>
          </w:tcPr>
          <w:p>
            <w:pPr>
              <w:spacing w:after="0"/>
              <w:rPr>
                <w:sz w:val="20"/>
                <w:szCs w:val="20"/>
                <w:color w:val="auto"/>
              </w:rPr>
            </w:pPr>
            <w:r>
              <w:rPr>
                <w:rFonts w:ascii="Arial" w:cs="Arial" w:eastAsia="Arial" w:hAnsi="Arial"/>
                <w:sz w:val="18"/>
                <w:szCs w:val="18"/>
                <w:color w:val="0000FF"/>
              </w:rPr>
              <w:t>Notes to Consolidated Financial Statements</w:t>
            </w:r>
          </w:p>
        </w:tc>
        <w:tc>
          <w:tcPr>
            <w:tcW w:w="6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0"/>
        </w:trPr>
        <w:tc>
          <w:tcPr>
            <w:tcW w:w="20" w:type="dxa"/>
            <w:vAlign w:val="bottom"/>
            <w:shd w:val="clear" w:color="auto" w:fill="0000EE"/>
          </w:tcPr>
          <w:p>
            <w:pPr>
              <w:spacing w:after="0" w:line="20" w:lineRule="exact"/>
              <w:rPr>
                <w:sz w:val="1"/>
                <w:szCs w:val="1"/>
                <w:color w:val="auto"/>
              </w:rPr>
            </w:pPr>
          </w:p>
        </w:tc>
        <w:tc>
          <w:tcPr>
            <w:tcW w:w="208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500" w:hanging="743"/>
        <w:spacing w:after="0"/>
        <w:tabs>
          <w:tab w:leader="none" w:pos="15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25" w:lineRule="exact"/>
        <w:rPr>
          <w:sz w:val="20"/>
          <w:szCs w:val="20"/>
          <w:color w:val="auto"/>
        </w:rPr>
      </w:pPr>
    </w:p>
    <w:p>
      <w:pPr>
        <w:ind w:right="360" w:firstLine="509"/>
        <w:spacing w:after="0" w:line="277"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notes thereto.</w:t>
      </w:r>
    </w:p>
    <w:p>
      <w:pPr>
        <w:spacing w:after="0" w:line="278" w:lineRule="exact"/>
        <w:rPr>
          <w:sz w:val="20"/>
          <w:szCs w:val="20"/>
          <w:color w:val="auto"/>
        </w:rPr>
      </w:pPr>
    </w:p>
    <w:p>
      <w:pPr>
        <w:ind w:left="1500" w:hanging="743"/>
        <w:spacing w:after="0"/>
        <w:tabs>
          <w:tab w:leader="none" w:pos="1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following “Exhibit Index” are filed, furnished or incorporated by reference as part of this Annual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40" w:type="dxa"/>
            <w:vAlign w:val="bottom"/>
            <w:gridSpan w:val="7"/>
          </w:tcPr>
          <w:p>
            <w:pPr>
              <w:jc w:val="center"/>
              <w:ind w:right="1340"/>
              <w:spacing w:after="0"/>
              <w:rPr>
                <w:sz w:val="20"/>
                <w:szCs w:val="20"/>
                <w:color w:val="auto"/>
              </w:rPr>
            </w:pPr>
            <w:r>
              <w:rPr>
                <w:rFonts w:ascii="Arial" w:cs="Arial" w:eastAsia="Arial" w:hAnsi="Arial"/>
                <w:sz w:val="18"/>
                <w:szCs w:val="18"/>
                <w:b w:val="1"/>
                <w:bCs w:val="1"/>
                <w:color w:val="auto"/>
                <w:w w:val="94"/>
              </w:rPr>
              <w:t>Exhibit Index</w:t>
            </w: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7"/>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3"/>
          </w:tcPr>
          <w:p>
            <w:pPr>
              <w:ind w:left="280"/>
              <w:spacing w:after="0"/>
              <w:rPr>
                <w:sz w:val="20"/>
                <w:szCs w:val="20"/>
                <w:color w:val="auto"/>
              </w:rPr>
            </w:pPr>
            <w:r>
              <w:rPr>
                <w:rFonts w:ascii="Arial" w:cs="Arial" w:eastAsia="Arial" w:hAnsi="Arial"/>
                <w:sz w:val="18"/>
                <w:szCs w:val="18"/>
                <w:b w:val="1"/>
                <w:bCs w:val="1"/>
                <w:color w:val="auto"/>
              </w:rPr>
              <w:t>Incorporated by reference</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Exhibit</w:t>
            </w: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gridSpan w:val="2"/>
            <w:vMerge w:val="restart"/>
          </w:tcPr>
          <w:p>
            <w:pPr>
              <w:jc w:val="center"/>
              <w:ind w:left="10"/>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number</w:t>
            </w:r>
          </w:p>
        </w:tc>
        <w:tc>
          <w:tcPr>
            <w:tcW w:w="12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200" w:type="dxa"/>
            <w:vAlign w:val="bottom"/>
            <w:tcBorders>
              <w:bottom w:val="single" w:sz="8" w:color="auto"/>
            </w:tcBorders>
            <w:gridSpan w:val="12"/>
          </w:tcPr>
          <w:p>
            <w:pPr>
              <w:ind w:left="80"/>
              <w:spacing w:after="0"/>
              <w:rPr>
                <w:sz w:val="20"/>
                <w:szCs w:val="20"/>
                <w:color w:val="auto"/>
              </w:rPr>
            </w:pPr>
            <w:r>
              <w:rPr>
                <w:rFonts w:ascii="Arial" w:cs="Arial" w:eastAsia="Arial" w:hAnsi="Arial"/>
                <w:sz w:val="18"/>
                <w:szCs w:val="18"/>
                <w:b w:val="1"/>
                <w:bCs w:val="1"/>
                <w:color w:val="auto"/>
              </w:rPr>
              <w:t>Exhibit description</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Form</w:t>
            </w: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Date</w:t>
            </w: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Number</w:t>
            </w:r>
          </w:p>
        </w:tc>
        <w:tc>
          <w:tcPr>
            <w:tcW w:w="1060" w:type="dxa"/>
            <w:vAlign w:val="bottom"/>
            <w:tcBorders>
              <w:bottom w:val="single" w:sz="8" w:color="auto"/>
            </w:tcBorders>
            <w:gridSpan w:val="2"/>
          </w:tcPr>
          <w:p>
            <w:pPr>
              <w:jc w:val="center"/>
              <w:ind w:left="10"/>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432"/>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3.1</w:t>
            </w:r>
          </w:p>
        </w:tc>
        <w:tc>
          <w:tcPr>
            <w:tcW w:w="6600" w:type="dxa"/>
            <w:vAlign w:val="bottom"/>
            <w:gridSpan w:val="15"/>
          </w:tcPr>
          <w:p>
            <w:pPr>
              <w:spacing w:after="0"/>
              <w:rPr>
                <w:rFonts w:ascii="Arial" w:cs="Arial" w:eastAsia="Arial" w:hAnsi="Arial"/>
                <w:sz w:val="18"/>
                <w:szCs w:val="18"/>
                <w:color w:val="0000FF"/>
              </w:rPr>
            </w:pPr>
            <w:hyperlink r:id="rId372">
              <w:r>
                <w:rPr>
                  <w:rFonts w:ascii="Arial" w:cs="Arial" w:eastAsia="Arial" w:hAnsi="Arial"/>
                  <w:sz w:val="18"/>
                  <w:szCs w:val="18"/>
                  <w:color w:val="0000FF"/>
                </w:rPr>
                <w:t>Amended and Restated Certificate of Incorporation.</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2/18/2020</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gridSpan w:val="2"/>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3.2</w:t>
            </w:r>
          </w:p>
        </w:tc>
        <w:tc>
          <w:tcPr>
            <w:tcW w:w="6600" w:type="dxa"/>
            <w:vAlign w:val="bottom"/>
            <w:gridSpan w:val="15"/>
          </w:tcPr>
          <w:p>
            <w:pPr>
              <w:spacing w:after="0"/>
              <w:rPr>
                <w:rFonts w:ascii="Arial" w:cs="Arial" w:eastAsia="Arial" w:hAnsi="Arial"/>
                <w:sz w:val="18"/>
                <w:szCs w:val="18"/>
                <w:color w:val="0000FF"/>
              </w:rPr>
            </w:pPr>
            <w:hyperlink r:id="rId373">
              <w:r>
                <w:rPr>
                  <w:rFonts w:ascii="Arial" w:cs="Arial" w:eastAsia="Arial" w:hAnsi="Arial"/>
                  <w:sz w:val="18"/>
                  <w:szCs w:val="18"/>
                  <w:color w:val="0000FF"/>
                </w:rPr>
                <w:t>Amended and Restated Bylaws.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3/8/2021</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gridSpan w:val="2"/>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4.1</w:t>
            </w:r>
          </w:p>
        </w:tc>
        <w:tc>
          <w:tcPr>
            <w:tcW w:w="6600" w:type="dxa"/>
            <w:vAlign w:val="bottom"/>
            <w:gridSpan w:val="15"/>
          </w:tcPr>
          <w:p>
            <w:pPr>
              <w:spacing w:after="0"/>
              <w:rPr>
                <w:rFonts w:ascii="Arial" w:cs="Arial" w:eastAsia="Arial" w:hAnsi="Arial"/>
                <w:sz w:val="18"/>
                <w:szCs w:val="18"/>
                <w:color w:val="auto"/>
              </w:rPr>
            </w:pPr>
            <w:r>
              <w:rPr>
                <w:rFonts w:ascii="Arial" w:cs="Arial" w:eastAsia="Arial" w:hAnsi="Arial"/>
                <w:sz w:val="18"/>
                <w:szCs w:val="18"/>
                <w:color w:val="auto"/>
              </w:rPr>
              <w:t xml:space="preserve">Reference is made to Exhibits </w:t>
            </w:r>
            <w:hyperlink r:id="rId374">
              <w:r>
                <w:rPr>
                  <w:rFonts w:ascii="Arial" w:cs="Arial" w:eastAsia="Arial" w:hAnsi="Arial"/>
                  <w:sz w:val="18"/>
                  <w:szCs w:val="18"/>
                  <w:color w:val="0000FF"/>
                </w:rPr>
                <w:t>3.1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through </w:t>
            </w:r>
            <w:hyperlink r:id="rId375">
              <w:r>
                <w:rPr>
                  <w:rFonts w:ascii="Arial" w:cs="Arial" w:eastAsia="Arial" w:hAnsi="Arial"/>
                  <w:sz w:val="18"/>
                  <w:szCs w:val="18"/>
                  <w:color w:val="0000FF"/>
                </w:rPr>
                <w:t>3.2.</w:t>
              </w:r>
            </w:hyperlink>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80" w:type="dxa"/>
            <w:vAlign w:val="bottom"/>
            <w:tcBorders>
              <w:right w:val="single" w:sz="8" w:color="0000FF"/>
            </w:tcBorders>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4.2</w:t>
            </w:r>
          </w:p>
        </w:tc>
        <w:tc>
          <w:tcPr>
            <w:tcW w:w="6600" w:type="dxa"/>
            <w:vAlign w:val="bottom"/>
            <w:gridSpan w:val="15"/>
          </w:tcPr>
          <w:p>
            <w:pPr>
              <w:spacing w:after="0"/>
              <w:rPr>
                <w:rFonts w:ascii="Arial" w:cs="Arial" w:eastAsia="Arial" w:hAnsi="Arial"/>
                <w:sz w:val="18"/>
                <w:szCs w:val="18"/>
                <w:color w:val="0000FF"/>
              </w:rPr>
            </w:pPr>
            <w:hyperlink r:id="rId376">
              <w:r>
                <w:rPr>
                  <w:rFonts w:ascii="Arial" w:cs="Arial" w:eastAsia="Arial" w:hAnsi="Arial"/>
                  <w:sz w:val="18"/>
                  <w:szCs w:val="18"/>
                  <w:color w:val="0000FF"/>
                </w:rPr>
                <w:t>Form of Common Stock Certificate.</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85"/>
              </w:rPr>
              <w:t>S-1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1/17/2020</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gridSpan w:val="2"/>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4.3</w:t>
            </w:r>
          </w:p>
        </w:tc>
        <w:tc>
          <w:tcPr>
            <w:tcW w:w="6600" w:type="dxa"/>
            <w:vAlign w:val="bottom"/>
            <w:gridSpan w:val="15"/>
          </w:tcPr>
          <w:p>
            <w:pPr>
              <w:spacing w:after="0"/>
              <w:rPr>
                <w:rFonts w:ascii="Arial" w:cs="Arial" w:eastAsia="Arial" w:hAnsi="Arial"/>
                <w:sz w:val="18"/>
                <w:szCs w:val="18"/>
                <w:color w:val="0000FF"/>
              </w:rPr>
            </w:pPr>
            <w:hyperlink r:id="rId377">
              <w:r>
                <w:rPr>
                  <w:rFonts w:ascii="Arial" w:cs="Arial" w:eastAsia="Arial" w:hAnsi="Arial"/>
                  <w:sz w:val="18"/>
                  <w:szCs w:val="18"/>
                  <w:color w:val="0000FF"/>
                </w:rPr>
                <w:t>Description of Common Stock.</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02/28/2022</w:t>
            </w: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4.3</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gridSpan w:val="2"/>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10.1A†</w:t>
            </w:r>
          </w:p>
        </w:tc>
        <w:tc>
          <w:tcPr>
            <w:tcW w:w="6600" w:type="dxa"/>
            <w:vAlign w:val="bottom"/>
            <w:gridSpan w:val="15"/>
          </w:tcPr>
          <w:p>
            <w:pPr>
              <w:spacing w:after="0"/>
              <w:rPr>
                <w:rFonts w:ascii="Arial" w:cs="Arial" w:eastAsia="Arial" w:hAnsi="Arial"/>
                <w:sz w:val="18"/>
                <w:szCs w:val="18"/>
                <w:color w:val="0000FF"/>
                <w:w w:val="96"/>
              </w:rPr>
            </w:pPr>
            <w:hyperlink r:id="rId378">
              <w:r>
                <w:rPr>
                  <w:rFonts w:ascii="Arial" w:cs="Arial" w:eastAsia="Arial" w:hAnsi="Arial"/>
                  <w:sz w:val="18"/>
                  <w:szCs w:val="18"/>
                  <w:color w:val="0000FF"/>
                  <w:w w:val="96"/>
                </w:rPr>
                <w:t>Collaborative Research, Development and Commercialization Agreement, dated as of</w:t>
              </w:r>
            </w:hyperlink>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700" w:type="dxa"/>
            <w:vAlign w:val="bottom"/>
            <w:tcBorders>
              <w:right w:val="single" w:sz="8" w:color="0000FF"/>
            </w:tcBorders>
            <w:gridSpan w:val="7"/>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0" w:type="dxa"/>
            <w:vAlign w:val="bottom"/>
            <w:gridSpan w:val="15"/>
          </w:tcPr>
          <w:p>
            <w:pPr>
              <w:spacing w:after="0" w:line="196" w:lineRule="exact"/>
              <w:rPr>
                <w:rFonts w:ascii="Arial" w:cs="Arial" w:eastAsia="Arial" w:hAnsi="Arial"/>
                <w:sz w:val="18"/>
                <w:szCs w:val="18"/>
                <w:color w:val="0000FF"/>
                <w:w w:val="92"/>
              </w:rPr>
            </w:pPr>
            <w:hyperlink r:id="rId378">
              <w:r>
                <w:rPr>
                  <w:rFonts w:ascii="Arial" w:cs="Arial" w:eastAsia="Arial" w:hAnsi="Arial"/>
                  <w:sz w:val="18"/>
                  <w:szCs w:val="18"/>
                  <w:color w:val="0000FF"/>
                  <w:w w:val="92"/>
                </w:rPr>
                <w:t>June 8, 2018, by and between Revolution Medicines, Inc. and Aventis, Inc., as amended.</w:t>
              </w:r>
            </w:hyperlink>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1/17/2020</w:t>
            </w: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1"/>
              </w:rPr>
              <w:t>10.1</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gridSpan w:val="2"/>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700" w:type="dxa"/>
            <w:vAlign w:val="bottom"/>
            <w:tcBorders>
              <w:right w:val="single" w:sz="8" w:color="0000FF"/>
            </w:tcBorders>
            <w:gridSpan w:val="7"/>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10.1B†</w:t>
            </w:r>
          </w:p>
        </w:tc>
        <w:tc>
          <w:tcPr>
            <w:tcW w:w="6600" w:type="dxa"/>
            <w:vAlign w:val="bottom"/>
            <w:gridSpan w:val="15"/>
          </w:tcPr>
          <w:p>
            <w:pPr>
              <w:spacing w:after="0"/>
              <w:rPr>
                <w:rFonts w:ascii="Arial" w:cs="Arial" w:eastAsia="Arial" w:hAnsi="Arial"/>
                <w:sz w:val="18"/>
                <w:szCs w:val="18"/>
                <w:color w:val="0000FF"/>
              </w:rPr>
            </w:pPr>
            <w:hyperlink r:id="rId379">
              <w:r>
                <w:rPr>
                  <w:rFonts w:ascii="Arial" w:cs="Arial" w:eastAsia="Arial" w:hAnsi="Arial"/>
                  <w:sz w:val="18"/>
                  <w:szCs w:val="18"/>
                  <w:color w:val="0000FF"/>
                </w:rPr>
                <w:t>Letter Agreement and Amendment, dated as of August 5, 2021 by and between</w:t>
              </w:r>
            </w:hyperlink>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700" w:type="dxa"/>
            <w:vAlign w:val="bottom"/>
            <w:tcBorders>
              <w:right w:val="single" w:sz="8" w:color="0000FF"/>
            </w:tcBorders>
            <w:gridSpan w:val="7"/>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0" w:type="dxa"/>
            <w:vAlign w:val="bottom"/>
            <w:gridSpan w:val="15"/>
          </w:tcPr>
          <w:p>
            <w:pPr>
              <w:spacing w:after="0" w:line="196" w:lineRule="exact"/>
              <w:rPr>
                <w:rFonts w:ascii="Arial" w:cs="Arial" w:eastAsia="Arial" w:hAnsi="Arial"/>
                <w:sz w:val="18"/>
                <w:szCs w:val="18"/>
                <w:color w:val="0000FF"/>
              </w:rPr>
            </w:pPr>
            <w:hyperlink r:id="rId379">
              <w:r>
                <w:rPr>
                  <w:rFonts w:ascii="Arial" w:cs="Arial" w:eastAsia="Arial" w:hAnsi="Arial"/>
                  <w:sz w:val="18"/>
                  <w:szCs w:val="18"/>
                  <w:color w:val="0000FF"/>
                </w:rPr>
                <w:t>Revolution Medicines, Inc. and Genzyme Corporation.</w:t>
              </w:r>
            </w:hyperlink>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9"/>
              </w:rPr>
              <w:t>10-Q</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8/11/2021</w:t>
            </w: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gridSpan w:val="2"/>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700" w:type="dxa"/>
            <w:vAlign w:val="bottom"/>
            <w:tcBorders>
              <w:right w:val="single" w:sz="8" w:color="0000EE"/>
            </w:tcBorders>
            <w:gridSpan w:val="7"/>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6600" w:type="dxa"/>
            <w:vAlign w:val="bottom"/>
            <w:gridSpan w:val="15"/>
          </w:tcPr>
          <w:p>
            <w:pPr>
              <w:spacing w:after="0"/>
              <w:rPr>
                <w:rFonts w:ascii="Arial" w:cs="Arial" w:eastAsia="Arial" w:hAnsi="Arial"/>
                <w:sz w:val="18"/>
                <w:szCs w:val="18"/>
                <w:color w:val="0000FF"/>
                <w:w w:val="95"/>
              </w:rPr>
            </w:pPr>
            <w:hyperlink r:id="rId380">
              <w:r>
                <w:rPr>
                  <w:rFonts w:ascii="Arial" w:cs="Arial" w:eastAsia="Arial" w:hAnsi="Arial"/>
                  <w:sz w:val="18"/>
                  <w:szCs w:val="18"/>
                  <w:color w:val="0000FF"/>
                  <w:w w:val="95"/>
                </w:rPr>
                <w:t>Amended and Restated Investors’ Rights Agreement, dated as of June 5, 2019, by and</w:t>
              </w:r>
            </w:hyperlink>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520" w:type="dxa"/>
            <w:vAlign w:val="bottom"/>
            <w:tcBorders>
              <w:right w:val="single" w:sz="8" w:color="0000FF"/>
            </w:tcBorders>
            <w:gridSpan w:val="8"/>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0" w:type="dxa"/>
            <w:vAlign w:val="bottom"/>
            <w:gridSpan w:val="15"/>
          </w:tcPr>
          <w:p>
            <w:pPr>
              <w:spacing w:after="0" w:line="196" w:lineRule="exact"/>
              <w:rPr>
                <w:rFonts w:ascii="Arial" w:cs="Arial" w:eastAsia="Arial" w:hAnsi="Arial"/>
                <w:sz w:val="18"/>
                <w:szCs w:val="18"/>
                <w:color w:val="0000FF"/>
              </w:rPr>
            </w:pPr>
            <w:hyperlink r:id="rId380">
              <w:r>
                <w:rPr>
                  <w:rFonts w:ascii="Arial" w:cs="Arial" w:eastAsia="Arial" w:hAnsi="Arial"/>
                  <w:sz w:val="18"/>
                  <w:szCs w:val="18"/>
                  <w:color w:val="0000FF"/>
                </w:rPr>
                <w:t>among Revolution Medicines, Inc. and the investors listed therein.</w:t>
              </w:r>
            </w:hyperlink>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1/17/2020</w:t>
            </w: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1"/>
              </w:rPr>
              <w:t>10.2</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Borders>
              <w:right w:val="single" w:sz="8" w:color="0000EE"/>
            </w:tcBorders>
            <w:gridSpan w:val="2"/>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520" w:type="dxa"/>
            <w:vAlign w:val="bottom"/>
            <w:tcBorders>
              <w:right w:val="single" w:sz="8" w:color="0000EE"/>
            </w:tcBorders>
            <w:gridSpan w:val="8"/>
            <w:shd w:val="clear" w:color="auto" w:fill="0000FF"/>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20" w:type="dxa"/>
            <w:vAlign w:val="bottom"/>
            <w:gridSpan w:val="2"/>
          </w:tcPr>
          <w:p>
            <w:pPr>
              <w:ind w:left="20"/>
              <w:spacing w:after="0"/>
              <w:rPr>
                <w:sz w:val="20"/>
                <w:szCs w:val="20"/>
                <w:color w:val="auto"/>
              </w:rPr>
            </w:pPr>
            <w:r>
              <w:rPr>
                <w:rFonts w:ascii="Arial" w:cs="Arial" w:eastAsia="Arial" w:hAnsi="Arial"/>
                <w:sz w:val="18"/>
                <w:szCs w:val="18"/>
                <w:color w:val="auto"/>
              </w:rPr>
              <w:t>10.3A</w:t>
            </w:r>
          </w:p>
        </w:tc>
        <w:tc>
          <w:tcPr>
            <w:tcW w:w="6600" w:type="dxa"/>
            <w:vAlign w:val="bottom"/>
            <w:gridSpan w:val="15"/>
          </w:tcPr>
          <w:p>
            <w:pPr>
              <w:spacing w:after="0"/>
              <w:rPr>
                <w:rFonts w:ascii="Arial" w:cs="Arial" w:eastAsia="Arial" w:hAnsi="Arial"/>
                <w:sz w:val="18"/>
                <w:szCs w:val="18"/>
                <w:color w:val="0000FF"/>
                <w:w w:val="93"/>
              </w:rPr>
            </w:pPr>
            <w:hyperlink r:id="rId381">
              <w:r>
                <w:rPr>
                  <w:rFonts w:ascii="Arial" w:cs="Arial" w:eastAsia="Arial" w:hAnsi="Arial"/>
                  <w:sz w:val="18"/>
                  <w:szCs w:val="18"/>
                  <w:color w:val="0000FF"/>
                  <w:w w:val="93"/>
                </w:rPr>
                <w:t>Lease between HCP LS Redwood City, LLC and Revolution Medicines, Inc., dated as of</w:t>
              </w:r>
            </w:hyperlink>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160" w:type="dxa"/>
            <w:vAlign w:val="bottom"/>
            <w:gridSpan w:val="1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0" w:type="dxa"/>
            <w:vAlign w:val="bottom"/>
            <w:gridSpan w:val="15"/>
          </w:tcPr>
          <w:p>
            <w:pPr>
              <w:spacing w:after="0" w:line="196" w:lineRule="exact"/>
              <w:rPr>
                <w:rFonts w:ascii="Arial" w:cs="Arial" w:eastAsia="Arial" w:hAnsi="Arial"/>
                <w:sz w:val="18"/>
                <w:szCs w:val="18"/>
                <w:color w:val="0000FF"/>
              </w:rPr>
            </w:pPr>
            <w:hyperlink r:id="rId381">
              <w:r>
                <w:rPr>
                  <w:rFonts w:ascii="Arial" w:cs="Arial" w:eastAsia="Arial" w:hAnsi="Arial"/>
                  <w:sz w:val="18"/>
                  <w:szCs w:val="18"/>
                  <w:color w:val="0000FF"/>
                </w:rPr>
                <w:t>January 15, 2015.</w:t>
              </w:r>
            </w:hyperlink>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85"/>
              </w:rPr>
              <w:t>S-1</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89"/>
              </w:rPr>
              <w:t>1/17/2020</w:t>
            </w:r>
          </w:p>
        </w:tc>
        <w:tc>
          <w:tcPr>
            <w:tcW w:w="860" w:type="dxa"/>
            <w:vAlign w:val="bottom"/>
          </w:tcPr>
          <w:p>
            <w:pPr>
              <w:jc w:val="center"/>
              <w:spacing w:after="0" w:line="196" w:lineRule="exact"/>
              <w:rPr>
                <w:sz w:val="20"/>
                <w:szCs w:val="20"/>
                <w:color w:val="auto"/>
              </w:rPr>
            </w:pPr>
            <w:r>
              <w:rPr>
                <w:rFonts w:ascii="Arial" w:cs="Arial" w:eastAsia="Arial" w:hAnsi="Arial"/>
                <w:sz w:val="18"/>
                <w:szCs w:val="18"/>
                <w:color w:val="auto"/>
                <w:w w:val="93"/>
              </w:rPr>
              <w:t>10.3A</w:t>
            </w: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60" w:type="dxa"/>
            <w:vAlign w:val="bottom"/>
            <w:tcBorders>
              <w:top w:val="single" w:sz="8" w:color="0000FF"/>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780" w:type="dxa"/>
            <w:vAlign w:val="bottom"/>
            <w:gridSpan w:val="9"/>
          </w:tcPr>
          <w:p>
            <w:pPr>
              <w:jc w:val="right"/>
              <w:spacing w:after="0"/>
              <w:rPr>
                <w:sz w:val="20"/>
                <w:szCs w:val="20"/>
                <w:color w:val="auto"/>
              </w:rPr>
            </w:pPr>
            <w:r>
              <w:rPr>
                <w:rFonts w:ascii="Arial" w:cs="Arial" w:eastAsia="Arial" w:hAnsi="Arial"/>
                <w:sz w:val="18"/>
                <w:szCs w:val="18"/>
                <w:color w:val="auto"/>
              </w:rPr>
              <w:t>124</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gridSpan w:val="4"/>
          </w:tcPr>
          <w:p>
            <w:pPr>
              <w:ind w:left="28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27"/>
        </w:trPr>
        <w:tc>
          <w:tcPr>
            <w:tcW w:w="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Exhibit</w:t>
            </w:r>
          </w:p>
        </w:tc>
        <w:tc>
          <w:tcPr>
            <w:tcW w:w="300" w:type="dxa"/>
            <w:vAlign w:val="bottom"/>
          </w:tcPr>
          <w:p>
            <w:pPr>
              <w:spacing w:after="0"/>
              <w:rPr>
                <w:sz w:val="2"/>
                <w:szCs w:val="2"/>
                <w:color w:val="auto"/>
              </w:rPr>
            </w:pPr>
          </w:p>
        </w:tc>
        <w:tc>
          <w:tcPr>
            <w:tcW w:w="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96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Filed</w:t>
            </w:r>
          </w:p>
        </w:tc>
        <w:tc>
          <w:tcPr>
            <w:tcW w:w="0" w:type="dxa"/>
            <w:vAlign w:val="bottom"/>
          </w:tcPr>
          <w:p>
            <w:pPr>
              <w:spacing w:after="0"/>
              <w:rPr>
                <w:sz w:val="1"/>
                <w:szCs w:val="1"/>
                <w:color w:val="auto"/>
              </w:rPr>
            </w:pPr>
          </w:p>
        </w:tc>
      </w:tr>
      <w:tr>
        <w:trPr>
          <w:trHeight w:val="191"/>
        </w:trPr>
        <w:tc>
          <w:tcPr>
            <w:tcW w:w="98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9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number</w:t>
            </w: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720" w:type="dxa"/>
            <w:vAlign w:val="bottom"/>
            <w:tcBorders>
              <w:bottom w:val="single" w:sz="8" w:color="auto"/>
            </w:tcBorders>
            <w:gridSpan w:val="19"/>
          </w:tcPr>
          <w:p>
            <w:pPr>
              <w:ind w:left="540"/>
              <w:spacing w:after="0"/>
              <w:rPr>
                <w:sz w:val="20"/>
                <w:szCs w:val="20"/>
                <w:color w:val="auto"/>
              </w:rPr>
            </w:pPr>
            <w:r>
              <w:rPr>
                <w:rFonts w:ascii="Arial" w:cs="Arial" w:eastAsia="Arial" w:hAnsi="Arial"/>
                <w:sz w:val="18"/>
                <w:szCs w:val="18"/>
                <w:b w:val="1"/>
                <w:bCs w:val="1"/>
                <w:color w:val="auto"/>
              </w:rPr>
              <w:t>Exhibit description</w:t>
            </w: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Form</w:t>
            </w:r>
          </w:p>
        </w:tc>
        <w:tc>
          <w:tcPr>
            <w:tcW w:w="10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Date</w:t>
            </w:r>
          </w:p>
        </w:tc>
        <w:tc>
          <w:tcPr>
            <w:tcW w:w="178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Number  herewith</w:t>
            </w:r>
          </w:p>
        </w:tc>
        <w:tc>
          <w:tcPr>
            <w:tcW w:w="0" w:type="dxa"/>
            <w:vAlign w:val="bottom"/>
          </w:tcPr>
          <w:p>
            <w:pPr>
              <w:spacing w:after="0"/>
              <w:rPr>
                <w:sz w:val="1"/>
                <w:szCs w:val="1"/>
                <w:color w:val="auto"/>
              </w:rPr>
            </w:pPr>
          </w:p>
        </w:tc>
      </w:tr>
      <w:tr>
        <w:trPr>
          <w:trHeight w:val="432"/>
        </w:trPr>
        <w:tc>
          <w:tcPr>
            <w:tcW w:w="980" w:type="dxa"/>
            <w:vAlign w:val="bottom"/>
          </w:tcPr>
          <w:p>
            <w:pPr>
              <w:ind w:left="20"/>
              <w:spacing w:after="0"/>
              <w:rPr>
                <w:sz w:val="20"/>
                <w:szCs w:val="20"/>
                <w:color w:val="auto"/>
              </w:rPr>
            </w:pPr>
            <w:r>
              <w:rPr>
                <w:rFonts w:ascii="Arial" w:cs="Arial" w:eastAsia="Arial" w:hAnsi="Arial"/>
                <w:sz w:val="18"/>
                <w:szCs w:val="18"/>
                <w:color w:val="auto"/>
              </w:rPr>
              <w:t>10.3B</w:t>
            </w:r>
          </w:p>
        </w:tc>
        <w:tc>
          <w:tcPr>
            <w:tcW w:w="6440" w:type="dxa"/>
            <w:vAlign w:val="bottom"/>
            <w:tcBorders>
              <w:bottom w:val="single" w:sz="8" w:color="0000FF"/>
            </w:tcBorders>
            <w:gridSpan w:val="18"/>
          </w:tcPr>
          <w:p>
            <w:pPr>
              <w:spacing w:after="0"/>
              <w:rPr>
                <w:rFonts w:ascii="Arial" w:cs="Arial" w:eastAsia="Arial" w:hAnsi="Arial"/>
                <w:sz w:val="18"/>
                <w:szCs w:val="18"/>
                <w:color w:val="0000FF"/>
                <w:w w:val="91"/>
              </w:rPr>
            </w:pPr>
            <w:hyperlink r:id="rId384">
              <w:r>
                <w:rPr>
                  <w:rFonts w:ascii="Arial" w:cs="Arial" w:eastAsia="Arial" w:hAnsi="Arial"/>
                  <w:sz w:val="18"/>
                  <w:szCs w:val="18"/>
                  <w:color w:val="0000FF"/>
                  <w:w w:val="91"/>
                </w:rPr>
                <w:t>First Amendment to Lease by and between HCP LS Redwood City, LLC and Revolution</w:t>
              </w:r>
            </w:hyperlink>
          </w:p>
        </w:tc>
        <w:tc>
          <w:tcPr>
            <w:tcW w:w="300" w:type="dxa"/>
            <w:vAlign w:val="bottom"/>
            <w:gridSpan w:val="6"/>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740" w:type="dxa"/>
            <w:vAlign w:val="bottom"/>
            <w:gridSpan w:val="24"/>
          </w:tcPr>
          <w:p>
            <w:pPr>
              <w:spacing w:after="0" w:line="196" w:lineRule="exact"/>
              <w:rPr>
                <w:rFonts w:ascii="Arial" w:cs="Arial" w:eastAsia="Arial" w:hAnsi="Arial"/>
                <w:sz w:val="18"/>
                <w:szCs w:val="18"/>
                <w:color w:val="0000FF"/>
              </w:rPr>
            </w:pPr>
            <w:hyperlink r:id="rId384">
              <w:r>
                <w:rPr>
                  <w:rFonts w:ascii="Arial" w:cs="Arial" w:eastAsia="Arial" w:hAnsi="Arial"/>
                  <w:sz w:val="18"/>
                  <w:szCs w:val="18"/>
                  <w:color w:val="0000FF"/>
                </w:rPr>
                <w:t>Medicines, Inc., dated as of September 16, 2016.</w:t>
              </w:r>
            </w:hyperlink>
          </w:p>
        </w:tc>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5"/>
              </w:rPr>
              <w:t>S-1</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2"/>
              </w:rPr>
              <w:t>1/17/2020</w:t>
            </w:r>
          </w:p>
        </w:tc>
        <w:tc>
          <w:tcPr>
            <w:tcW w:w="1780" w:type="dxa"/>
            <w:vAlign w:val="bottom"/>
            <w:gridSpan w:val="2"/>
          </w:tcPr>
          <w:p>
            <w:pPr>
              <w:jc w:val="center"/>
              <w:ind w:right="830"/>
              <w:spacing w:after="0" w:line="196" w:lineRule="exact"/>
              <w:rPr>
                <w:sz w:val="20"/>
                <w:szCs w:val="20"/>
                <w:color w:val="auto"/>
              </w:rPr>
            </w:pPr>
            <w:r>
              <w:rPr>
                <w:rFonts w:ascii="Arial" w:cs="Arial" w:eastAsia="Arial" w:hAnsi="Arial"/>
                <w:sz w:val="18"/>
                <w:szCs w:val="18"/>
                <w:color w:val="auto"/>
                <w:w w:val="89"/>
              </w:rPr>
              <w:t>10.3B</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10.3C</w:t>
            </w:r>
          </w:p>
        </w:tc>
        <w:tc>
          <w:tcPr>
            <w:tcW w:w="6480" w:type="dxa"/>
            <w:vAlign w:val="bottom"/>
            <w:tcBorders>
              <w:bottom w:val="single" w:sz="8" w:color="0000FF"/>
            </w:tcBorders>
            <w:gridSpan w:val="20"/>
          </w:tcPr>
          <w:p>
            <w:pPr>
              <w:spacing w:after="0"/>
              <w:rPr>
                <w:rFonts w:ascii="Arial" w:cs="Arial" w:eastAsia="Arial" w:hAnsi="Arial"/>
                <w:sz w:val="18"/>
                <w:szCs w:val="18"/>
                <w:color w:val="0000FF"/>
                <w:w w:val="90"/>
              </w:rPr>
            </w:pPr>
            <w:hyperlink r:id="rId385">
              <w:r>
                <w:rPr>
                  <w:rFonts w:ascii="Arial" w:cs="Arial" w:eastAsia="Arial" w:hAnsi="Arial"/>
                  <w:sz w:val="18"/>
                  <w:szCs w:val="18"/>
                  <w:color w:val="0000FF"/>
                  <w:w w:val="90"/>
                </w:rPr>
                <w:t>Sublease between OncoMed Pharmaceuticals, Inc. and Revolution Medicines, Inc., dated</w:t>
              </w:r>
            </w:hyperlink>
          </w:p>
        </w:tc>
        <w:tc>
          <w:tcPr>
            <w:tcW w:w="26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740" w:type="dxa"/>
            <w:vAlign w:val="bottom"/>
            <w:gridSpan w:val="24"/>
          </w:tcPr>
          <w:p>
            <w:pPr>
              <w:spacing w:after="0" w:line="196" w:lineRule="exact"/>
              <w:rPr>
                <w:rFonts w:ascii="Arial" w:cs="Arial" w:eastAsia="Arial" w:hAnsi="Arial"/>
                <w:sz w:val="18"/>
                <w:szCs w:val="18"/>
                <w:color w:val="0000FF"/>
              </w:rPr>
            </w:pPr>
            <w:hyperlink r:id="rId385">
              <w:r>
                <w:rPr>
                  <w:rFonts w:ascii="Arial" w:cs="Arial" w:eastAsia="Arial" w:hAnsi="Arial"/>
                  <w:sz w:val="18"/>
                  <w:szCs w:val="18"/>
                  <w:color w:val="0000FF"/>
                </w:rPr>
                <w:t>as of January 16, 2019.</w:t>
              </w:r>
            </w:hyperlink>
          </w:p>
        </w:tc>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5"/>
              </w:rPr>
              <w:t>S-1</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2"/>
              </w:rPr>
              <w:t>1/17/2020</w:t>
            </w:r>
          </w:p>
        </w:tc>
        <w:tc>
          <w:tcPr>
            <w:tcW w:w="1780" w:type="dxa"/>
            <w:vAlign w:val="bottom"/>
            <w:gridSpan w:val="2"/>
          </w:tcPr>
          <w:p>
            <w:pPr>
              <w:jc w:val="center"/>
              <w:ind w:right="830"/>
              <w:spacing w:after="0" w:line="196" w:lineRule="exact"/>
              <w:rPr>
                <w:sz w:val="20"/>
                <w:szCs w:val="20"/>
                <w:color w:val="auto"/>
              </w:rPr>
            </w:pPr>
            <w:r>
              <w:rPr>
                <w:rFonts w:ascii="Arial" w:cs="Arial" w:eastAsia="Arial" w:hAnsi="Arial"/>
                <w:sz w:val="18"/>
                <w:szCs w:val="18"/>
                <w:color w:val="auto"/>
                <w:w w:val="87"/>
              </w:rPr>
              <w:t>10.3C</w:t>
            </w:r>
          </w:p>
        </w:tc>
        <w:tc>
          <w:tcPr>
            <w:tcW w:w="0" w:type="dxa"/>
            <w:vAlign w:val="bottom"/>
          </w:tcPr>
          <w:p>
            <w:pPr>
              <w:spacing w:after="0"/>
              <w:rPr>
                <w:sz w:val="1"/>
                <w:szCs w:val="1"/>
                <w:color w:val="auto"/>
              </w:rPr>
            </w:pPr>
          </w:p>
        </w:tc>
      </w:tr>
      <w:tr>
        <w:trPr>
          <w:trHeight w:val="20"/>
        </w:trPr>
        <w:tc>
          <w:tcPr>
            <w:tcW w:w="980" w:type="dxa"/>
            <w:vAlign w:val="bottom"/>
            <w:vMerge w:val="restart"/>
          </w:tcPr>
          <w:p>
            <w:pPr>
              <w:ind w:left="20"/>
              <w:spacing w:after="0"/>
              <w:rPr>
                <w:sz w:val="20"/>
                <w:szCs w:val="20"/>
                <w:color w:val="auto"/>
              </w:rPr>
            </w:pPr>
            <w:r>
              <w:rPr>
                <w:rFonts w:ascii="Arial" w:cs="Arial" w:eastAsia="Arial" w:hAnsi="Arial"/>
                <w:sz w:val="18"/>
                <w:szCs w:val="18"/>
                <w:color w:val="auto"/>
              </w:rPr>
              <w:t>10.3D</w:t>
            </w: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980" w:type="dxa"/>
            <w:vAlign w:val="bottom"/>
            <w:vMerge w:val="continue"/>
          </w:tcPr>
          <w:p>
            <w:pPr>
              <w:spacing w:after="0"/>
              <w:rPr>
                <w:sz w:val="24"/>
                <w:szCs w:val="24"/>
                <w:color w:val="auto"/>
              </w:rPr>
            </w:pPr>
          </w:p>
        </w:tc>
        <w:tc>
          <w:tcPr>
            <w:tcW w:w="6620" w:type="dxa"/>
            <w:vAlign w:val="bottom"/>
            <w:tcBorders>
              <w:bottom w:val="single" w:sz="8" w:color="0000FF"/>
            </w:tcBorders>
            <w:gridSpan w:val="23"/>
          </w:tcPr>
          <w:p>
            <w:pPr>
              <w:spacing w:after="0"/>
              <w:rPr>
                <w:rFonts w:ascii="Arial" w:cs="Arial" w:eastAsia="Arial" w:hAnsi="Arial"/>
                <w:sz w:val="18"/>
                <w:szCs w:val="18"/>
                <w:color w:val="0000FF"/>
                <w:w w:val="91"/>
              </w:rPr>
            </w:pPr>
            <w:hyperlink r:id="rId386">
              <w:r>
                <w:rPr>
                  <w:rFonts w:ascii="Arial" w:cs="Arial" w:eastAsia="Arial" w:hAnsi="Arial"/>
                  <w:sz w:val="18"/>
                  <w:szCs w:val="18"/>
                  <w:color w:val="0000FF"/>
                  <w:w w:val="91"/>
                </w:rPr>
                <w:t>Second Amendment to Lease by and between HCP LS Redwood City, LLC and Revolution</w:t>
              </w:r>
            </w:hyperlink>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740" w:type="dxa"/>
            <w:vAlign w:val="bottom"/>
            <w:gridSpan w:val="24"/>
          </w:tcPr>
          <w:p>
            <w:pPr>
              <w:spacing w:after="0" w:line="196" w:lineRule="exact"/>
              <w:rPr>
                <w:rFonts w:ascii="Arial" w:cs="Arial" w:eastAsia="Arial" w:hAnsi="Arial"/>
                <w:sz w:val="18"/>
                <w:szCs w:val="18"/>
                <w:color w:val="0000FF"/>
              </w:rPr>
            </w:pPr>
            <w:hyperlink r:id="rId386">
              <w:r>
                <w:rPr>
                  <w:rFonts w:ascii="Arial" w:cs="Arial" w:eastAsia="Arial" w:hAnsi="Arial"/>
                  <w:sz w:val="18"/>
                  <w:szCs w:val="18"/>
                  <w:color w:val="0000FF"/>
                </w:rPr>
                <w:t>Medicines, Inc., dated as of April 17, 2020.</w:t>
              </w:r>
            </w:hyperlink>
          </w:p>
        </w:tc>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9"/>
              </w:rPr>
              <w:t>10-Q</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2"/>
              </w:rPr>
              <w:t>5/14/2020</w:t>
            </w: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5"/>
              </w:rPr>
              <w:t>10.4</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10.3E</w:t>
            </w:r>
          </w:p>
        </w:tc>
        <w:tc>
          <w:tcPr>
            <w:tcW w:w="6500" w:type="dxa"/>
            <w:vAlign w:val="bottom"/>
            <w:tcBorders>
              <w:bottom w:val="single" w:sz="8" w:color="0000FF"/>
            </w:tcBorders>
            <w:gridSpan w:val="21"/>
          </w:tcPr>
          <w:p>
            <w:pPr>
              <w:spacing w:after="0"/>
              <w:rPr>
                <w:rFonts w:ascii="Arial" w:cs="Arial" w:eastAsia="Arial" w:hAnsi="Arial"/>
                <w:sz w:val="18"/>
                <w:szCs w:val="18"/>
                <w:color w:val="0000FF"/>
                <w:w w:val="91"/>
              </w:rPr>
            </w:pPr>
            <w:hyperlink r:id="rId387">
              <w:r>
                <w:rPr>
                  <w:rFonts w:ascii="Arial" w:cs="Arial" w:eastAsia="Arial" w:hAnsi="Arial"/>
                  <w:sz w:val="18"/>
                  <w:szCs w:val="18"/>
                  <w:color w:val="0000FF"/>
                  <w:w w:val="91"/>
                </w:rPr>
                <w:t>Third Amendment to Lease by and between HCP LS Redwood City, LLC and Revolution</w:t>
              </w:r>
            </w:hyperlink>
          </w:p>
        </w:tc>
        <w:tc>
          <w:tcPr>
            <w:tcW w:w="240" w:type="dxa"/>
            <w:vAlign w:val="bottom"/>
            <w:gridSpan w:val="3"/>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342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387">
              <w:r>
                <w:rPr>
                  <w:rFonts w:ascii="Arial" w:cs="Arial" w:eastAsia="Arial" w:hAnsi="Arial"/>
                  <w:sz w:val="18"/>
                  <w:szCs w:val="18"/>
                  <w:color w:val="0000FF"/>
                  <w:w w:val="90"/>
                </w:rPr>
                <w:t>Medicines, Inc., dated as of November 1, 2021</w:t>
              </w:r>
              <w:r>
                <w:rPr>
                  <w:rFonts w:ascii="Arial" w:cs="Arial" w:eastAsia="Arial" w:hAnsi="Arial"/>
                  <w:sz w:val="16"/>
                  <w:szCs w:val="16"/>
                  <w:color w:val="0000FF"/>
                  <w:w w:val="90"/>
                </w:rPr>
                <w:t>.</w:t>
              </w:r>
            </w:hyperlink>
          </w:p>
        </w:tc>
        <w:tc>
          <w:tcPr>
            <w:tcW w:w="3320" w:type="dxa"/>
            <w:vAlign w:val="bottom"/>
            <w:gridSpan w:val="14"/>
          </w:tcPr>
          <w:p>
            <w:pPr>
              <w:spacing w:after="0"/>
              <w:rPr>
                <w:sz w:val="17"/>
                <w:szCs w:val="17"/>
                <w:color w:val="auto"/>
              </w:rPr>
            </w:pPr>
          </w:p>
        </w:tc>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9"/>
              </w:rPr>
              <w:t>10-Q</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0"/>
              </w:rPr>
              <w:t>11/10/2021</w:t>
            </w: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10.4(a)#</w:t>
            </w:r>
          </w:p>
        </w:tc>
        <w:tc>
          <w:tcPr>
            <w:tcW w:w="6740" w:type="dxa"/>
            <w:vAlign w:val="bottom"/>
            <w:gridSpan w:val="24"/>
          </w:tcPr>
          <w:p>
            <w:pPr>
              <w:spacing w:after="0"/>
              <w:rPr>
                <w:rFonts w:ascii="Arial" w:cs="Arial" w:eastAsia="Arial" w:hAnsi="Arial"/>
                <w:sz w:val="18"/>
                <w:szCs w:val="18"/>
                <w:color w:val="0000FF"/>
              </w:rPr>
            </w:pPr>
            <w:hyperlink r:id="rId388">
              <w:r>
                <w:rPr>
                  <w:rFonts w:ascii="Arial" w:cs="Arial" w:eastAsia="Arial" w:hAnsi="Arial"/>
                  <w:sz w:val="18"/>
                  <w:szCs w:val="18"/>
                  <w:color w:val="0000FF"/>
                </w:rPr>
                <w:t>2014 Equity Incentive Plan, as amended.</w:t>
              </w:r>
            </w:hyperlink>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85"/>
              </w:rPr>
              <w:t>S-1</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1/17/2020</w:t>
            </w:r>
          </w:p>
        </w:tc>
        <w:tc>
          <w:tcPr>
            <w:tcW w:w="1780" w:type="dxa"/>
            <w:vAlign w:val="bottom"/>
            <w:gridSpan w:val="2"/>
          </w:tcPr>
          <w:p>
            <w:pPr>
              <w:jc w:val="center"/>
              <w:ind w:right="830"/>
              <w:spacing w:after="0"/>
              <w:rPr>
                <w:sz w:val="20"/>
                <w:szCs w:val="20"/>
                <w:color w:val="auto"/>
              </w:rPr>
            </w:pPr>
            <w:r>
              <w:rPr>
                <w:rFonts w:ascii="Arial" w:cs="Arial" w:eastAsia="Arial" w:hAnsi="Arial"/>
                <w:sz w:val="18"/>
                <w:szCs w:val="18"/>
                <w:color w:val="auto"/>
                <w:w w:val="87"/>
              </w:rPr>
              <w:t>10.6(a)</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10.4(b)#</w:t>
            </w:r>
          </w:p>
        </w:tc>
        <w:tc>
          <w:tcPr>
            <w:tcW w:w="6480" w:type="dxa"/>
            <w:vAlign w:val="bottom"/>
            <w:tcBorders>
              <w:bottom w:val="single" w:sz="8" w:color="0000FF"/>
            </w:tcBorders>
            <w:gridSpan w:val="20"/>
          </w:tcPr>
          <w:p>
            <w:pPr>
              <w:spacing w:after="0"/>
              <w:rPr>
                <w:rFonts w:ascii="Arial" w:cs="Arial" w:eastAsia="Arial" w:hAnsi="Arial"/>
                <w:sz w:val="18"/>
                <w:szCs w:val="18"/>
                <w:color w:val="0000FF"/>
                <w:w w:val="91"/>
              </w:rPr>
            </w:pPr>
            <w:hyperlink r:id="rId389">
              <w:r>
                <w:rPr>
                  <w:rFonts w:ascii="Arial" w:cs="Arial" w:eastAsia="Arial" w:hAnsi="Arial"/>
                  <w:sz w:val="18"/>
                  <w:szCs w:val="18"/>
                  <w:color w:val="0000FF"/>
                  <w:w w:val="91"/>
                </w:rPr>
                <w:t>Form of Amended and Restated Early Exercise Stock Option Grant Notice and Amended</w:t>
              </w:r>
            </w:hyperlink>
          </w:p>
        </w:tc>
        <w:tc>
          <w:tcPr>
            <w:tcW w:w="260" w:type="dxa"/>
            <w:vAlign w:val="bottom"/>
            <w:gridSpan w:val="4"/>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220" w:type="dxa"/>
            <w:vAlign w:val="bottom"/>
            <w:tcBorders>
              <w:bottom w:val="single" w:sz="8" w:color="0000FF"/>
            </w:tcBorders>
            <w:gridSpan w:val="16"/>
          </w:tcPr>
          <w:p>
            <w:pPr>
              <w:spacing w:after="0" w:line="196" w:lineRule="exact"/>
              <w:rPr>
                <w:rFonts w:ascii="Arial" w:cs="Arial" w:eastAsia="Arial" w:hAnsi="Arial"/>
                <w:sz w:val="18"/>
                <w:szCs w:val="18"/>
                <w:color w:val="0000FF"/>
                <w:w w:val="89"/>
              </w:rPr>
            </w:pPr>
            <w:hyperlink r:id="rId389">
              <w:r>
                <w:rPr>
                  <w:rFonts w:ascii="Arial" w:cs="Arial" w:eastAsia="Arial" w:hAnsi="Arial"/>
                  <w:sz w:val="18"/>
                  <w:szCs w:val="18"/>
                  <w:color w:val="0000FF"/>
                  <w:w w:val="89"/>
                </w:rPr>
                <w:t>and Restated Stock Option Agreement under 2014 Equity Incentive Plan, as amended.</w:t>
              </w:r>
            </w:hyperlink>
          </w:p>
        </w:tc>
        <w:tc>
          <w:tcPr>
            <w:tcW w:w="520" w:type="dxa"/>
            <w:vAlign w:val="bottom"/>
            <w:gridSpan w:val="8"/>
          </w:tcPr>
          <w:p>
            <w:pPr>
              <w:spacing w:after="0"/>
              <w:rPr>
                <w:sz w:val="17"/>
                <w:szCs w:val="17"/>
                <w:color w:val="auto"/>
              </w:rPr>
            </w:pPr>
          </w:p>
        </w:tc>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5"/>
              </w:rPr>
              <w:t>S-1</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2"/>
              </w:rPr>
              <w:t>1/17/2020</w:t>
            </w:r>
          </w:p>
        </w:tc>
        <w:tc>
          <w:tcPr>
            <w:tcW w:w="1780" w:type="dxa"/>
            <w:vAlign w:val="bottom"/>
            <w:gridSpan w:val="2"/>
          </w:tcPr>
          <w:p>
            <w:pPr>
              <w:jc w:val="center"/>
              <w:ind w:right="830"/>
              <w:spacing w:after="0" w:line="196" w:lineRule="exact"/>
              <w:rPr>
                <w:sz w:val="20"/>
                <w:szCs w:val="20"/>
                <w:color w:val="auto"/>
              </w:rPr>
            </w:pPr>
            <w:r>
              <w:rPr>
                <w:rFonts w:ascii="Arial" w:cs="Arial" w:eastAsia="Arial" w:hAnsi="Arial"/>
                <w:sz w:val="18"/>
                <w:szCs w:val="18"/>
                <w:color w:val="auto"/>
                <w:w w:val="94"/>
              </w:rPr>
              <w:t>10.6(b)</w:t>
            </w:r>
          </w:p>
        </w:tc>
        <w:tc>
          <w:tcPr>
            <w:tcW w:w="0" w:type="dxa"/>
            <w:vAlign w:val="bottom"/>
          </w:tcPr>
          <w:p>
            <w:pPr>
              <w:spacing w:after="0"/>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10.5(a)#</w:t>
            </w:r>
          </w:p>
        </w:tc>
        <w:tc>
          <w:tcPr>
            <w:tcW w:w="6740" w:type="dxa"/>
            <w:vAlign w:val="bottom"/>
            <w:gridSpan w:val="24"/>
          </w:tcPr>
          <w:p>
            <w:pPr>
              <w:spacing w:after="0"/>
              <w:rPr>
                <w:rFonts w:ascii="Arial" w:cs="Arial" w:eastAsia="Arial" w:hAnsi="Arial"/>
                <w:sz w:val="18"/>
                <w:szCs w:val="18"/>
                <w:color w:val="0000FF"/>
              </w:rPr>
            </w:pPr>
            <w:hyperlink r:id="rId390">
              <w:r>
                <w:rPr>
                  <w:rFonts w:ascii="Arial" w:cs="Arial" w:eastAsia="Arial" w:hAnsi="Arial"/>
                  <w:sz w:val="18"/>
                  <w:szCs w:val="18"/>
                  <w:color w:val="0000FF"/>
                </w:rPr>
                <w:t>2020 Incentive Award Plan.</w:t>
              </w:r>
            </w:hyperlink>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97"/>
              </w:rPr>
              <w:t>S-1/A</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2/3/2020</w:t>
            </w:r>
          </w:p>
        </w:tc>
        <w:tc>
          <w:tcPr>
            <w:tcW w:w="1780" w:type="dxa"/>
            <w:vAlign w:val="bottom"/>
            <w:gridSpan w:val="2"/>
          </w:tcPr>
          <w:p>
            <w:pPr>
              <w:jc w:val="center"/>
              <w:ind w:right="830"/>
              <w:spacing w:after="0"/>
              <w:rPr>
                <w:sz w:val="20"/>
                <w:szCs w:val="20"/>
                <w:color w:val="auto"/>
              </w:rPr>
            </w:pPr>
            <w:r>
              <w:rPr>
                <w:rFonts w:ascii="Arial" w:cs="Arial" w:eastAsia="Arial" w:hAnsi="Arial"/>
                <w:sz w:val="18"/>
                <w:szCs w:val="18"/>
                <w:color w:val="auto"/>
                <w:w w:val="87"/>
              </w:rPr>
              <w:t>10.7(a)</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Borders>
              <w:righ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10.5(b)#</w:t>
            </w:r>
          </w:p>
        </w:tc>
        <w:tc>
          <w:tcPr>
            <w:tcW w:w="6600" w:type="dxa"/>
            <w:vAlign w:val="bottom"/>
            <w:tcBorders>
              <w:bottom w:val="single" w:sz="8" w:color="0000FF"/>
            </w:tcBorders>
            <w:gridSpan w:val="22"/>
          </w:tcPr>
          <w:p>
            <w:pPr>
              <w:spacing w:after="0"/>
              <w:rPr>
                <w:rFonts w:ascii="Arial" w:cs="Arial" w:eastAsia="Arial" w:hAnsi="Arial"/>
                <w:sz w:val="18"/>
                <w:szCs w:val="18"/>
                <w:color w:val="0000FF"/>
                <w:w w:val="91"/>
              </w:rPr>
            </w:pPr>
            <w:hyperlink r:id="rId391">
              <w:r>
                <w:rPr>
                  <w:rFonts w:ascii="Arial" w:cs="Arial" w:eastAsia="Arial" w:hAnsi="Arial"/>
                  <w:sz w:val="18"/>
                  <w:szCs w:val="18"/>
                  <w:color w:val="0000FF"/>
                  <w:w w:val="91"/>
                </w:rPr>
                <w:t>Form of Stock Option Grant Notice and Stock Option Agreement under the 2020 Incentive</w:t>
              </w:r>
            </w:hyperlink>
          </w:p>
        </w:tc>
        <w:tc>
          <w:tcPr>
            <w:tcW w:w="140" w:type="dxa"/>
            <w:vAlign w:val="bottom"/>
            <w:gridSpan w:val="2"/>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740" w:type="dxa"/>
            <w:vAlign w:val="bottom"/>
            <w:gridSpan w:val="24"/>
          </w:tcPr>
          <w:p>
            <w:pPr>
              <w:spacing w:after="0" w:line="196" w:lineRule="exact"/>
              <w:rPr>
                <w:rFonts w:ascii="Arial" w:cs="Arial" w:eastAsia="Arial" w:hAnsi="Arial"/>
                <w:sz w:val="18"/>
                <w:szCs w:val="18"/>
                <w:color w:val="0000FF"/>
              </w:rPr>
            </w:pPr>
            <w:hyperlink r:id="rId391">
              <w:r>
                <w:rPr>
                  <w:rFonts w:ascii="Arial" w:cs="Arial" w:eastAsia="Arial" w:hAnsi="Arial"/>
                  <w:sz w:val="18"/>
                  <w:szCs w:val="18"/>
                  <w:color w:val="0000FF"/>
                </w:rPr>
                <w:t>Award Plan.</w:t>
              </w:r>
            </w:hyperlink>
          </w:p>
        </w:tc>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7"/>
              </w:rPr>
              <w:t>S-1/A</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1"/>
              </w:rPr>
              <w:t>2/3/2020</w:t>
            </w:r>
          </w:p>
        </w:tc>
        <w:tc>
          <w:tcPr>
            <w:tcW w:w="1780" w:type="dxa"/>
            <w:vAlign w:val="bottom"/>
            <w:gridSpan w:val="2"/>
          </w:tcPr>
          <w:p>
            <w:pPr>
              <w:jc w:val="center"/>
              <w:ind w:right="830"/>
              <w:spacing w:after="0" w:line="196" w:lineRule="exact"/>
              <w:rPr>
                <w:sz w:val="20"/>
                <w:szCs w:val="20"/>
                <w:color w:val="auto"/>
              </w:rPr>
            </w:pPr>
            <w:r>
              <w:rPr>
                <w:rFonts w:ascii="Arial" w:cs="Arial" w:eastAsia="Arial" w:hAnsi="Arial"/>
                <w:sz w:val="18"/>
                <w:szCs w:val="18"/>
                <w:color w:val="auto"/>
                <w:w w:val="94"/>
              </w:rPr>
              <w:t>10.7(b)</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10.5(c)#</w:t>
            </w:r>
          </w:p>
        </w:tc>
        <w:tc>
          <w:tcPr>
            <w:tcW w:w="6740" w:type="dxa"/>
            <w:vAlign w:val="bottom"/>
            <w:gridSpan w:val="24"/>
          </w:tcPr>
          <w:p>
            <w:pPr>
              <w:spacing w:after="0"/>
              <w:rPr>
                <w:rFonts w:ascii="Arial" w:cs="Arial" w:eastAsia="Arial" w:hAnsi="Arial"/>
                <w:sz w:val="18"/>
                <w:szCs w:val="18"/>
                <w:color w:val="0000FF"/>
              </w:rPr>
            </w:pPr>
            <w:hyperlink r:id="rId392">
              <w:r>
                <w:rPr>
                  <w:rFonts w:ascii="Arial" w:cs="Arial" w:eastAsia="Arial" w:hAnsi="Arial"/>
                  <w:sz w:val="18"/>
                  <w:szCs w:val="18"/>
                  <w:color w:val="0000FF"/>
                </w:rPr>
                <w:t>Form of Restricted Stock Award Agreement under the 2020 Incentive Award Plan.</w:t>
              </w:r>
            </w:hyperlink>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97"/>
              </w:rPr>
              <w:t>S-1/A</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2/3/2020</w:t>
            </w:r>
          </w:p>
        </w:tc>
        <w:tc>
          <w:tcPr>
            <w:tcW w:w="1780" w:type="dxa"/>
            <w:vAlign w:val="bottom"/>
            <w:gridSpan w:val="2"/>
          </w:tcPr>
          <w:p>
            <w:pPr>
              <w:jc w:val="center"/>
              <w:ind w:right="830"/>
              <w:spacing w:after="0"/>
              <w:rPr>
                <w:sz w:val="20"/>
                <w:szCs w:val="20"/>
                <w:color w:val="auto"/>
              </w:rPr>
            </w:pPr>
            <w:r>
              <w:rPr>
                <w:rFonts w:ascii="Arial" w:cs="Arial" w:eastAsia="Arial" w:hAnsi="Arial"/>
                <w:sz w:val="18"/>
                <w:szCs w:val="18"/>
                <w:color w:val="auto"/>
                <w:w w:val="89"/>
              </w:rPr>
              <w:t>10.7(c)</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gridSpan w:val="4"/>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10.5(d)#</w:t>
            </w:r>
          </w:p>
        </w:tc>
        <w:tc>
          <w:tcPr>
            <w:tcW w:w="6740" w:type="dxa"/>
            <w:vAlign w:val="bottom"/>
            <w:gridSpan w:val="24"/>
          </w:tcPr>
          <w:p>
            <w:pPr>
              <w:spacing w:after="0"/>
              <w:rPr>
                <w:rFonts w:ascii="Arial" w:cs="Arial" w:eastAsia="Arial" w:hAnsi="Arial"/>
                <w:sz w:val="18"/>
                <w:szCs w:val="18"/>
                <w:color w:val="0000FF"/>
                <w:w w:val="95"/>
              </w:rPr>
            </w:pPr>
            <w:hyperlink r:id="rId393">
              <w:r>
                <w:rPr>
                  <w:rFonts w:ascii="Arial" w:cs="Arial" w:eastAsia="Arial" w:hAnsi="Arial"/>
                  <w:sz w:val="18"/>
                  <w:szCs w:val="18"/>
                  <w:color w:val="0000FF"/>
                  <w:w w:val="95"/>
                </w:rPr>
                <w:t>Form of Restricted Stock Unit Award Grant Notice under the 2020 Incentive Award Plan.</w:t>
              </w:r>
            </w:hyperlink>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97"/>
              </w:rPr>
              <w:t>S-1/A</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2/3/2020</w:t>
            </w:r>
          </w:p>
        </w:tc>
        <w:tc>
          <w:tcPr>
            <w:tcW w:w="1780" w:type="dxa"/>
            <w:vAlign w:val="bottom"/>
            <w:gridSpan w:val="2"/>
          </w:tcPr>
          <w:p>
            <w:pPr>
              <w:jc w:val="center"/>
              <w:ind w:right="830"/>
              <w:spacing w:after="0"/>
              <w:rPr>
                <w:sz w:val="20"/>
                <w:szCs w:val="20"/>
                <w:color w:val="auto"/>
              </w:rPr>
            </w:pPr>
            <w:r>
              <w:rPr>
                <w:rFonts w:ascii="Arial" w:cs="Arial" w:eastAsia="Arial" w:hAnsi="Arial"/>
                <w:sz w:val="18"/>
                <w:szCs w:val="18"/>
                <w:color w:val="auto"/>
                <w:w w:val="94"/>
              </w:rPr>
              <w:t>10.7(d)</w:t>
            </w:r>
          </w:p>
        </w:tc>
        <w:tc>
          <w:tcPr>
            <w:tcW w:w="0" w:type="dxa"/>
            <w:vAlign w:val="bottom"/>
          </w:tcPr>
          <w:p>
            <w:pPr>
              <w:spacing w:after="0"/>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10.6#</w:t>
            </w:r>
          </w:p>
        </w:tc>
        <w:tc>
          <w:tcPr>
            <w:tcW w:w="270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88"/>
              </w:rPr>
            </w:pPr>
            <w:hyperlink r:id="rId394">
              <w:r>
                <w:rPr>
                  <w:rFonts w:ascii="Arial" w:cs="Arial" w:eastAsia="Arial" w:hAnsi="Arial"/>
                  <w:sz w:val="18"/>
                  <w:szCs w:val="18"/>
                  <w:color w:val="0000FF"/>
                  <w:w w:val="88"/>
                </w:rPr>
                <w:t>2020 Employee Stock Purchase Plan.</w:t>
              </w:r>
            </w:hyperlink>
          </w:p>
        </w:tc>
        <w:tc>
          <w:tcPr>
            <w:tcW w:w="20" w:type="dxa"/>
            <w:vAlign w:val="bottom"/>
            <w:tcBorders>
              <w:top w:val="single" w:sz="8" w:color="0000FF"/>
              <w:bottom w:val="single" w:sz="8" w:color="0000EE"/>
            </w:tcBorders>
          </w:tcPr>
          <w:p>
            <w:pPr>
              <w:spacing w:after="0"/>
              <w:rPr>
                <w:sz w:val="24"/>
                <w:szCs w:val="24"/>
                <w:color w:val="auto"/>
              </w:rPr>
            </w:pPr>
          </w:p>
        </w:tc>
        <w:tc>
          <w:tcPr>
            <w:tcW w:w="3720" w:type="dxa"/>
            <w:vAlign w:val="bottom"/>
            <w:tcBorders>
              <w:top w:val="single" w:sz="8" w:color="0000FF"/>
            </w:tcBorders>
            <w:gridSpan w:val="11"/>
          </w:tcPr>
          <w:p>
            <w:pPr>
              <w:spacing w:after="0"/>
              <w:rPr>
                <w:sz w:val="24"/>
                <w:szCs w:val="24"/>
                <w:color w:val="auto"/>
              </w:rPr>
            </w:pPr>
          </w:p>
        </w:tc>
        <w:tc>
          <w:tcPr>
            <w:tcW w:w="300" w:type="dxa"/>
            <w:vAlign w:val="bottom"/>
            <w:gridSpan w:val="6"/>
          </w:tcPr>
          <w:p>
            <w:pPr>
              <w:spacing w:after="0"/>
              <w:rPr>
                <w:sz w:val="24"/>
                <w:szCs w:val="24"/>
                <w:color w:val="auto"/>
              </w:rPr>
            </w:pP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97"/>
              </w:rPr>
              <w:t>S-1/A</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2/3/2020</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10.7A#</w:t>
            </w:r>
          </w:p>
        </w:tc>
        <w:tc>
          <w:tcPr>
            <w:tcW w:w="5960" w:type="dxa"/>
            <w:vAlign w:val="bottom"/>
            <w:tcBorders>
              <w:bottom w:val="single" w:sz="8" w:color="0000FF"/>
            </w:tcBorders>
            <w:gridSpan w:val="14"/>
          </w:tcPr>
          <w:p>
            <w:pPr>
              <w:spacing w:after="0"/>
              <w:rPr>
                <w:rFonts w:ascii="Arial" w:cs="Arial" w:eastAsia="Arial" w:hAnsi="Arial"/>
                <w:sz w:val="18"/>
                <w:szCs w:val="18"/>
                <w:color w:val="0000FF"/>
                <w:w w:val="92"/>
              </w:rPr>
            </w:pPr>
            <w:hyperlink r:id="rId395">
              <w:r>
                <w:rPr>
                  <w:rFonts w:ascii="Arial" w:cs="Arial" w:eastAsia="Arial" w:hAnsi="Arial"/>
                  <w:sz w:val="18"/>
                  <w:szCs w:val="18"/>
                  <w:color w:val="0000FF"/>
                  <w:w w:val="92"/>
                </w:rPr>
                <w:t>Employment Agreement by and between Revolution Medicines, Inc. and Mark A.</w:t>
              </w:r>
            </w:hyperlink>
          </w:p>
        </w:tc>
        <w:tc>
          <w:tcPr>
            <w:tcW w:w="780" w:type="dxa"/>
            <w:vAlign w:val="bottom"/>
            <w:gridSpan w:val="10"/>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740" w:type="dxa"/>
            <w:vAlign w:val="bottom"/>
            <w:gridSpan w:val="24"/>
          </w:tcPr>
          <w:p>
            <w:pPr>
              <w:spacing w:after="0" w:line="196" w:lineRule="exact"/>
              <w:rPr>
                <w:rFonts w:ascii="Arial" w:cs="Arial" w:eastAsia="Arial" w:hAnsi="Arial"/>
                <w:sz w:val="18"/>
                <w:szCs w:val="18"/>
                <w:color w:val="0000FF"/>
              </w:rPr>
            </w:pPr>
            <w:hyperlink r:id="rId395">
              <w:r>
                <w:rPr>
                  <w:rFonts w:ascii="Arial" w:cs="Arial" w:eastAsia="Arial" w:hAnsi="Arial"/>
                  <w:sz w:val="18"/>
                  <w:szCs w:val="18"/>
                  <w:color w:val="0000FF"/>
                </w:rPr>
                <w:t>Goldsmith, M.D., Ph.D.</w:t>
              </w:r>
            </w:hyperlink>
          </w:p>
        </w:tc>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5"/>
              </w:rPr>
              <w:t>S-1</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2"/>
              </w:rPr>
              <w:t>1/17/2020</w:t>
            </w: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5"/>
              </w:rPr>
              <w:t>10.9</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FF"/>
            </w:tcBorders>
            <w:gridSpan w:val="3"/>
            <w:shd w:val="clear" w:color="auto" w:fill="0000FF"/>
          </w:tcPr>
          <w:p>
            <w:pPr>
              <w:spacing w:after="0" w:line="20" w:lineRule="exact"/>
              <w:rPr>
                <w:sz w:val="1"/>
                <w:szCs w:val="1"/>
                <w:color w:val="auto"/>
              </w:rPr>
            </w:pPr>
          </w:p>
        </w:tc>
        <w:tc>
          <w:tcPr>
            <w:tcW w:w="1820" w:type="dxa"/>
            <w:vAlign w:val="bottom"/>
            <w:tcBorders>
              <w:left w:val="single" w:sz="8" w:color="0000EE"/>
            </w:tcBorders>
            <w:gridSpan w:val="7"/>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10.7B#</w:t>
            </w:r>
          </w:p>
        </w:tc>
        <w:tc>
          <w:tcPr>
            <w:tcW w:w="5980" w:type="dxa"/>
            <w:vAlign w:val="bottom"/>
            <w:tcBorders>
              <w:bottom w:val="single" w:sz="8" w:color="0000FF"/>
            </w:tcBorders>
            <w:gridSpan w:val="15"/>
          </w:tcPr>
          <w:p>
            <w:pPr>
              <w:spacing w:after="0"/>
              <w:rPr>
                <w:rFonts w:ascii="Arial" w:cs="Arial" w:eastAsia="Arial" w:hAnsi="Arial"/>
                <w:sz w:val="18"/>
                <w:szCs w:val="18"/>
                <w:color w:val="0000FF"/>
                <w:w w:val="90"/>
              </w:rPr>
            </w:pPr>
            <w:hyperlink r:id="rId396">
              <w:r>
                <w:rPr>
                  <w:rFonts w:ascii="Arial" w:cs="Arial" w:eastAsia="Arial" w:hAnsi="Arial"/>
                  <w:sz w:val="18"/>
                  <w:szCs w:val="18"/>
                  <w:color w:val="0000FF"/>
                  <w:w w:val="90"/>
                </w:rPr>
                <w:t>First Amendment to Employment Agreement dated June 10, 2022 by and between</w:t>
              </w:r>
            </w:hyperlink>
          </w:p>
        </w:tc>
        <w:tc>
          <w:tcPr>
            <w:tcW w:w="760" w:type="dxa"/>
            <w:vAlign w:val="bottom"/>
            <w:gridSpan w:val="9"/>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448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396">
              <w:r>
                <w:rPr>
                  <w:rFonts w:ascii="Arial" w:cs="Arial" w:eastAsia="Arial" w:hAnsi="Arial"/>
                  <w:sz w:val="18"/>
                  <w:szCs w:val="18"/>
                  <w:color w:val="0000FF"/>
                  <w:w w:val="93"/>
                </w:rPr>
                <w:t>Revolution Medicines, Inc. and Mark Goldsmith, M.D., Ph.D.</w:t>
              </w:r>
            </w:hyperlink>
          </w:p>
        </w:tc>
        <w:tc>
          <w:tcPr>
            <w:tcW w:w="20" w:type="dxa"/>
            <w:vAlign w:val="bottom"/>
            <w:tcBorders>
              <w:bottom w:val="single" w:sz="8" w:color="0000EE"/>
            </w:tcBorders>
          </w:tcPr>
          <w:p>
            <w:pPr>
              <w:spacing w:after="0"/>
              <w:rPr>
                <w:sz w:val="17"/>
                <w:szCs w:val="17"/>
                <w:color w:val="auto"/>
              </w:rPr>
            </w:pPr>
          </w:p>
        </w:tc>
        <w:tc>
          <w:tcPr>
            <w:tcW w:w="2240" w:type="dxa"/>
            <w:vAlign w:val="bottom"/>
            <w:gridSpan w:val="11"/>
          </w:tcPr>
          <w:p>
            <w:pPr>
              <w:spacing w:after="0"/>
              <w:rPr>
                <w:sz w:val="17"/>
                <w:szCs w:val="17"/>
                <w:color w:val="auto"/>
              </w:rPr>
            </w:pPr>
          </w:p>
        </w:tc>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99"/>
              </w:rPr>
              <w:t>8-K</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0"/>
              </w:rPr>
              <w:t>06/10/2022</w:t>
            </w: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5"/>
              </w:rPr>
              <w:t>10.1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10.8#</w:t>
            </w:r>
          </w:p>
        </w:tc>
        <w:tc>
          <w:tcPr>
            <w:tcW w:w="6320" w:type="dxa"/>
            <w:vAlign w:val="bottom"/>
            <w:tcBorders>
              <w:bottom w:val="single" w:sz="8" w:color="0000FF"/>
            </w:tcBorders>
            <w:gridSpan w:val="17"/>
          </w:tcPr>
          <w:p>
            <w:pPr>
              <w:spacing w:after="0"/>
              <w:rPr>
                <w:rFonts w:ascii="Arial" w:cs="Arial" w:eastAsia="Arial" w:hAnsi="Arial"/>
                <w:sz w:val="18"/>
                <w:szCs w:val="18"/>
                <w:color w:val="0000FF"/>
                <w:w w:val="91"/>
              </w:rPr>
            </w:pPr>
            <w:hyperlink r:id="rId397">
              <w:r>
                <w:rPr>
                  <w:rFonts w:ascii="Arial" w:cs="Arial" w:eastAsia="Arial" w:hAnsi="Arial"/>
                  <w:sz w:val="18"/>
                  <w:szCs w:val="18"/>
                  <w:color w:val="0000FF"/>
                  <w:w w:val="91"/>
                </w:rPr>
                <w:t>Employment Agreement by and between Revolution Medicines, Inc. and Steve Kelsey,</w:t>
              </w:r>
            </w:hyperlink>
          </w:p>
        </w:tc>
        <w:tc>
          <w:tcPr>
            <w:tcW w:w="42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740" w:type="dxa"/>
            <w:vAlign w:val="bottom"/>
            <w:gridSpan w:val="24"/>
          </w:tcPr>
          <w:p>
            <w:pPr>
              <w:spacing w:after="0" w:line="196" w:lineRule="exact"/>
              <w:rPr>
                <w:rFonts w:ascii="Arial" w:cs="Arial" w:eastAsia="Arial" w:hAnsi="Arial"/>
                <w:sz w:val="18"/>
                <w:szCs w:val="18"/>
                <w:color w:val="0000FF"/>
              </w:rPr>
            </w:pPr>
            <w:hyperlink r:id="rId397">
              <w:r>
                <w:rPr>
                  <w:rFonts w:ascii="Arial" w:cs="Arial" w:eastAsia="Arial" w:hAnsi="Arial"/>
                  <w:sz w:val="18"/>
                  <w:szCs w:val="18"/>
                  <w:color w:val="0000FF"/>
                </w:rPr>
                <w:t>M.D., FRCP, FRCPath.</w:t>
              </w:r>
            </w:hyperlink>
          </w:p>
        </w:tc>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5"/>
              </w:rPr>
              <w:t>S-1</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2"/>
              </w:rPr>
              <w:t>1/17/2020</w:t>
            </w: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93"/>
              </w:rPr>
              <w:t>10.10</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right w:val="single" w:sz="8" w:color="0000EE"/>
            </w:tcBorders>
            <w:gridSpan w:val="3"/>
            <w:shd w:val="clear" w:color="auto" w:fill="0000FF"/>
          </w:tcPr>
          <w:p>
            <w:pPr>
              <w:spacing w:after="0" w:line="20" w:lineRule="exact"/>
              <w:rPr>
                <w:sz w:val="1"/>
                <w:szCs w:val="1"/>
                <w:color w:val="auto"/>
              </w:rPr>
            </w:pPr>
          </w:p>
        </w:tc>
        <w:tc>
          <w:tcPr>
            <w:tcW w:w="1820" w:type="dxa"/>
            <w:vAlign w:val="bottom"/>
            <w:gridSpan w:val="7"/>
          </w:tcPr>
          <w:p>
            <w:pPr>
              <w:spacing w:after="0" w:line="20" w:lineRule="exact"/>
              <w:rPr>
                <w:sz w:val="1"/>
                <w:szCs w:val="1"/>
                <w:color w:val="auto"/>
              </w:rPr>
            </w:pPr>
          </w:p>
        </w:tc>
        <w:tc>
          <w:tcPr>
            <w:tcW w:w="2940" w:type="dxa"/>
            <w:vAlign w:val="bottom"/>
            <w:gridSpan w:val="8"/>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10.9#</w:t>
            </w:r>
          </w:p>
        </w:tc>
        <w:tc>
          <w:tcPr>
            <w:tcW w:w="6460" w:type="dxa"/>
            <w:vAlign w:val="bottom"/>
            <w:tcBorders>
              <w:bottom w:val="single" w:sz="8" w:color="0000FF"/>
            </w:tcBorders>
            <w:gridSpan w:val="19"/>
          </w:tcPr>
          <w:p>
            <w:pPr>
              <w:spacing w:after="0"/>
              <w:rPr>
                <w:rFonts w:ascii="Arial" w:cs="Arial" w:eastAsia="Arial" w:hAnsi="Arial"/>
                <w:sz w:val="18"/>
                <w:szCs w:val="18"/>
                <w:color w:val="0000FF"/>
                <w:w w:val="91"/>
              </w:rPr>
            </w:pPr>
            <w:hyperlink r:id="rId398">
              <w:r>
                <w:rPr>
                  <w:rFonts w:ascii="Arial" w:cs="Arial" w:eastAsia="Arial" w:hAnsi="Arial"/>
                  <w:sz w:val="18"/>
                  <w:szCs w:val="18"/>
                  <w:color w:val="0000FF"/>
                  <w:w w:val="91"/>
                </w:rPr>
                <w:t>Employment Agreement by and between Revolution Medicines, Inc. and Margaret Horn,</w:t>
              </w:r>
            </w:hyperlink>
          </w:p>
        </w:tc>
        <w:tc>
          <w:tcPr>
            <w:tcW w:w="280" w:type="dxa"/>
            <w:vAlign w:val="bottom"/>
            <w:gridSpan w:val="5"/>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6740" w:type="dxa"/>
            <w:vAlign w:val="bottom"/>
            <w:gridSpan w:val="24"/>
          </w:tcPr>
          <w:p>
            <w:pPr>
              <w:spacing w:after="0" w:line="196" w:lineRule="exact"/>
              <w:rPr>
                <w:rFonts w:ascii="Arial" w:cs="Arial" w:eastAsia="Arial" w:hAnsi="Arial"/>
                <w:sz w:val="18"/>
                <w:szCs w:val="18"/>
                <w:color w:val="0000FF"/>
              </w:rPr>
            </w:pPr>
            <w:hyperlink r:id="rId398">
              <w:r>
                <w:rPr>
                  <w:rFonts w:ascii="Arial" w:cs="Arial" w:eastAsia="Arial" w:hAnsi="Arial"/>
                  <w:sz w:val="18"/>
                  <w:szCs w:val="18"/>
                  <w:color w:val="0000FF"/>
                </w:rPr>
                <w:t>J.D.</w:t>
              </w:r>
            </w:hyperlink>
          </w:p>
        </w:tc>
        <w:tc>
          <w:tcPr>
            <w:tcW w:w="660" w:type="dxa"/>
            <w:vAlign w:val="bottom"/>
          </w:tcPr>
          <w:p>
            <w:pPr>
              <w:jc w:val="center"/>
              <w:ind w:right="10"/>
              <w:spacing w:after="0" w:line="196" w:lineRule="exact"/>
              <w:rPr>
                <w:sz w:val="20"/>
                <w:szCs w:val="20"/>
                <w:color w:val="auto"/>
              </w:rPr>
            </w:pPr>
            <w:r>
              <w:rPr>
                <w:rFonts w:ascii="Arial" w:cs="Arial" w:eastAsia="Arial" w:hAnsi="Arial"/>
                <w:sz w:val="18"/>
                <w:szCs w:val="18"/>
                <w:color w:val="auto"/>
                <w:w w:val="85"/>
              </w:rPr>
              <w:t>S-1</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2"/>
              </w:rPr>
              <w:t>1/17/2020</w:t>
            </w: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4"/>
              </w:rPr>
              <w:t>10.11</w:t>
            </w: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3220" w:type="dxa"/>
            <w:vAlign w:val="bottom"/>
            <w:gridSpan w:val="10"/>
          </w:tcPr>
          <w:p>
            <w:pPr>
              <w:spacing w:after="0" w:line="20" w:lineRule="exact"/>
              <w:rPr>
                <w:sz w:val="1"/>
                <w:szCs w:val="1"/>
                <w:color w:val="auto"/>
              </w:rPr>
            </w:pPr>
          </w:p>
        </w:tc>
        <w:tc>
          <w:tcPr>
            <w:tcW w:w="3220" w:type="dxa"/>
            <w:vAlign w:val="bottom"/>
            <w:gridSpan w:val="1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80" w:type="dxa"/>
            <w:vAlign w:val="bottom"/>
          </w:tcPr>
          <w:p>
            <w:pPr>
              <w:ind w:left="20"/>
              <w:spacing w:after="0"/>
              <w:rPr>
                <w:sz w:val="20"/>
                <w:szCs w:val="20"/>
                <w:color w:val="auto"/>
              </w:rPr>
            </w:pPr>
            <w:r>
              <w:rPr>
                <w:rFonts w:ascii="Arial" w:cs="Arial" w:eastAsia="Arial" w:hAnsi="Arial"/>
                <w:sz w:val="18"/>
                <w:szCs w:val="18"/>
                <w:color w:val="auto"/>
              </w:rPr>
              <w:t>10.10#</w:t>
            </w:r>
          </w:p>
        </w:tc>
        <w:tc>
          <w:tcPr>
            <w:tcW w:w="6740" w:type="dxa"/>
            <w:vAlign w:val="bottom"/>
            <w:gridSpan w:val="24"/>
          </w:tcPr>
          <w:p>
            <w:pPr>
              <w:spacing w:after="0"/>
              <w:rPr>
                <w:rFonts w:ascii="Arial" w:cs="Arial" w:eastAsia="Arial" w:hAnsi="Arial"/>
                <w:sz w:val="18"/>
                <w:szCs w:val="18"/>
                <w:color w:val="0000FF"/>
              </w:rPr>
            </w:pPr>
            <w:hyperlink r:id="rId399">
              <w:r>
                <w:rPr>
                  <w:rFonts w:ascii="Arial" w:cs="Arial" w:eastAsia="Arial" w:hAnsi="Arial"/>
                  <w:sz w:val="18"/>
                  <w:szCs w:val="18"/>
                  <w:color w:val="0000FF"/>
                </w:rPr>
                <w:t>Non-Employee Director Compensation Program</w:t>
              </w:r>
            </w:hyperlink>
            <w:r>
              <w:rPr>
                <w:rFonts w:ascii="Arial" w:cs="Arial" w:eastAsia="Arial" w:hAnsi="Arial"/>
                <w:sz w:val="18"/>
                <w:szCs w:val="18"/>
                <w:color w:val="000000"/>
              </w:rPr>
              <w:t>.</w:t>
            </w: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89"/>
              </w:rPr>
              <w:t>10-Q</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05/09/2022</w:t>
            </w:r>
          </w:p>
        </w:tc>
        <w:tc>
          <w:tcPr>
            <w:tcW w:w="8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5"/>
        </w:trPr>
        <w:tc>
          <w:tcPr>
            <w:tcW w:w="980" w:type="dxa"/>
            <w:vAlign w:val="bottom"/>
          </w:tcPr>
          <w:p>
            <w:pPr>
              <w:spacing w:after="0"/>
              <w:rPr>
                <w:sz w:val="24"/>
                <w:szCs w:val="24"/>
                <w:color w:val="auto"/>
              </w:rPr>
            </w:pPr>
          </w:p>
        </w:tc>
        <w:tc>
          <w:tcPr>
            <w:tcW w:w="3520" w:type="dxa"/>
            <w:vAlign w:val="bottom"/>
            <w:tcBorders>
              <w:top w:val="single" w:sz="8" w:color="0000FF"/>
            </w:tcBorders>
            <w:gridSpan w:val="11"/>
          </w:tcPr>
          <w:p>
            <w:pPr>
              <w:spacing w:after="0"/>
              <w:rPr>
                <w:sz w:val="24"/>
                <w:szCs w:val="24"/>
                <w:color w:val="auto"/>
              </w:rPr>
            </w:pPr>
          </w:p>
        </w:tc>
        <w:tc>
          <w:tcPr>
            <w:tcW w:w="2440" w:type="dxa"/>
            <w:vAlign w:val="bottom"/>
            <w:gridSpan w:val="3"/>
          </w:tcPr>
          <w:p>
            <w:pPr>
              <w:jc w:val="right"/>
              <w:ind w:right="1180"/>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40" w:type="dxa"/>
            <w:vAlign w:val="bottom"/>
            <w:gridSpan w:val="3"/>
          </w:tcPr>
          <w:p>
            <w:pPr>
              <w:ind w:left="260"/>
              <w:spacing w:after="0"/>
              <w:rPr>
                <w:sz w:val="20"/>
                <w:szCs w:val="20"/>
                <w:color w:val="auto"/>
              </w:rPr>
            </w:pPr>
            <w:r>
              <w:rPr>
                <w:rFonts w:ascii="Arial" w:cs="Arial" w:eastAsia="Arial" w:hAnsi="Arial"/>
                <w:sz w:val="18"/>
                <w:szCs w:val="18"/>
                <w:b w:val="1"/>
                <w:bCs w:val="1"/>
                <w:color w:val="auto"/>
              </w:rPr>
              <w:t>Incorporated by reference</w:t>
            </w: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60" w:type="dxa"/>
            <w:vAlign w:val="bottom"/>
            <w:vMerge w:val="restart"/>
          </w:tcPr>
          <w:p>
            <w:pPr>
              <w:ind w:left="180"/>
              <w:spacing w:after="0"/>
              <w:rPr>
                <w:sz w:val="20"/>
                <w:szCs w:val="20"/>
                <w:color w:val="auto"/>
              </w:rPr>
            </w:pPr>
            <w:r>
              <w:rPr>
                <w:rFonts w:ascii="Arial" w:cs="Arial" w:eastAsia="Arial" w:hAnsi="Arial"/>
                <w:sz w:val="18"/>
                <w:szCs w:val="18"/>
                <w:b w:val="1"/>
                <w:bCs w:val="1"/>
                <w:color w:val="auto"/>
              </w:rPr>
              <w:t>Exhibit</w:t>
            </w:r>
          </w:p>
        </w:tc>
        <w:tc>
          <w:tcPr>
            <w:tcW w:w="1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20" w:type="dxa"/>
            <w:vAlign w:val="bottom"/>
            <w:vMerge w:val="restart"/>
          </w:tcPr>
          <w:p>
            <w:pPr>
              <w:jc w:val="center"/>
              <w:ind w:left="10"/>
              <w:spacing w:after="0"/>
              <w:rPr>
                <w:sz w:val="20"/>
                <w:szCs w:val="20"/>
                <w:color w:val="auto"/>
              </w:rPr>
            </w:pPr>
            <w:r>
              <w:rPr>
                <w:rFonts w:ascii="Arial" w:cs="Arial" w:eastAsia="Arial" w:hAnsi="Arial"/>
                <w:sz w:val="18"/>
                <w:szCs w:val="18"/>
                <w:b w:val="1"/>
                <w:bCs w:val="1"/>
                <w:color w:val="auto"/>
                <w:w w:val="95"/>
              </w:rPr>
              <w:t>Filed</w:t>
            </w:r>
          </w:p>
        </w:tc>
        <w:tc>
          <w:tcPr>
            <w:tcW w:w="0" w:type="dxa"/>
            <w:vAlign w:val="bottom"/>
          </w:tcPr>
          <w:p>
            <w:pPr>
              <w:spacing w:after="0"/>
              <w:rPr>
                <w:sz w:val="1"/>
                <w:szCs w:val="1"/>
                <w:color w:val="auto"/>
              </w:rPr>
            </w:pPr>
          </w:p>
        </w:tc>
      </w:tr>
      <w:tr>
        <w:trPr>
          <w:trHeight w:val="191"/>
        </w:trPr>
        <w:tc>
          <w:tcPr>
            <w:tcW w:w="106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number</w:t>
            </w:r>
          </w:p>
        </w:tc>
        <w:tc>
          <w:tcPr>
            <w:tcW w:w="12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520" w:type="dxa"/>
            <w:vAlign w:val="bottom"/>
            <w:tcBorders>
              <w:bottom w:val="single" w:sz="8" w:color="auto"/>
            </w:tcBorders>
            <w:gridSpan w:val="8"/>
          </w:tcPr>
          <w:p>
            <w:pPr>
              <w:ind w:left="400"/>
              <w:spacing w:after="0"/>
              <w:rPr>
                <w:sz w:val="20"/>
                <w:szCs w:val="20"/>
                <w:color w:val="auto"/>
              </w:rPr>
            </w:pPr>
            <w:r>
              <w:rPr>
                <w:rFonts w:ascii="Arial" w:cs="Arial" w:eastAsia="Arial" w:hAnsi="Arial"/>
                <w:sz w:val="18"/>
                <w:szCs w:val="18"/>
                <w:b w:val="1"/>
                <w:bCs w:val="1"/>
                <w:color w:val="auto"/>
              </w:rPr>
              <w:t>Exhibit description</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Form</w:t>
            </w:r>
          </w:p>
        </w:tc>
        <w:tc>
          <w:tcPr>
            <w:tcW w:w="10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Date</w:t>
            </w: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Number</w:t>
            </w:r>
          </w:p>
        </w:tc>
        <w:tc>
          <w:tcPr>
            <w:tcW w:w="10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1"/>
              </w:rPr>
              <w:t>herewith</w:t>
            </w:r>
          </w:p>
        </w:tc>
        <w:tc>
          <w:tcPr>
            <w:tcW w:w="0" w:type="dxa"/>
            <w:vAlign w:val="bottom"/>
          </w:tcPr>
          <w:p>
            <w:pPr>
              <w:spacing w:after="0"/>
              <w:rPr>
                <w:sz w:val="1"/>
                <w:szCs w:val="1"/>
                <w:color w:val="auto"/>
              </w:rPr>
            </w:pPr>
          </w:p>
        </w:tc>
      </w:tr>
      <w:tr>
        <w:trPr>
          <w:trHeight w:val="432"/>
        </w:trPr>
        <w:tc>
          <w:tcPr>
            <w:tcW w:w="1060" w:type="dxa"/>
            <w:vAlign w:val="bottom"/>
          </w:tcPr>
          <w:p>
            <w:pPr>
              <w:ind w:left="20"/>
              <w:spacing w:after="0"/>
              <w:rPr>
                <w:sz w:val="20"/>
                <w:szCs w:val="20"/>
                <w:color w:val="auto"/>
              </w:rPr>
            </w:pPr>
            <w:r>
              <w:rPr>
                <w:rFonts w:ascii="Arial" w:cs="Arial" w:eastAsia="Arial" w:hAnsi="Arial"/>
                <w:sz w:val="18"/>
                <w:szCs w:val="18"/>
                <w:color w:val="auto"/>
              </w:rPr>
              <w:t>10.11#</w:t>
            </w:r>
          </w:p>
        </w:tc>
        <w:tc>
          <w:tcPr>
            <w:tcW w:w="6620" w:type="dxa"/>
            <w:vAlign w:val="bottom"/>
            <w:gridSpan w:val="12"/>
          </w:tcPr>
          <w:p>
            <w:pPr>
              <w:spacing w:after="0"/>
              <w:rPr>
                <w:rFonts w:ascii="Arial" w:cs="Arial" w:eastAsia="Arial" w:hAnsi="Arial"/>
                <w:sz w:val="18"/>
                <w:szCs w:val="18"/>
                <w:color w:val="0000FF"/>
              </w:rPr>
            </w:pPr>
            <w:hyperlink r:id="rId402">
              <w:r>
                <w:rPr>
                  <w:rFonts w:ascii="Arial" w:cs="Arial" w:eastAsia="Arial" w:hAnsi="Arial"/>
                  <w:sz w:val="18"/>
                  <w:szCs w:val="18"/>
                  <w:color w:val="0000FF"/>
                </w:rPr>
                <w:t>Form of Indemnification Agreement for directors and officers.</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3"/>
              </w:rPr>
              <w:t>S-1/A</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2/3/2020</w:t>
            </w:r>
          </w:p>
        </w:tc>
        <w:tc>
          <w:tcPr>
            <w:tcW w:w="84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60" w:type="dxa"/>
            <w:vAlign w:val="bottom"/>
          </w:tcPr>
          <w:p>
            <w:pPr>
              <w:ind w:left="20"/>
              <w:spacing w:after="0"/>
              <w:rPr>
                <w:sz w:val="20"/>
                <w:szCs w:val="20"/>
                <w:color w:val="auto"/>
              </w:rPr>
            </w:pPr>
            <w:r>
              <w:rPr>
                <w:rFonts w:ascii="Arial" w:cs="Arial" w:eastAsia="Arial" w:hAnsi="Arial"/>
                <w:sz w:val="18"/>
                <w:szCs w:val="18"/>
                <w:color w:val="auto"/>
              </w:rPr>
              <w:t>10.12#</w:t>
            </w:r>
          </w:p>
        </w:tc>
        <w:tc>
          <w:tcPr>
            <w:tcW w:w="6620" w:type="dxa"/>
            <w:vAlign w:val="bottom"/>
            <w:gridSpan w:val="12"/>
          </w:tcPr>
          <w:p>
            <w:pPr>
              <w:spacing w:after="0"/>
              <w:rPr>
                <w:rFonts w:ascii="Arial" w:cs="Arial" w:eastAsia="Arial" w:hAnsi="Arial"/>
                <w:sz w:val="18"/>
                <w:szCs w:val="18"/>
                <w:color w:val="0000FF"/>
              </w:rPr>
            </w:pPr>
            <w:hyperlink r:id="rId403">
              <w:r>
                <w:rPr>
                  <w:rFonts w:ascii="Arial" w:cs="Arial" w:eastAsia="Arial" w:hAnsi="Arial"/>
                  <w:sz w:val="18"/>
                  <w:szCs w:val="18"/>
                  <w:color w:val="0000FF"/>
                </w:rPr>
                <w:t>Employment Agreement by and between Revolution Medicines, Inc.</w:t>
              </w:r>
            </w:hyperlink>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6620" w:type="dxa"/>
            <w:vAlign w:val="bottom"/>
            <w:gridSpan w:val="12"/>
          </w:tcPr>
          <w:p>
            <w:pPr>
              <w:spacing w:after="0" w:line="196" w:lineRule="exact"/>
              <w:rPr>
                <w:rFonts w:ascii="Arial" w:cs="Arial" w:eastAsia="Arial" w:hAnsi="Arial"/>
                <w:sz w:val="18"/>
                <w:szCs w:val="18"/>
                <w:color w:val="0000FF"/>
              </w:rPr>
            </w:pPr>
            <w:hyperlink r:id="rId403">
              <w:r>
                <w:rPr>
                  <w:rFonts w:ascii="Arial" w:cs="Arial" w:eastAsia="Arial" w:hAnsi="Arial"/>
                  <w:sz w:val="18"/>
                  <w:szCs w:val="18"/>
                  <w:color w:val="0000FF"/>
                </w:rPr>
                <w:t>and Jack Anders</w:t>
              </w:r>
            </w:hyperlink>
            <w:r>
              <w:rPr>
                <w:rFonts w:ascii="Arial" w:cs="Arial" w:eastAsia="Arial" w:hAnsi="Arial"/>
                <w:sz w:val="18"/>
                <w:szCs w:val="18"/>
                <w:color w:val="000000"/>
              </w:rPr>
              <w:t>.</w:t>
            </w:r>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94"/>
              </w:rPr>
              <w:t>10-Q</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0"/>
              </w:rPr>
              <w:t>05/09/2022</w:t>
            </w: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85"/>
              </w:rPr>
              <w:t>10.2</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60" w:type="dxa"/>
            <w:vAlign w:val="bottom"/>
          </w:tcPr>
          <w:p>
            <w:pPr>
              <w:ind w:left="20"/>
              <w:spacing w:after="0"/>
              <w:rPr>
                <w:sz w:val="20"/>
                <w:szCs w:val="20"/>
                <w:color w:val="auto"/>
              </w:rPr>
            </w:pPr>
            <w:r>
              <w:rPr>
                <w:rFonts w:ascii="Arial" w:cs="Arial" w:eastAsia="Arial" w:hAnsi="Arial"/>
                <w:sz w:val="18"/>
                <w:szCs w:val="18"/>
                <w:color w:val="auto"/>
              </w:rPr>
              <w:t>10.13#</w:t>
            </w:r>
          </w:p>
        </w:tc>
        <w:tc>
          <w:tcPr>
            <w:tcW w:w="6620" w:type="dxa"/>
            <w:vAlign w:val="bottom"/>
            <w:gridSpan w:val="12"/>
          </w:tcPr>
          <w:p>
            <w:pPr>
              <w:spacing w:after="0"/>
              <w:rPr>
                <w:rFonts w:ascii="Arial" w:cs="Arial" w:eastAsia="Arial" w:hAnsi="Arial"/>
                <w:sz w:val="18"/>
                <w:szCs w:val="18"/>
                <w:color w:val="0000FF"/>
              </w:rPr>
            </w:pPr>
            <w:hyperlink r:id="rId404">
              <w:r>
                <w:rPr>
                  <w:rFonts w:ascii="Arial" w:cs="Arial" w:eastAsia="Arial" w:hAnsi="Arial"/>
                  <w:sz w:val="18"/>
                  <w:szCs w:val="18"/>
                  <w:color w:val="0000FF"/>
                </w:rPr>
                <w:t>Employment Agreement by and between Revolution Medicines, Inc.</w:t>
              </w:r>
            </w:hyperlink>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2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6620" w:type="dxa"/>
            <w:vAlign w:val="bottom"/>
            <w:gridSpan w:val="12"/>
          </w:tcPr>
          <w:p>
            <w:pPr>
              <w:spacing w:after="0" w:line="196" w:lineRule="exact"/>
              <w:rPr>
                <w:rFonts w:ascii="Arial" w:cs="Arial" w:eastAsia="Arial" w:hAnsi="Arial"/>
                <w:sz w:val="18"/>
                <w:szCs w:val="18"/>
                <w:color w:val="0000FF"/>
              </w:rPr>
            </w:pPr>
            <w:hyperlink r:id="rId404">
              <w:r>
                <w:rPr>
                  <w:rFonts w:ascii="Arial" w:cs="Arial" w:eastAsia="Arial" w:hAnsi="Arial"/>
                  <w:sz w:val="18"/>
                  <w:szCs w:val="18"/>
                  <w:color w:val="0000FF"/>
                </w:rPr>
                <w:t>and Xiaolin Wang Sc.D</w:t>
              </w:r>
              <w:r>
                <w:rPr>
                  <w:rFonts w:ascii="Arial" w:cs="Arial" w:eastAsia="Arial" w:hAnsi="Arial"/>
                  <w:sz w:val="18"/>
                  <w:szCs w:val="18"/>
                  <w:color w:val="000000"/>
                </w:rPr>
                <w:t>.</w:t>
              </w:r>
            </w:hyperlink>
          </w:p>
        </w:tc>
        <w:tc>
          <w:tcPr>
            <w:tcW w:w="620" w:type="dxa"/>
            <w:vAlign w:val="bottom"/>
          </w:tcPr>
          <w:p>
            <w:pPr>
              <w:jc w:val="center"/>
              <w:spacing w:after="0" w:line="196" w:lineRule="exact"/>
              <w:rPr>
                <w:sz w:val="20"/>
                <w:szCs w:val="20"/>
                <w:color w:val="auto"/>
              </w:rPr>
            </w:pPr>
            <w:r>
              <w:rPr>
                <w:rFonts w:ascii="Arial" w:cs="Arial" w:eastAsia="Arial" w:hAnsi="Arial"/>
                <w:sz w:val="18"/>
                <w:szCs w:val="18"/>
                <w:color w:val="auto"/>
                <w:w w:val="94"/>
              </w:rPr>
              <w:t>10-Q</w:t>
            </w:r>
          </w:p>
        </w:tc>
        <w:tc>
          <w:tcPr>
            <w:tcW w:w="1080" w:type="dxa"/>
            <w:vAlign w:val="bottom"/>
          </w:tcPr>
          <w:p>
            <w:pPr>
              <w:jc w:val="center"/>
              <w:spacing w:after="0" w:line="196" w:lineRule="exact"/>
              <w:rPr>
                <w:sz w:val="20"/>
                <w:szCs w:val="20"/>
                <w:color w:val="auto"/>
              </w:rPr>
            </w:pPr>
            <w:r>
              <w:rPr>
                <w:rFonts w:ascii="Arial" w:cs="Arial" w:eastAsia="Arial" w:hAnsi="Arial"/>
                <w:sz w:val="18"/>
                <w:szCs w:val="18"/>
                <w:color w:val="auto"/>
                <w:w w:val="90"/>
              </w:rPr>
              <w:t>05/09/2022</w:t>
            </w:r>
          </w:p>
        </w:tc>
        <w:tc>
          <w:tcPr>
            <w:tcW w:w="840" w:type="dxa"/>
            <w:vAlign w:val="bottom"/>
          </w:tcPr>
          <w:p>
            <w:pPr>
              <w:jc w:val="center"/>
              <w:spacing w:after="0" w:line="196" w:lineRule="exact"/>
              <w:rPr>
                <w:sz w:val="20"/>
                <w:szCs w:val="20"/>
                <w:color w:val="auto"/>
              </w:rPr>
            </w:pPr>
            <w:r>
              <w:rPr>
                <w:rFonts w:ascii="Arial" w:cs="Arial" w:eastAsia="Arial" w:hAnsi="Arial"/>
                <w:sz w:val="18"/>
                <w:szCs w:val="18"/>
                <w:color w:val="auto"/>
                <w:w w:val="85"/>
              </w:rPr>
              <w:t>10.3</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72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60" w:type="dxa"/>
            <w:vAlign w:val="bottom"/>
          </w:tcPr>
          <w:p>
            <w:pPr>
              <w:ind w:left="20"/>
              <w:spacing w:after="0"/>
              <w:rPr>
                <w:sz w:val="20"/>
                <w:szCs w:val="20"/>
                <w:color w:val="auto"/>
              </w:rPr>
            </w:pPr>
            <w:r>
              <w:rPr>
                <w:rFonts w:ascii="Arial" w:cs="Arial" w:eastAsia="Arial" w:hAnsi="Arial"/>
                <w:sz w:val="18"/>
                <w:szCs w:val="18"/>
                <w:color w:val="auto"/>
              </w:rPr>
              <w:t>21.1</w:t>
            </w:r>
          </w:p>
        </w:tc>
        <w:tc>
          <w:tcPr>
            <w:tcW w:w="6620" w:type="dxa"/>
            <w:vAlign w:val="bottom"/>
            <w:gridSpan w:val="12"/>
          </w:tcPr>
          <w:p>
            <w:pPr>
              <w:spacing w:after="0"/>
              <w:rPr>
                <w:rFonts w:ascii="Arial" w:cs="Arial" w:eastAsia="Arial" w:hAnsi="Arial"/>
                <w:sz w:val="18"/>
                <w:szCs w:val="18"/>
                <w:color w:val="0000FF"/>
              </w:rPr>
            </w:pPr>
            <w:hyperlink r:id="rId405">
              <w:r>
                <w:rPr>
                  <w:rFonts w:ascii="Arial" w:cs="Arial" w:eastAsia="Arial" w:hAnsi="Arial"/>
                  <w:sz w:val="18"/>
                  <w:szCs w:val="18"/>
                  <w:color w:val="0000FF"/>
                </w:rPr>
                <w:t>Subsidiary of Registrant.</w:t>
              </w:r>
            </w:hyperlink>
          </w:p>
        </w:tc>
        <w:tc>
          <w:tcPr>
            <w:tcW w:w="620" w:type="dxa"/>
            <w:vAlign w:val="bottom"/>
          </w:tcPr>
          <w:p>
            <w:pPr>
              <w:jc w:val="center"/>
              <w:spacing w:after="0"/>
              <w:rPr>
                <w:sz w:val="20"/>
                <w:szCs w:val="20"/>
                <w:color w:val="auto"/>
              </w:rPr>
            </w:pPr>
            <w:r>
              <w:rPr>
                <w:rFonts w:ascii="Arial" w:cs="Arial" w:eastAsia="Arial" w:hAnsi="Arial"/>
                <w:sz w:val="18"/>
                <w:szCs w:val="18"/>
                <w:color w:val="auto"/>
                <w:w w:val="92"/>
              </w:rPr>
              <w:t>S-1</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1/17/2020</w:t>
            </w:r>
          </w:p>
        </w:tc>
        <w:tc>
          <w:tcPr>
            <w:tcW w:w="84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1800" w:type="dxa"/>
            <w:vAlign w:val="bottom"/>
            <w:tcBorders>
              <w:right w:val="single" w:sz="8" w:color="0000EE"/>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60" w:type="dxa"/>
            <w:vAlign w:val="bottom"/>
          </w:tcPr>
          <w:p>
            <w:pPr>
              <w:ind w:left="20"/>
              <w:spacing w:after="0"/>
              <w:rPr>
                <w:sz w:val="20"/>
                <w:szCs w:val="20"/>
                <w:color w:val="auto"/>
              </w:rPr>
            </w:pPr>
            <w:r>
              <w:rPr>
                <w:rFonts w:ascii="Arial" w:cs="Arial" w:eastAsia="Arial" w:hAnsi="Arial"/>
                <w:sz w:val="18"/>
                <w:szCs w:val="18"/>
                <w:color w:val="auto"/>
              </w:rPr>
              <w:t>23.1</w:t>
            </w:r>
          </w:p>
        </w:tc>
        <w:tc>
          <w:tcPr>
            <w:tcW w:w="6620" w:type="dxa"/>
            <w:vAlign w:val="bottom"/>
            <w:gridSpan w:val="12"/>
          </w:tcPr>
          <w:p>
            <w:pPr>
              <w:spacing w:after="0"/>
              <w:rPr>
                <w:sz w:val="20"/>
                <w:szCs w:val="20"/>
                <w:color w:val="auto"/>
              </w:rPr>
            </w:pPr>
            <w:r>
              <w:rPr>
                <w:rFonts w:ascii="Arial" w:cs="Arial" w:eastAsia="Arial" w:hAnsi="Arial"/>
                <w:sz w:val="18"/>
                <w:szCs w:val="18"/>
                <w:color w:val="0000FF"/>
              </w:rPr>
              <w:t>Consent of Independent Registered Public Accounting Firm.</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2260" w:type="dxa"/>
            <w:vAlign w:val="bottom"/>
            <w:tcBorders>
              <w:right w:val="single" w:sz="8" w:color="0000EE"/>
            </w:tcBorders>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60" w:type="dxa"/>
            <w:vAlign w:val="bottom"/>
          </w:tcPr>
          <w:p>
            <w:pPr>
              <w:ind w:left="20"/>
              <w:spacing w:after="0"/>
              <w:rPr>
                <w:sz w:val="20"/>
                <w:szCs w:val="20"/>
                <w:color w:val="auto"/>
              </w:rPr>
            </w:pPr>
            <w:r>
              <w:rPr>
                <w:rFonts w:ascii="Arial" w:cs="Arial" w:eastAsia="Arial" w:hAnsi="Arial"/>
                <w:sz w:val="18"/>
                <w:szCs w:val="18"/>
                <w:color w:val="auto"/>
              </w:rPr>
              <w:t>24.1</w:t>
            </w:r>
          </w:p>
        </w:tc>
        <w:tc>
          <w:tcPr>
            <w:tcW w:w="6620" w:type="dxa"/>
            <w:vAlign w:val="bottom"/>
            <w:gridSpan w:val="12"/>
          </w:tcPr>
          <w:p>
            <w:pPr>
              <w:spacing w:after="0"/>
              <w:rPr>
                <w:sz w:val="20"/>
                <w:szCs w:val="20"/>
                <w:color w:val="auto"/>
              </w:rPr>
            </w:pPr>
            <w:r>
              <w:rPr>
                <w:rFonts w:ascii="Arial" w:cs="Arial" w:eastAsia="Arial" w:hAnsi="Arial"/>
                <w:sz w:val="18"/>
                <w:szCs w:val="18"/>
                <w:color w:val="0000FF"/>
              </w:rPr>
              <w:t>Power of Attorney (included on signature page to this Form 10-K).</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2720" w:type="dxa"/>
            <w:vAlign w:val="bottom"/>
            <w:tcBorders>
              <w:right w:val="single" w:sz="8" w:color="0000EE"/>
            </w:tcBorders>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60" w:type="dxa"/>
            <w:vAlign w:val="bottom"/>
          </w:tcPr>
          <w:p>
            <w:pPr>
              <w:ind w:left="20"/>
              <w:spacing w:after="0"/>
              <w:rPr>
                <w:sz w:val="20"/>
                <w:szCs w:val="20"/>
                <w:color w:val="auto"/>
              </w:rPr>
            </w:pPr>
            <w:r>
              <w:rPr>
                <w:rFonts w:ascii="Arial" w:cs="Arial" w:eastAsia="Arial" w:hAnsi="Arial"/>
                <w:sz w:val="18"/>
                <w:szCs w:val="18"/>
                <w:color w:val="auto"/>
              </w:rPr>
              <w:t>31.1</w:t>
            </w:r>
          </w:p>
        </w:tc>
        <w:tc>
          <w:tcPr>
            <w:tcW w:w="6620" w:type="dxa"/>
            <w:vAlign w:val="bottom"/>
            <w:gridSpan w:val="12"/>
          </w:tcPr>
          <w:p>
            <w:pPr>
              <w:spacing w:after="0"/>
              <w:rPr>
                <w:sz w:val="20"/>
                <w:szCs w:val="20"/>
                <w:color w:val="auto"/>
              </w:rPr>
            </w:pPr>
            <w:r>
              <w:rPr>
                <w:rFonts w:ascii="Arial" w:cs="Arial" w:eastAsia="Arial" w:hAnsi="Arial"/>
                <w:sz w:val="18"/>
                <w:szCs w:val="18"/>
                <w:color w:val="0000FF"/>
                <w:w w:val="97"/>
              </w:rPr>
              <w:t>Certification of Principal Executive Officer Pursuant to Rules 13a-14(a) and 15d-14(a)</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6620" w:type="dxa"/>
            <w:vAlign w:val="bottom"/>
            <w:gridSpan w:val="12"/>
          </w:tcPr>
          <w:p>
            <w:pPr>
              <w:spacing w:after="0" w:line="196" w:lineRule="exact"/>
              <w:rPr>
                <w:sz w:val="20"/>
                <w:szCs w:val="20"/>
                <w:color w:val="auto"/>
              </w:rPr>
            </w:pPr>
            <w:r>
              <w:rPr>
                <w:rFonts w:ascii="Arial" w:cs="Arial" w:eastAsia="Arial" w:hAnsi="Arial"/>
                <w:sz w:val="18"/>
                <w:szCs w:val="18"/>
                <w:color w:val="0000FF"/>
                <w:w w:val="95"/>
              </w:rPr>
              <w:t>under the Securities Exchange Act of 1934, as Adopted Pursuant to Section 302 of the</w:t>
            </w: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2100" w:type="dxa"/>
            <w:vAlign w:val="bottom"/>
            <w:tcBorders>
              <w:right w:val="single" w:sz="8" w:color="0000FF"/>
            </w:tcBorders>
            <w:gridSpan w:val="4"/>
            <w:shd w:val="clear" w:color="auto" w:fill="0000FF"/>
          </w:tcPr>
          <w:p>
            <w:pPr>
              <w:spacing w:after="0" w:line="20" w:lineRule="exact"/>
              <w:rPr>
                <w:sz w:val="1"/>
                <w:szCs w:val="1"/>
                <w:color w:val="auto"/>
              </w:rPr>
            </w:pPr>
          </w:p>
        </w:tc>
        <w:tc>
          <w:tcPr>
            <w:tcW w:w="2860" w:type="dxa"/>
            <w:vAlign w:val="bottom"/>
            <w:gridSpan w:val="5"/>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6620" w:type="dxa"/>
            <w:vAlign w:val="bottom"/>
            <w:gridSpan w:val="12"/>
          </w:tcPr>
          <w:p>
            <w:pPr>
              <w:spacing w:after="0" w:line="196" w:lineRule="exact"/>
              <w:rPr>
                <w:sz w:val="20"/>
                <w:szCs w:val="20"/>
                <w:color w:val="auto"/>
              </w:rPr>
            </w:pPr>
            <w:r>
              <w:rPr>
                <w:rFonts w:ascii="Arial" w:cs="Arial" w:eastAsia="Arial" w:hAnsi="Arial"/>
                <w:sz w:val="18"/>
                <w:szCs w:val="18"/>
                <w:color w:val="0000FF"/>
              </w:rPr>
              <w:t>Sarbanes-Oxley Act of 2002.</w:t>
            </w: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4"/>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60" w:type="dxa"/>
            <w:vAlign w:val="bottom"/>
          </w:tcPr>
          <w:p>
            <w:pPr>
              <w:ind w:left="20"/>
              <w:spacing w:after="0"/>
              <w:rPr>
                <w:sz w:val="20"/>
                <w:szCs w:val="20"/>
                <w:color w:val="auto"/>
              </w:rPr>
            </w:pPr>
            <w:r>
              <w:rPr>
                <w:rFonts w:ascii="Arial" w:cs="Arial" w:eastAsia="Arial" w:hAnsi="Arial"/>
                <w:sz w:val="18"/>
                <w:szCs w:val="18"/>
                <w:color w:val="auto"/>
              </w:rPr>
              <w:t>31.2</w:t>
            </w:r>
          </w:p>
        </w:tc>
        <w:tc>
          <w:tcPr>
            <w:tcW w:w="6620" w:type="dxa"/>
            <w:vAlign w:val="bottom"/>
            <w:gridSpan w:val="12"/>
          </w:tcPr>
          <w:p>
            <w:pPr>
              <w:spacing w:after="0"/>
              <w:rPr>
                <w:sz w:val="20"/>
                <w:szCs w:val="20"/>
                <w:color w:val="auto"/>
              </w:rPr>
            </w:pPr>
            <w:r>
              <w:rPr>
                <w:rFonts w:ascii="Arial" w:cs="Arial" w:eastAsia="Arial" w:hAnsi="Arial"/>
                <w:sz w:val="18"/>
                <w:szCs w:val="18"/>
                <w:color w:val="0000FF"/>
                <w:w w:val="98"/>
              </w:rPr>
              <w:t>Certification of Principal Financial Officer Pursuant to Rules 13a-14(a) and 15d-14(a)</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960" w:type="dxa"/>
            <w:vAlign w:val="bottom"/>
            <w:gridSpan w:val="9"/>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6620" w:type="dxa"/>
            <w:vAlign w:val="bottom"/>
            <w:gridSpan w:val="12"/>
          </w:tcPr>
          <w:p>
            <w:pPr>
              <w:spacing w:after="0" w:line="196" w:lineRule="exact"/>
              <w:rPr>
                <w:sz w:val="20"/>
                <w:szCs w:val="20"/>
                <w:color w:val="auto"/>
              </w:rPr>
            </w:pPr>
            <w:r>
              <w:rPr>
                <w:rFonts w:ascii="Arial" w:cs="Arial" w:eastAsia="Arial" w:hAnsi="Arial"/>
                <w:sz w:val="18"/>
                <w:szCs w:val="18"/>
                <w:color w:val="0000FF"/>
                <w:w w:val="95"/>
              </w:rPr>
              <w:t>under the Securities Exchange Act of 1934, as Adopted Pursuant to Section 302 of the</w:t>
            </w: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960" w:type="dxa"/>
            <w:vAlign w:val="bottom"/>
            <w:gridSpan w:val="9"/>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6620" w:type="dxa"/>
            <w:vAlign w:val="bottom"/>
            <w:gridSpan w:val="12"/>
          </w:tcPr>
          <w:p>
            <w:pPr>
              <w:spacing w:after="0" w:line="196" w:lineRule="exact"/>
              <w:rPr>
                <w:sz w:val="20"/>
                <w:szCs w:val="20"/>
                <w:color w:val="auto"/>
              </w:rPr>
            </w:pPr>
            <w:r>
              <w:rPr>
                <w:rFonts w:ascii="Arial" w:cs="Arial" w:eastAsia="Arial" w:hAnsi="Arial"/>
                <w:sz w:val="18"/>
                <w:szCs w:val="18"/>
                <w:color w:val="0000FF"/>
              </w:rPr>
              <w:t>Sarbanes-Oxley Act of 2002.</w:t>
            </w: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4"/>
            <w:shd w:val="clear" w:color="auto" w:fill="0000FF"/>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60" w:type="dxa"/>
            <w:vAlign w:val="bottom"/>
          </w:tcPr>
          <w:p>
            <w:pPr>
              <w:ind w:left="20"/>
              <w:spacing w:after="0"/>
              <w:rPr>
                <w:sz w:val="20"/>
                <w:szCs w:val="20"/>
                <w:color w:val="auto"/>
              </w:rPr>
            </w:pPr>
            <w:r>
              <w:rPr>
                <w:rFonts w:ascii="Arial" w:cs="Arial" w:eastAsia="Arial" w:hAnsi="Arial"/>
                <w:sz w:val="18"/>
                <w:szCs w:val="18"/>
                <w:color w:val="auto"/>
              </w:rPr>
              <w:t>32.1*</w:t>
            </w:r>
          </w:p>
        </w:tc>
        <w:tc>
          <w:tcPr>
            <w:tcW w:w="6620" w:type="dxa"/>
            <w:vAlign w:val="bottom"/>
            <w:gridSpan w:val="12"/>
          </w:tcPr>
          <w:p>
            <w:pPr>
              <w:spacing w:after="0"/>
              <w:rPr>
                <w:sz w:val="20"/>
                <w:szCs w:val="20"/>
                <w:color w:val="auto"/>
              </w:rPr>
            </w:pPr>
            <w:r>
              <w:rPr>
                <w:rFonts w:ascii="Arial" w:cs="Arial" w:eastAsia="Arial" w:hAnsi="Arial"/>
                <w:sz w:val="18"/>
                <w:szCs w:val="18"/>
                <w:color w:val="0000FF"/>
              </w:rPr>
              <w:t>Certification of Principal Executive Officer Pursuant to 18 U.S.C. Section 1350, as</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4960" w:type="dxa"/>
            <w:vAlign w:val="bottom"/>
            <w:gridSpan w:val="9"/>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6620" w:type="dxa"/>
            <w:vAlign w:val="bottom"/>
            <w:gridSpan w:val="12"/>
          </w:tcPr>
          <w:p>
            <w:pPr>
              <w:spacing w:after="0" w:line="196" w:lineRule="exact"/>
              <w:rPr>
                <w:sz w:val="20"/>
                <w:szCs w:val="20"/>
                <w:color w:val="auto"/>
              </w:rPr>
            </w:pPr>
            <w:r>
              <w:rPr>
                <w:rFonts w:ascii="Arial" w:cs="Arial" w:eastAsia="Arial" w:hAnsi="Arial"/>
                <w:sz w:val="18"/>
                <w:szCs w:val="18"/>
                <w:color w:val="0000FF"/>
              </w:rPr>
              <w:t>Adopted Pursuant to Section 906 of the Sarbanes-Oxley Act of 2002.</w:t>
            </w: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4960" w:type="dxa"/>
            <w:vAlign w:val="bottom"/>
            <w:gridSpan w:val="9"/>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60" w:type="dxa"/>
            <w:vAlign w:val="bottom"/>
          </w:tcPr>
          <w:p>
            <w:pPr>
              <w:ind w:left="20"/>
              <w:spacing w:after="0"/>
              <w:rPr>
                <w:sz w:val="20"/>
                <w:szCs w:val="20"/>
                <w:color w:val="auto"/>
              </w:rPr>
            </w:pPr>
            <w:r>
              <w:rPr>
                <w:rFonts w:ascii="Arial" w:cs="Arial" w:eastAsia="Arial" w:hAnsi="Arial"/>
                <w:sz w:val="18"/>
                <w:szCs w:val="18"/>
                <w:color w:val="auto"/>
              </w:rPr>
              <w:t>32.2*</w:t>
            </w:r>
          </w:p>
        </w:tc>
        <w:tc>
          <w:tcPr>
            <w:tcW w:w="6620" w:type="dxa"/>
            <w:vAlign w:val="bottom"/>
            <w:gridSpan w:val="12"/>
          </w:tcPr>
          <w:p>
            <w:pPr>
              <w:spacing w:after="0"/>
              <w:rPr>
                <w:sz w:val="20"/>
                <w:szCs w:val="20"/>
                <w:color w:val="auto"/>
              </w:rPr>
            </w:pPr>
            <w:r>
              <w:rPr>
                <w:rFonts w:ascii="Arial" w:cs="Arial" w:eastAsia="Arial" w:hAnsi="Arial"/>
                <w:sz w:val="18"/>
                <w:szCs w:val="18"/>
                <w:color w:val="0000FF"/>
              </w:rPr>
              <w:t>Certification of Principal Financial Officer Pursuant to 18 U.S.C. Section 1350, as</w:t>
            </w:r>
          </w:p>
        </w:tc>
        <w:tc>
          <w:tcPr>
            <w:tcW w:w="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5960" w:type="dxa"/>
            <w:vAlign w:val="bottom"/>
            <w:gridSpan w:val="10"/>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6620" w:type="dxa"/>
            <w:vAlign w:val="bottom"/>
            <w:gridSpan w:val="12"/>
          </w:tcPr>
          <w:p>
            <w:pPr>
              <w:spacing w:after="0" w:line="196" w:lineRule="exact"/>
              <w:rPr>
                <w:sz w:val="20"/>
                <w:szCs w:val="20"/>
                <w:color w:val="auto"/>
              </w:rPr>
            </w:pPr>
            <w:r>
              <w:rPr>
                <w:rFonts w:ascii="Arial" w:cs="Arial" w:eastAsia="Arial" w:hAnsi="Arial"/>
                <w:sz w:val="18"/>
                <w:szCs w:val="18"/>
                <w:color w:val="0000FF"/>
              </w:rPr>
              <w:t>Adopted Pursuant to Section 906 of the Sarbanes-Oxley Act of 2002.</w:t>
            </w:r>
          </w:p>
        </w:tc>
        <w:tc>
          <w:tcPr>
            <w:tcW w:w="6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60" w:type="dxa"/>
            <w:vAlign w:val="bottom"/>
            <w:tcBorders>
              <w:right w:val="single" w:sz="8" w:color="0000EE"/>
            </w:tcBorders>
          </w:tcPr>
          <w:p>
            <w:pPr>
              <w:spacing w:after="0" w:line="20" w:lineRule="exact"/>
              <w:rPr>
                <w:sz w:val="1"/>
                <w:szCs w:val="1"/>
                <w:color w:val="auto"/>
              </w:rPr>
            </w:pPr>
          </w:p>
        </w:tc>
        <w:tc>
          <w:tcPr>
            <w:tcW w:w="4960" w:type="dxa"/>
            <w:vAlign w:val="bottom"/>
            <w:gridSpan w:val="9"/>
            <w:shd w:val="clear" w:color="auto" w:fill="0000FF"/>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060" w:type="dxa"/>
            <w:vAlign w:val="bottom"/>
          </w:tcPr>
          <w:p>
            <w:pPr>
              <w:ind w:left="20"/>
              <w:spacing w:after="0"/>
              <w:rPr>
                <w:sz w:val="20"/>
                <w:szCs w:val="20"/>
                <w:color w:val="auto"/>
              </w:rPr>
            </w:pPr>
            <w:r>
              <w:rPr>
                <w:rFonts w:ascii="Arial" w:cs="Arial" w:eastAsia="Arial" w:hAnsi="Arial"/>
                <w:sz w:val="18"/>
                <w:szCs w:val="18"/>
                <w:color w:val="auto"/>
              </w:rPr>
              <w:t>101.INS</w:t>
            </w:r>
          </w:p>
        </w:tc>
        <w:tc>
          <w:tcPr>
            <w:tcW w:w="6620" w:type="dxa"/>
            <w:vAlign w:val="bottom"/>
            <w:gridSpan w:val="12"/>
          </w:tcPr>
          <w:p>
            <w:pPr>
              <w:spacing w:after="0"/>
              <w:rPr>
                <w:sz w:val="20"/>
                <w:szCs w:val="20"/>
                <w:color w:val="auto"/>
              </w:rPr>
            </w:pPr>
            <w:r>
              <w:rPr>
                <w:rFonts w:ascii="Arial" w:cs="Arial" w:eastAsia="Arial" w:hAnsi="Arial"/>
                <w:sz w:val="18"/>
                <w:szCs w:val="18"/>
                <w:color w:val="auto"/>
              </w:rPr>
              <w:t>Inline XBRL Instance Document.</w:t>
            </w:r>
          </w:p>
        </w:tc>
        <w:tc>
          <w:tcPr>
            <w:tcW w:w="6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3"/>
        </w:trPr>
        <w:tc>
          <w:tcPr>
            <w:tcW w:w="1060" w:type="dxa"/>
            <w:vAlign w:val="bottom"/>
          </w:tcPr>
          <w:p>
            <w:pPr>
              <w:ind w:left="20"/>
              <w:spacing w:after="0"/>
              <w:rPr>
                <w:sz w:val="20"/>
                <w:szCs w:val="20"/>
                <w:color w:val="auto"/>
              </w:rPr>
            </w:pPr>
            <w:r>
              <w:rPr>
                <w:rFonts w:ascii="Arial" w:cs="Arial" w:eastAsia="Arial" w:hAnsi="Arial"/>
                <w:sz w:val="18"/>
                <w:szCs w:val="18"/>
                <w:color w:val="auto"/>
              </w:rPr>
              <w:t>101.SCH</w:t>
            </w:r>
          </w:p>
        </w:tc>
        <w:tc>
          <w:tcPr>
            <w:tcW w:w="662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3"/>
        </w:trPr>
        <w:tc>
          <w:tcPr>
            <w:tcW w:w="1060" w:type="dxa"/>
            <w:vAlign w:val="bottom"/>
          </w:tcPr>
          <w:p>
            <w:pPr>
              <w:ind w:left="20"/>
              <w:spacing w:after="0"/>
              <w:rPr>
                <w:sz w:val="20"/>
                <w:szCs w:val="20"/>
                <w:color w:val="auto"/>
              </w:rPr>
            </w:pPr>
            <w:r>
              <w:rPr>
                <w:rFonts w:ascii="Arial" w:cs="Arial" w:eastAsia="Arial" w:hAnsi="Arial"/>
                <w:sz w:val="18"/>
                <w:szCs w:val="18"/>
                <w:color w:val="auto"/>
              </w:rPr>
              <w:t>101.CAL</w:t>
            </w:r>
          </w:p>
        </w:tc>
        <w:tc>
          <w:tcPr>
            <w:tcW w:w="662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3"/>
        </w:trPr>
        <w:tc>
          <w:tcPr>
            <w:tcW w:w="1060" w:type="dxa"/>
            <w:vAlign w:val="bottom"/>
          </w:tcPr>
          <w:p>
            <w:pPr>
              <w:ind w:left="20"/>
              <w:spacing w:after="0"/>
              <w:rPr>
                <w:sz w:val="20"/>
                <w:szCs w:val="20"/>
                <w:color w:val="auto"/>
              </w:rPr>
            </w:pPr>
            <w:r>
              <w:rPr>
                <w:rFonts w:ascii="Arial" w:cs="Arial" w:eastAsia="Arial" w:hAnsi="Arial"/>
                <w:sz w:val="18"/>
                <w:szCs w:val="18"/>
                <w:color w:val="auto"/>
              </w:rPr>
              <w:t>101.DEF</w:t>
            </w:r>
          </w:p>
        </w:tc>
        <w:tc>
          <w:tcPr>
            <w:tcW w:w="662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3"/>
        </w:trPr>
        <w:tc>
          <w:tcPr>
            <w:tcW w:w="1060" w:type="dxa"/>
            <w:vAlign w:val="bottom"/>
          </w:tcPr>
          <w:p>
            <w:pPr>
              <w:ind w:left="20"/>
              <w:spacing w:after="0"/>
              <w:rPr>
                <w:sz w:val="20"/>
                <w:szCs w:val="20"/>
                <w:color w:val="auto"/>
              </w:rPr>
            </w:pPr>
            <w:r>
              <w:rPr>
                <w:rFonts w:ascii="Arial" w:cs="Arial" w:eastAsia="Arial" w:hAnsi="Arial"/>
                <w:sz w:val="18"/>
                <w:szCs w:val="18"/>
                <w:color w:val="auto"/>
              </w:rPr>
              <w:t>101.LAB</w:t>
            </w:r>
          </w:p>
        </w:tc>
        <w:tc>
          <w:tcPr>
            <w:tcW w:w="662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43"/>
        </w:trPr>
        <w:tc>
          <w:tcPr>
            <w:tcW w:w="1060" w:type="dxa"/>
            <w:vAlign w:val="bottom"/>
          </w:tcPr>
          <w:p>
            <w:pPr>
              <w:ind w:left="20"/>
              <w:spacing w:after="0"/>
              <w:rPr>
                <w:sz w:val="20"/>
                <w:szCs w:val="20"/>
                <w:color w:val="auto"/>
              </w:rPr>
            </w:pPr>
            <w:r>
              <w:rPr>
                <w:rFonts w:ascii="Arial" w:cs="Arial" w:eastAsia="Arial" w:hAnsi="Arial"/>
                <w:sz w:val="18"/>
                <w:szCs w:val="18"/>
                <w:color w:val="auto"/>
              </w:rPr>
              <w:t>101.PRE</w:t>
            </w:r>
          </w:p>
        </w:tc>
        <w:tc>
          <w:tcPr>
            <w:tcW w:w="662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9"/>
        </w:trPr>
        <w:tc>
          <w:tcPr>
            <w:tcW w:w="1060" w:type="dxa"/>
            <w:vAlign w:val="bottom"/>
          </w:tcPr>
          <w:p>
            <w:pPr>
              <w:ind w:left="20"/>
              <w:spacing w:after="0"/>
              <w:rPr>
                <w:sz w:val="20"/>
                <w:szCs w:val="20"/>
                <w:color w:val="auto"/>
              </w:rPr>
            </w:pPr>
            <w:r>
              <w:rPr>
                <w:rFonts w:ascii="Arial" w:cs="Arial" w:eastAsia="Arial" w:hAnsi="Arial"/>
                <w:sz w:val="18"/>
                <w:szCs w:val="18"/>
                <w:color w:val="auto"/>
              </w:rPr>
              <w:t>104</w:t>
            </w:r>
          </w:p>
        </w:tc>
        <w:tc>
          <w:tcPr>
            <w:tcW w:w="6620" w:type="dxa"/>
            <w:vAlign w:val="bottom"/>
            <w:gridSpan w:val="12"/>
          </w:tcPr>
          <w:p>
            <w:pPr>
              <w:spacing w:after="0"/>
              <w:rPr>
                <w:sz w:val="20"/>
                <w:szCs w:val="20"/>
                <w:color w:val="auto"/>
              </w:rPr>
            </w:pPr>
            <w:r>
              <w:rPr>
                <w:rFonts w:ascii="Arial" w:cs="Arial" w:eastAsia="Arial" w:hAnsi="Arial"/>
                <w:sz w:val="18"/>
                <w:szCs w:val="18"/>
                <w:color w:val="auto"/>
                <w:w w:val="96"/>
              </w:rPr>
              <w:t>The cover page from Revolution Medicines, Inc.’s Annual Report on Form 10-K for the</w:t>
            </w:r>
          </w:p>
        </w:tc>
        <w:tc>
          <w:tcPr>
            <w:tcW w:w="6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20" w:type="dxa"/>
            <w:vAlign w:val="bottom"/>
          </w:tcPr>
          <w:p>
            <w:pPr>
              <w:jc w:val="center"/>
              <w:ind w:left="10"/>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6620" w:type="dxa"/>
            <w:vAlign w:val="bottom"/>
            <w:gridSpan w:val="12"/>
          </w:tcPr>
          <w:p>
            <w:pPr>
              <w:spacing w:after="0"/>
              <w:rPr>
                <w:sz w:val="20"/>
                <w:szCs w:val="20"/>
                <w:color w:val="auto"/>
              </w:rPr>
            </w:pPr>
            <w:r>
              <w:rPr>
                <w:rFonts w:ascii="Arial" w:cs="Arial" w:eastAsia="Arial" w:hAnsi="Arial"/>
                <w:sz w:val="18"/>
                <w:szCs w:val="18"/>
                <w:color w:val="auto"/>
                <w:w w:val="95"/>
              </w:rPr>
              <w:t>year ended December 31, 2022, formatted in Inline XBRL and contained in Exhibit 101.</w:t>
            </w: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55689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6">
                      <a:extLst>
                        <a:ext uri="{28A0092B-C50C-407E-A947-70E740481C1C}"/>
                      </a:extLst>
                    </a:blip>
                    <a:srcRect/>
                    <a:stretch>
                      <a:fillRect/>
                    </a:stretch>
                  </pic:blipFill>
                  <pic:spPr bwMode="auto">
                    <a:xfrm>
                      <a:off x="0" y="0"/>
                      <a:ext cx="556895" cy="8890"/>
                    </a:xfrm>
                    <a:prstGeom prst="rect">
                      <a:avLst/>
                    </a:prstGeom>
                    <a:noFill/>
                  </pic:spPr>
                </pic:pic>
              </a:graphicData>
            </a:graphic>
          </wp:anchor>
        </w:drawing>
      </w:r>
    </w:p>
    <w:p>
      <w:pPr>
        <w:spacing w:after="0" w:line="172" w:lineRule="exact"/>
        <w:rPr>
          <w:sz w:val="20"/>
          <w:szCs w:val="20"/>
          <w:color w:val="auto"/>
        </w:rPr>
      </w:pPr>
    </w:p>
    <w:p>
      <w:pPr>
        <w:ind w:right="400" w:firstLine="8"/>
        <w:spacing w:after="0" w:line="274" w:lineRule="auto"/>
        <w:tabs>
          <w:tab w:leader="none" w:pos="101" w:val="left"/>
        </w:tabs>
        <w:numPr>
          <w:ilvl w:val="0"/>
          <w:numId w:val="80"/>
        </w:numPr>
        <w:rPr>
          <w:rFonts w:ascii="Arial" w:cs="Arial" w:eastAsia="Arial" w:hAnsi="Arial"/>
          <w:sz w:val="13"/>
          <w:szCs w:val="13"/>
          <w:color w:val="auto"/>
        </w:rPr>
      </w:pPr>
      <w:r>
        <w:rPr>
          <w:rFonts w:ascii="Arial" w:cs="Arial" w:eastAsia="Arial" w:hAnsi="Arial"/>
          <w:sz w:val="13"/>
          <w:szCs w:val="13"/>
          <w:color w:val="auto"/>
        </w:rPr>
        <w:t>Portions of the exhibit, marked by brackets, have been omitted because the omitted information (i) is not material and (ii) is the type of information that Revolution Medicines, Inc. treats as private or confidential.</w:t>
      </w:r>
    </w:p>
    <w:p>
      <w:pPr>
        <w:spacing w:after="0" w:line="64" w:lineRule="exact"/>
        <w:rPr>
          <w:sz w:val="20"/>
          <w:szCs w:val="20"/>
          <w:color w:val="auto"/>
        </w:rPr>
      </w:pPr>
    </w:p>
    <w:p>
      <w:pPr>
        <w:spacing w:after="0"/>
        <w:rPr>
          <w:sz w:val="20"/>
          <w:szCs w:val="20"/>
          <w:color w:val="auto"/>
        </w:rPr>
      </w:pPr>
      <w:r>
        <w:rPr>
          <w:rFonts w:ascii="Arial" w:cs="Arial" w:eastAsia="Arial" w:hAnsi="Arial"/>
          <w:sz w:val="13"/>
          <w:szCs w:val="13"/>
          <w:color w:val="auto"/>
        </w:rPr>
        <w:t># Indicates management contract or compensatory plan.</w:t>
      </w:r>
    </w:p>
    <w:p>
      <w:pPr>
        <w:spacing w:after="0" w:line="107" w:lineRule="exact"/>
        <w:rPr>
          <w:sz w:val="20"/>
          <w:szCs w:val="20"/>
          <w:color w:val="auto"/>
        </w:rPr>
      </w:pPr>
    </w:p>
    <w:p>
      <w:pPr>
        <w:ind w:right="120" w:firstLine="8"/>
        <w:spacing w:after="0" w:line="256" w:lineRule="auto"/>
        <w:tabs>
          <w:tab w:leader="none" w:pos="101" w:val="left"/>
        </w:tabs>
        <w:numPr>
          <w:ilvl w:val="0"/>
          <w:numId w:val="81"/>
        </w:numPr>
        <w:rPr>
          <w:rFonts w:ascii="Arial" w:cs="Arial" w:eastAsia="Arial" w:hAnsi="Arial"/>
          <w:sz w:val="13"/>
          <w:szCs w:val="13"/>
          <w:color w:val="auto"/>
        </w:rPr>
      </w:pPr>
      <w:r>
        <w:rPr>
          <w:rFonts w:ascii="Arial" w:cs="Arial" w:eastAsia="Arial" w:hAnsi="Arial"/>
          <w:sz w:val="13"/>
          <w:szCs w:val="13"/>
          <w:color w:val="auto"/>
        </w:rPr>
        <w:t>The certifications attached as Exhibits 32.1 and 32.2 that accompany this Annual Report on Form 10-K, are deemed furnished and not filed with the Securities and Exchange Commission and are not to be incorporated by reference into any filing of Revolution Medicines,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7" w:right="339" w:bottom="1440" w:gutter="0" w:footer="0" w:header="0"/>
        </w:sectPr>
      </w:pPr>
    </w:p>
    <w:bookmarkStart w:id="129" w:name="page130"/>
    <w:bookmarkEnd w:id="129"/>
    <w:p>
      <w:pPr>
        <w:jc w:val="center"/>
        <w:ind w:left="50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50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97"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Revolution Medicines, Inc.</w:t>
      </w:r>
    </w:p>
    <w:p>
      <w:pPr>
        <w:spacing w:after="0" w:line="252" w:lineRule="exact"/>
        <w:rPr>
          <w:sz w:val="20"/>
          <w:szCs w:val="20"/>
          <w:color w:val="auto"/>
        </w:rPr>
      </w:pPr>
    </w:p>
    <w:p>
      <w:pPr>
        <w:ind w:left="20"/>
        <w:spacing w:after="0"/>
        <w:tabs>
          <w:tab w:leader="none" w:pos="5680" w:val="left"/>
          <w:tab w:leader="none" w:pos="7800" w:val="left"/>
        </w:tabs>
        <w:rPr>
          <w:sz w:val="20"/>
          <w:szCs w:val="20"/>
          <w:color w:val="auto"/>
        </w:rPr>
      </w:pPr>
      <w:r>
        <w:rPr>
          <w:rFonts w:ascii="Arial" w:cs="Arial" w:eastAsia="Arial" w:hAnsi="Arial"/>
          <w:sz w:val="18"/>
          <w:szCs w:val="18"/>
          <w:color w:val="auto"/>
        </w:rPr>
        <w:t>Date: February 27,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Goldsmith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23495</wp:posOffset>
            </wp:positionV>
            <wp:extent cx="330898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8">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7"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Mark A. Goldsmith, M.D., Ph.D.</w:t>
      </w:r>
    </w:p>
    <w:p>
      <w:pPr>
        <w:spacing w:after="0" w:line="23" w:lineRule="exact"/>
        <w:rPr>
          <w:sz w:val="20"/>
          <w:szCs w:val="20"/>
          <w:color w:val="auto"/>
        </w:rPr>
      </w:pPr>
    </w:p>
    <w:p>
      <w:pPr>
        <w:jc w:val="center"/>
        <w:ind w:left="6000"/>
        <w:spacing w:after="0"/>
        <w:rPr>
          <w:sz w:val="20"/>
          <w:szCs w:val="20"/>
          <w:color w:val="auto"/>
        </w:rPr>
      </w:pPr>
      <w:r>
        <w:rPr>
          <w:rFonts w:ascii="Arial" w:cs="Arial" w:eastAsia="Arial" w:hAnsi="Arial"/>
          <w:sz w:val="18"/>
          <w:szCs w:val="18"/>
          <w:color w:val="auto"/>
        </w:rPr>
        <w:t>President and Chief Executive Officer</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02" w:lineRule="exact"/>
        <w:rPr>
          <w:sz w:val="20"/>
          <w:szCs w:val="20"/>
          <w:color w:val="auto"/>
        </w:rPr>
      </w:pPr>
    </w:p>
    <w:p>
      <w:pPr>
        <w:ind w:right="40" w:firstLine="509"/>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hereby constitutes and appoints Mark A. Goldsmith, M.D., Ph.D., Margaret A. Horn and Jack Anders, and each of them acting individually, as his or her true and lawful attorneys-in-fact and agents, each with full power of substitution, for him in any and all capacities, to sign any and all amendments to this annual report on Form 10-K,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204"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this Report has been signed below by the following persons on behalf of the Registrant in the capacities and on the dates indicated.</w:t>
      </w:r>
    </w:p>
    <w:p>
      <w:pPr>
        <w:spacing w:after="0" w:line="202" w:lineRule="exact"/>
        <w:rPr>
          <w:sz w:val="20"/>
          <w:szCs w:val="20"/>
          <w:color w:val="auto"/>
        </w:rPr>
      </w:pPr>
    </w:p>
    <w:p>
      <w:pPr>
        <w:ind w:left="1680"/>
        <w:spacing w:after="0"/>
        <w:tabs>
          <w:tab w:leader="none" w:pos="6120" w:val="left"/>
          <w:tab w:leader="none" w:pos="9860" w:val="left"/>
        </w:tabs>
        <w:rPr>
          <w:sz w:val="20"/>
          <w:szCs w:val="20"/>
          <w:color w:val="auto"/>
        </w:rPr>
      </w:pPr>
      <w:r>
        <w:rPr>
          <w:rFonts w:ascii="Arial" w:cs="Arial" w:eastAsia="Arial" w:hAnsi="Arial"/>
          <w:sz w:val="14"/>
          <w:szCs w:val="14"/>
          <w:b w:val="1"/>
          <w:bCs w:val="1"/>
          <w:color w:val="auto"/>
        </w:rPr>
        <w:t>Name</w:t>
      </w:r>
      <w:r>
        <w:rPr>
          <w:sz w:val="20"/>
          <w:szCs w:val="20"/>
          <w:color w:val="auto"/>
        </w:rPr>
        <w:tab/>
      </w:r>
      <w:r>
        <w:rPr>
          <w:rFonts w:ascii="Arial" w:cs="Arial" w:eastAsia="Arial" w:hAnsi="Arial"/>
          <w:sz w:val="14"/>
          <w:szCs w:val="14"/>
          <w:b w:val="1"/>
          <w:bCs w:val="1"/>
          <w:color w:val="auto"/>
        </w:rPr>
        <w:t>Title</w:t>
      </w:r>
      <w:r>
        <w:rPr>
          <w:sz w:val="20"/>
          <w:szCs w:val="20"/>
          <w:color w:val="auto"/>
        </w:rPr>
        <w:tab/>
      </w:r>
      <w:r>
        <w:rPr>
          <w:rFonts w:ascii="Arial" w:cs="Arial" w:eastAsia="Arial" w:hAnsi="Arial"/>
          <w:sz w:val="13"/>
          <w:szCs w:val="13"/>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323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553" w:right="439" w:bottom="898" w:gutter="0" w:footer="0" w:header="0"/>
        </w:sectPr>
      </w:pP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Mark A. Goldsmith</w:t>
            </w:r>
          </w:p>
        </w:tc>
        <w:tc>
          <w:tcPr>
            <w:tcW w:w="3560" w:type="dxa"/>
            <w:vAlign w:val="bottom"/>
          </w:tcPr>
          <w:p>
            <w:pPr>
              <w:ind w:left="140"/>
              <w:spacing w:after="0"/>
              <w:rPr>
                <w:sz w:val="20"/>
                <w:szCs w:val="20"/>
                <w:color w:val="auto"/>
              </w:rPr>
            </w:pPr>
            <w:r>
              <w:rPr>
                <w:rFonts w:ascii="Arial" w:cs="Arial" w:eastAsia="Arial" w:hAnsi="Arial"/>
                <w:sz w:val="18"/>
                <w:szCs w:val="18"/>
                <w:color w:val="auto"/>
                <w:w w:val="91"/>
              </w:rPr>
              <w:t>President, Chief Executive Officer and Director</w:t>
            </w:r>
          </w:p>
        </w:tc>
      </w:tr>
      <w:tr>
        <w:trPr>
          <w:trHeight w:val="446"/>
        </w:trPr>
        <w:tc>
          <w:tcPr>
            <w:tcW w:w="3720" w:type="dxa"/>
            <w:vAlign w:val="bottom"/>
          </w:tcPr>
          <w:p>
            <w:pPr>
              <w:jc w:val="center"/>
              <w:spacing w:after="0"/>
              <w:rPr>
                <w:sz w:val="20"/>
                <w:szCs w:val="20"/>
                <w:color w:val="auto"/>
              </w:rPr>
            </w:pPr>
            <w:r>
              <w:rPr>
                <w:rFonts w:ascii="Arial" w:cs="Arial" w:eastAsia="Arial" w:hAnsi="Arial"/>
                <w:sz w:val="18"/>
                <w:szCs w:val="18"/>
                <w:color w:val="auto"/>
                <w:w w:val="94"/>
              </w:rPr>
              <w:t>Mark A. Goldsmith, M.D., Ph.D.</w:t>
            </w:r>
          </w:p>
        </w:tc>
        <w:tc>
          <w:tcPr>
            <w:tcW w:w="3560" w:type="dxa"/>
            <w:vAlign w:val="bottom"/>
          </w:tcPr>
          <w:p>
            <w:pPr>
              <w:ind w:left="180"/>
              <w:spacing w:after="0"/>
              <w:rPr>
                <w:sz w:val="20"/>
                <w:szCs w:val="20"/>
                <w:color w:val="auto"/>
              </w:rPr>
            </w:pPr>
            <w:r>
              <w:rPr>
                <w:rFonts w:ascii="Arial" w:cs="Arial" w:eastAsia="Arial" w:hAnsi="Arial"/>
                <w:sz w:val="18"/>
                <w:szCs w:val="18"/>
                <w:i w:val="1"/>
                <w:iCs w:val="1"/>
                <w:color w:val="auto"/>
              </w:rPr>
              <w:t>(Principal Executive Officer)</w:t>
            </w:r>
          </w:p>
        </w:tc>
      </w:tr>
      <w:tr>
        <w:trPr>
          <w:trHeight w:val="60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Jack Anders</w:t>
            </w:r>
          </w:p>
        </w:tc>
        <w:tc>
          <w:tcPr>
            <w:tcW w:w="3560" w:type="dxa"/>
            <w:vAlign w:val="bottom"/>
          </w:tcPr>
          <w:p>
            <w:pPr>
              <w:ind w:left="140"/>
              <w:spacing w:after="0"/>
              <w:rPr>
                <w:sz w:val="20"/>
                <w:szCs w:val="20"/>
                <w:color w:val="auto"/>
              </w:rPr>
            </w:pPr>
            <w:r>
              <w:rPr>
                <w:rFonts w:ascii="Arial" w:cs="Arial" w:eastAsia="Arial" w:hAnsi="Arial"/>
                <w:sz w:val="18"/>
                <w:szCs w:val="18"/>
                <w:color w:val="auto"/>
              </w:rPr>
              <w:t>Chief Financial Officer</w:t>
            </w:r>
          </w:p>
        </w:tc>
      </w:tr>
      <w:tr>
        <w:trPr>
          <w:trHeight w:val="446"/>
        </w:trPr>
        <w:tc>
          <w:tcPr>
            <w:tcW w:w="3720" w:type="dxa"/>
            <w:vAlign w:val="bottom"/>
          </w:tcPr>
          <w:p>
            <w:pPr>
              <w:jc w:val="center"/>
              <w:spacing w:after="0"/>
              <w:rPr>
                <w:sz w:val="20"/>
                <w:szCs w:val="20"/>
                <w:color w:val="auto"/>
              </w:rPr>
            </w:pPr>
            <w:r>
              <w:rPr>
                <w:rFonts w:ascii="Arial" w:cs="Arial" w:eastAsia="Arial" w:hAnsi="Arial"/>
                <w:sz w:val="18"/>
                <w:szCs w:val="18"/>
                <w:color w:val="auto"/>
                <w:w w:val="88"/>
              </w:rPr>
              <w:t>Jack Anders</w:t>
            </w:r>
          </w:p>
        </w:tc>
        <w:tc>
          <w:tcPr>
            <w:tcW w:w="3560" w:type="dxa"/>
            <w:vAlign w:val="bottom"/>
          </w:tcPr>
          <w:p>
            <w:pPr>
              <w:ind w:left="180"/>
              <w:spacing w:after="0"/>
              <w:rPr>
                <w:sz w:val="20"/>
                <w:szCs w:val="20"/>
                <w:color w:val="auto"/>
              </w:rPr>
            </w:pPr>
            <w:r>
              <w:rPr>
                <w:rFonts w:ascii="Arial" w:cs="Arial" w:eastAsia="Arial" w:hAnsi="Arial"/>
                <w:sz w:val="18"/>
                <w:szCs w:val="18"/>
                <w:i w:val="1"/>
                <w:iCs w:val="1"/>
                <w:color w:val="auto"/>
                <w:w w:val="97"/>
              </w:rPr>
              <w:t>(Principal Financial and Accounting Officer)</w:t>
            </w:r>
          </w:p>
        </w:tc>
      </w:tr>
      <w:tr>
        <w:trPr>
          <w:trHeight w:val="601"/>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Elizabeth McKee Anderson</w:t>
            </w:r>
          </w:p>
        </w:tc>
        <w:tc>
          <w:tcPr>
            <w:tcW w:w="356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92"/>
              </w:rPr>
              <w:t>Elizabeth McKee Anderson</w:t>
            </w:r>
          </w:p>
        </w:tc>
        <w:tc>
          <w:tcPr>
            <w:tcW w:w="3560" w:type="dxa"/>
            <w:vAlign w:val="bottom"/>
          </w:tcPr>
          <w:p>
            <w:pPr>
              <w:spacing w:after="0"/>
              <w:rPr>
                <w:sz w:val="20"/>
                <w:szCs w:val="20"/>
                <w:color w:val="auto"/>
              </w:rPr>
            </w:pPr>
          </w:p>
        </w:tc>
      </w:tr>
      <w:tr>
        <w:trPr>
          <w:trHeight w:val="6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Flavia Borellini</w:t>
            </w:r>
          </w:p>
        </w:tc>
        <w:tc>
          <w:tcPr>
            <w:tcW w:w="356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95"/>
              </w:rPr>
              <w:t>Flavia Borellini, Ph.D.</w:t>
            </w:r>
          </w:p>
        </w:tc>
        <w:tc>
          <w:tcPr>
            <w:tcW w:w="3560" w:type="dxa"/>
            <w:vAlign w:val="bottom"/>
          </w:tcPr>
          <w:p>
            <w:pPr>
              <w:spacing w:after="0"/>
              <w:rPr>
                <w:sz w:val="20"/>
                <w:szCs w:val="20"/>
                <w:color w:val="auto"/>
              </w:rPr>
            </w:pPr>
          </w:p>
        </w:tc>
      </w:tr>
      <w:tr>
        <w:trPr>
          <w:trHeight w:val="6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Alexis Borisy</w:t>
            </w:r>
          </w:p>
        </w:tc>
        <w:tc>
          <w:tcPr>
            <w:tcW w:w="356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97"/>
              </w:rPr>
              <w:t>Alexis Borisy</w:t>
            </w:r>
          </w:p>
        </w:tc>
        <w:tc>
          <w:tcPr>
            <w:tcW w:w="3560" w:type="dxa"/>
            <w:vAlign w:val="bottom"/>
          </w:tcPr>
          <w:p>
            <w:pPr>
              <w:spacing w:after="0"/>
              <w:rPr>
                <w:sz w:val="20"/>
                <w:szCs w:val="20"/>
                <w:color w:val="auto"/>
              </w:rPr>
            </w:pPr>
          </w:p>
        </w:tc>
      </w:tr>
      <w:tr>
        <w:trPr>
          <w:trHeight w:val="6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Sushil Patel</w:t>
            </w:r>
          </w:p>
        </w:tc>
        <w:tc>
          <w:tcPr>
            <w:tcW w:w="356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90"/>
              </w:rPr>
              <w:t>Sushil Patel, Ph.D.</w:t>
            </w:r>
          </w:p>
        </w:tc>
        <w:tc>
          <w:tcPr>
            <w:tcW w:w="3560" w:type="dxa"/>
            <w:vAlign w:val="bottom"/>
          </w:tcPr>
          <w:p>
            <w:pPr>
              <w:spacing w:after="0"/>
              <w:rPr>
                <w:sz w:val="20"/>
                <w:szCs w:val="20"/>
                <w:color w:val="auto"/>
              </w:rPr>
            </w:pPr>
          </w:p>
        </w:tc>
      </w:tr>
      <w:tr>
        <w:trPr>
          <w:trHeight w:val="398"/>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Lorence Kim</w:t>
            </w:r>
          </w:p>
        </w:tc>
        <w:tc>
          <w:tcPr>
            <w:tcW w:w="3560" w:type="dxa"/>
            <w:vAlign w:val="bottom"/>
          </w:tcPr>
          <w:p>
            <w:pPr>
              <w:ind w:left="140"/>
              <w:spacing w:after="0"/>
              <w:rPr>
                <w:sz w:val="20"/>
                <w:szCs w:val="20"/>
                <w:color w:val="auto"/>
              </w:rPr>
            </w:pPr>
            <w:r>
              <w:rPr>
                <w:rFonts w:ascii="Arial" w:cs="Arial" w:eastAsia="Arial" w:hAnsi="Arial"/>
                <w:sz w:val="18"/>
                <w:szCs w:val="18"/>
                <w:color w:val="auto"/>
              </w:rPr>
              <w:t>Director</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95"/>
              </w:rPr>
              <w:t>Lorence Kim, M.D.</w:t>
            </w:r>
          </w:p>
        </w:tc>
        <w:tc>
          <w:tcPr>
            <w:tcW w:w="3560" w:type="dxa"/>
            <w:vAlign w:val="bottom"/>
          </w:tcPr>
          <w:p>
            <w:pPr>
              <w:spacing w:after="0"/>
              <w:rPr>
                <w:sz w:val="20"/>
                <w:szCs w:val="20"/>
                <w:color w:val="auto"/>
              </w:rPr>
            </w:pPr>
          </w:p>
        </w:tc>
      </w:tr>
      <w:tr>
        <w:trPr>
          <w:trHeight w:val="6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Eric Schmidt</w:t>
            </w:r>
          </w:p>
        </w:tc>
        <w:tc>
          <w:tcPr>
            <w:tcW w:w="356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92"/>
              </w:rPr>
              <w:t>Eric Schmidt. Ph.D.</w:t>
            </w:r>
          </w:p>
        </w:tc>
        <w:tc>
          <w:tcPr>
            <w:tcW w:w="3560" w:type="dxa"/>
            <w:vAlign w:val="bottom"/>
          </w:tcPr>
          <w:p>
            <w:pPr>
              <w:spacing w:after="0"/>
              <w:rPr>
                <w:sz w:val="20"/>
                <w:szCs w:val="20"/>
                <w:color w:val="auto"/>
              </w:rPr>
            </w:pPr>
          </w:p>
        </w:tc>
      </w:tr>
      <w:tr>
        <w:trPr>
          <w:trHeight w:val="6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Thilo Schroeder</w:t>
            </w:r>
          </w:p>
        </w:tc>
        <w:tc>
          <w:tcPr>
            <w:tcW w:w="356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91"/>
              </w:rPr>
              <w:t>Thilo Schroeder, Ph.D.</w:t>
            </w:r>
          </w:p>
        </w:tc>
        <w:tc>
          <w:tcPr>
            <w:tcW w:w="3560" w:type="dxa"/>
            <w:vAlign w:val="bottom"/>
          </w:tcPr>
          <w:p>
            <w:pPr>
              <w:spacing w:after="0"/>
              <w:rPr>
                <w:sz w:val="20"/>
                <w:szCs w:val="20"/>
                <w:color w:val="auto"/>
              </w:rPr>
            </w:pPr>
          </w:p>
        </w:tc>
      </w:tr>
      <w:tr>
        <w:trPr>
          <w:trHeight w:val="600"/>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Barbara Weber</w:t>
            </w:r>
          </w:p>
        </w:tc>
        <w:tc>
          <w:tcPr>
            <w:tcW w:w="3560" w:type="dxa"/>
            <w:vAlign w:val="bottom"/>
          </w:tcPr>
          <w:p>
            <w:pPr>
              <w:ind w:left="180"/>
              <w:spacing w:after="0"/>
              <w:rPr>
                <w:sz w:val="20"/>
                <w:szCs w:val="20"/>
                <w:color w:val="auto"/>
              </w:rPr>
            </w:pPr>
            <w:r>
              <w:rPr>
                <w:rFonts w:ascii="Arial" w:cs="Arial" w:eastAsia="Arial" w:hAnsi="Arial"/>
                <w:sz w:val="18"/>
                <w:szCs w:val="18"/>
                <w:color w:val="auto"/>
              </w:rPr>
              <w:t>Director</w:t>
            </w: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90"/>
              </w:rPr>
              <w:t>Barbara Weber, M.D.</w:t>
            </w:r>
          </w:p>
        </w:tc>
        <w:tc>
          <w:tcPr>
            <w:tcW w:w="3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2023</w:t>
      </w:r>
    </w:p>
    <w:p>
      <w:pPr>
        <w:spacing w:after="0" w:line="490" w:lineRule="exact"/>
        <w:rPr>
          <w:sz w:val="20"/>
          <w:szCs w:val="20"/>
          <w:color w:val="auto"/>
        </w:rPr>
      </w:pPr>
    </w:p>
    <w:p>
      <w:pPr>
        <w:sectPr>
          <w:pgSz w:w="11900" w:h="16838" w:orient="portrait"/>
          <w:cols w:equalWidth="0" w:num="2">
            <w:col w:w="8160" w:space="720"/>
            <w:col w:w="2260"/>
          </w:cols>
          <w:pgMar w:left="320" w:top="553" w:right="439" w:bottom="898" w:gutter="0" w:footer="0" w:header="0"/>
          <w:type w:val="continuous"/>
        </w:sectPr>
      </w:pPr>
    </w:p>
    <w:p>
      <w:pPr>
        <w:spacing w:after="0" w:line="23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553" w:right="439" w:bottom="898" w:gutter="0" w:footer="0" w:header="0"/>
          <w:type w:val="continuous"/>
        </w:sectPr>
      </w:pPr>
    </w:p>
    <w:bookmarkStart w:id="130" w:name="page131"/>
    <w:bookmarkEnd w:id="130"/>
    <w:p>
      <w:pPr>
        <w:jc w:val="right"/>
        <w:spacing w:after="0"/>
        <w:rPr>
          <w:sz w:val="20"/>
          <w:szCs w:val="20"/>
          <w:color w:val="auto"/>
        </w:rPr>
      </w:pPr>
      <w:r>
        <w:rPr>
          <w:rFonts w:ascii="Arial" w:cs="Arial" w:eastAsia="Arial" w:hAnsi="Arial"/>
          <w:sz w:val="18"/>
          <w:szCs w:val="18"/>
          <w:color w:val="auto"/>
        </w:rPr>
        <w:t>Exhibit 23.1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hereby consent to the incorporation by reference in the Registration Statements on Form S-8 (No. 333-263098, No.333-253791, No. 333-236493) and Form S-3 (No. 333-253790) of Revolution Medicines, Inc. of our report dated February 27, 2023 relating to the financial statements and the effectiveness of internal control over financial reporting, which appears in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6"/>
          <w:szCs w:val="16"/>
          <w:b w:val="1"/>
          <w:bCs w:val="1"/>
          <w:color w:val="auto"/>
        </w:rPr>
        <w:t>Exhibit 31.1</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 Mark A. Goldsmith, certify that:</w:t>
      </w:r>
    </w:p>
    <w:p>
      <w:pPr>
        <w:spacing w:after="0" w:line="247" w:lineRule="exact"/>
        <w:rPr>
          <w:sz w:val="20"/>
          <w:szCs w:val="20"/>
          <w:color w:val="auto"/>
        </w:rPr>
      </w:pPr>
    </w:p>
    <w:p>
      <w:pPr>
        <w:ind w:left="520" w:hanging="512"/>
        <w:spacing w:after="0"/>
        <w:tabs>
          <w:tab w:leader="none" w:pos="520" w:val="left"/>
        </w:tabs>
        <w:numPr>
          <w:ilvl w:val="0"/>
          <w:numId w:val="82"/>
        </w:numPr>
        <w:rPr>
          <w:rFonts w:ascii="Arial" w:cs="Arial" w:eastAsia="Arial" w:hAnsi="Arial"/>
          <w:sz w:val="18"/>
          <w:szCs w:val="18"/>
          <w:color w:val="auto"/>
        </w:rPr>
      </w:pPr>
      <w:r>
        <w:rPr>
          <w:rFonts w:ascii="Arial" w:cs="Arial" w:eastAsia="Arial" w:hAnsi="Arial"/>
          <w:sz w:val="16"/>
          <w:szCs w:val="16"/>
          <w:color w:val="auto"/>
        </w:rPr>
        <w:t>I have reviewed this Annual Report on Form 10-K of Revolution Medicines, Inc.;</w:t>
      </w:r>
    </w:p>
    <w:p>
      <w:pPr>
        <w:spacing w:after="0" w:line="225" w:lineRule="exact"/>
        <w:rPr>
          <w:rFonts w:ascii="Arial" w:cs="Arial" w:eastAsia="Arial" w:hAnsi="Arial"/>
          <w:sz w:val="18"/>
          <w:szCs w:val="18"/>
          <w:color w:val="auto"/>
        </w:rPr>
      </w:pPr>
    </w:p>
    <w:p>
      <w:pPr>
        <w:ind w:left="520" w:right="140" w:hanging="512"/>
        <w:spacing w:after="0" w:line="296" w:lineRule="auto"/>
        <w:tabs>
          <w:tab w:leader="none" w:pos="520" w:val="left"/>
        </w:tabs>
        <w:numPr>
          <w:ilvl w:val="0"/>
          <w:numId w:val="82"/>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7"/>
          <w:szCs w:val="17"/>
          <w:color w:val="auto"/>
        </w:rPr>
      </w:pPr>
    </w:p>
    <w:p>
      <w:pPr>
        <w:ind w:left="520" w:right="660" w:hanging="512"/>
        <w:spacing w:after="0" w:line="263"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6" w:lineRule="exact"/>
        <w:rPr>
          <w:rFonts w:ascii="Arial" w:cs="Arial" w:eastAsia="Arial" w:hAnsi="Arial"/>
          <w:sz w:val="18"/>
          <w:szCs w:val="18"/>
          <w:color w:val="auto"/>
        </w:rPr>
      </w:pPr>
    </w:p>
    <w:p>
      <w:pPr>
        <w:ind w:left="520" w:hanging="512"/>
        <w:spacing w:after="0"/>
        <w:tabs>
          <w:tab w:leader="none" w:pos="520" w:val="left"/>
        </w:tabs>
        <w:numPr>
          <w:ilvl w:val="0"/>
          <w:numId w:val="82"/>
        </w:numPr>
        <w:rPr>
          <w:rFonts w:ascii="Arial" w:cs="Arial" w:eastAsia="Arial" w:hAnsi="Arial"/>
          <w:sz w:val="16"/>
          <w:szCs w:val="16"/>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28"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36" w:lineRule="exact"/>
        <w:rPr>
          <w:rFonts w:ascii="Arial" w:cs="Arial" w:eastAsia="Arial" w:hAnsi="Arial"/>
          <w:sz w:val="16"/>
          <w:szCs w:val="16"/>
          <w:color w:val="auto"/>
        </w:rPr>
      </w:pPr>
    </w:p>
    <w:p>
      <w:pPr>
        <w:ind w:left="1020" w:right="40" w:hanging="503"/>
        <w:spacing w:after="0" w:line="278" w:lineRule="auto"/>
        <w:tabs>
          <w:tab w:leader="none" w:pos="10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1020" w:right="180" w:hanging="503"/>
        <w:spacing w:after="0" w:line="278" w:lineRule="auto"/>
        <w:tabs>
          <w:tab w:leader="none" w:pos="10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1020" w:right="180" w:hanging="503"/>
        <w:spacing w:after="0" w:line="293" w:lineRule="auto"/>
        <w:tabs>
          <w:tab w:leader="none" w:pos="10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Arial" w:cs="Arial" w:eastAsia="Arial" w:hAnsi="Arial"/>
          <w:sz w:val="16"/>
          <w:szCs w:val="16"/>
          <w:color w:val="auto"/>
        </w:rPr>
      </w:pPr>
    </w:p>
    <w:p>
      <w:pPr>
        <w:ind w:left="1020" w:right="120" w:hanging="503"/>
        <w:spacing w:after="0" w:line="278" w:lineRule="auto"/>
        <w:tabs>
          <w:tab w:leader="none" w:pos="10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6"/>
          <w:szCs w:val="16"/>
          <w:color w:val="auto"/>
        </w:rPr>
      </w:pPr>
    </w:p>
    <w:p>
      <w:pPr>
        <w:ind w:left="520" w:right="440" w:hanging="512"/>
        <w:spacing w:after="0" w:line="263"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2" w:lineRule="exact"/>
        <w:rPr>
          <w:rFonts w:ascii="Arial" w:cs="Arial" w:eastAsia="Arial" w:hAnsi="Arial"/>
          <w:sz w:val="18"/>
          <w:szCs w:val="18"/>
          <w:color w:val="auto"/>
        </w:rPr>
      </w:pPr>
    </w:p>
    <w:p>
      <w:pPr>
        <w:ind w:left="1020" w:right="360" w:hanging="503"/>
        <w:spacing w:after="0" w:line="293" w:lineRule="auto"/>
        <w:tabs>
          <w:tab w:leader="none" w:pos="10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6"/>
          <w:szCs w:val="16"/>
          <w:color w:val="auto"/>
        </w:rPr>
      </w:pPr>
    </w:p>
    <w:p>
      <w:pPr>
        <w:ind w:left="1020" w:right="560" w:hanging="503"/>
        <w:spacing w:after="0" w:line="293" w:lineRule="auto"/>
        <w:tabs>
          <w:tab w:leader="none" w:pos="10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Pr>
          <w:p>
            <w:pPr>
              <w:ind w:left="20"/>
              <w:spacing w:after="0"/>
              <w:rPr>
                <w:sz w:val="20"/>
                <w:szCs w:val="20"/>
                <w:color w:val="auto"/>
              </w:rPr>
            </w:pPr>
            <w:r>
              <w:rPr>
                <w:rFonts w:ascii="Arial" w:cs="Arial" w:eastAsia="Arial" w:hAnsi="Arial"/>
                <w:sz w:val="16"/>
                <w:szCs w:val="16"/>
                <w:color w:val="auto"/>
              </w:rPr>
              <w:t>Date: February 27, 2023</w:t>
            </w:r>
          </w:p>
        </w:tc>
        <w:tc>
          <w:tcPr>
            <w:tcW w:w="2460" w:type="dxa"/>
            <w:vAlign w:val="bottom"/>
          </w:tcPr>
          <w:p>
            <w:pPr>
              <w:ind w:left="1800"/>
              <w:spacing w:after="0"/>
              <w:rPr>
                <w:sz w:val="20"/>
                <w:szCs w:val="20"/>
                <w:color w:val="auto"/>
              </w:rPr>
            </w:pPr>
            <w:r>
              <w:rPr>
                <w:rFonts w:ascii="Arial" w:cs="Arial" w:eastAsia="Arial" w:hAnsi="Arial"/>
                <w:sz w:val="16"/>
                <w:szCs w:val="16"/>
                <w:color w:val="auto"/>
              </w:rPr>
              <w:t>By:</w:t>
            </w:r>
          </w:p>
        </w:tc>
        <w:tc>
          <w:tcPr>
            <w:tcW w:w="53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/s/ Mark A. Goldsmith</w:t>
            </w:r>
          </w:p>
        </w:tc>
      </w:tr>
      <w:tr>
        <w:trPr>
          <w:trHeight w:val="203"/>
        </w:trPr>
        <w:tc>
          <w:tcPr>
            <w:tcW w:w="34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380" w:type="dxa"/>
            <w:vAlign w:val="bottom"/>
          </w:tcPr>
          <w:p>
            <w:pPr>
              <w:jc w:val="center"/>
              <w:spacing w:after="0"/>
              <w:rPr>
                <w:sz w:val="20"/>
                <w:szCs w:val="20"/>
                <w:color w:val="auto"/>
              </w:rPr>
            </w:pPr>
            <w:r>
              <w:rPr>
                <w:rFonts w:ascii="Arial" w:cs="Arial" w:eastAsia="Arial" w:hAnsi="Arial"/>
                <w:sz w:val="16"/>
                <w:szCs w:val="16"/>
                <w:color w:val="auto"/>
                <w:w w:val="95"/>
              </w:rPr>
              <w:t>Mark A. Goldsmith, M.D., Ph.D.</w:t>
            </w:r>
          </w:p>
        </w:tc>
      </w:tr>
      <w:tr>
        <w:trPr>
          <w:trHeight w:val="203"/>
        </w:trPr>
        <w:tc>
          <w:tcPr>
            <w:tcW w:w="34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380" w:type="dxa"/>
            <w:vAlign w:val="bottom"/>
          </w:tcPr>
          <w:p>
            <w:pPr>
              <w:jc w:val="center"/>
              <w:spacing w:after="0"/>
              <w:rPr>
                <w:sz w:val="20"/>
                <w:szCs w:val="20"/>
                <w:color w:val="auto"/>
              </w:rPr>
            </w:pPr>
            <w:r>
              <w:rPr>
                <w:rFonts w:ascii="Arial" w:cs="Arial" w:eastAsia="Arial" w:hAnsi="Arial"/>
                <w:sz w:val="16"/>
                <w:szCs w:val="16"/>
                <w:color w:val="auto"/>
                <w:w w:val="92"/>
              </w:rPr>
              <w:t>President and Chief Executive Officer</w:t>
            </w:r>
          </w:p>
        </w:tc>
      </w:tr>
      <w:tr>
        <w:trPr>
          <w:trHeight w:val="206"/>
        </w:trPr>
        <w:tc>
          <w:tcPr>
            <w:tcW w:w="340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5380" w:type="dxa"/>
            <w:vAlign w:val="bottom"/>
          </w:tcPr>
          <w:p>
            <w:pPr>
              <w:jc w:val="center"/>
              <w:spacing w:after="0"/>
              <w:rPr>
                <w:sz w:val="20"/>
                <w:szCs w:val="20"/>
                <w:color w:val="auto"/>
              </w:rPr>
            </w:pPr>
            <w:r>
              <w:rPr>
                <w:rFonts w:ascii="Arial" w:cs="Arial" w:eastAsia="Arial" w:hAnsi="Arial"/>
                <w:sz w:val="16"/>
                <w:szCs w:val="16"/>
                <w:color w:val="auto"/>
                <w:w w:val="95"/>
              </w:rPr>
              <w:t>(Principal Executive Officer)</w:t>
            </w:r>
          </w:p>
        </w:tc>
      </w:tr>
      <w:tr>
        <w:trPr>
          <w:trHeight w:val="350"/>
        </w:trPr>
        <w:tc>
          <w:tcPr>
            <w:tcW w:w="34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6"/>
          <w:szCs w:val="16"/>
          <w:b w:val="1"/>
          <w:bCs w:val="1"/>
          <w:color w:val="auto"/>
        </w:rPr>
        <w:t>Exhibit 31.2</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RULES 13a-14(a) AND 15d-14(a) UNDER THE SECURITIES EXCHANGE ACT OF 1934,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I, Jack Anders, certify that:</w:t>
      </w:r>
    </w:p>
    <w:p>
      <w:pPr>
        <w:spacing w:after="0" w:line="247" w:lineRule="exact"/>
        <w:rPr>
          <w:sz w:val="20"/>
          <w:szCs w:val="20"/>
          <w:color w:val="auto"/>
        </w:rPr>
      </w:pPr>
    </w:p>
    <w:p>
      <w:pPr>
        <w:ind w:left="520" w:hanging="512"/>
        <w:spacing w:after="0"/>
        <w:tabs>
          <w:tab w:leader="none" w:pos="520" w:val="left"/>
        </w:tabs>
        <w:numPr>
          <w:ilvl w:val="0"/>
          <w:numId w:val="83"/>
        </w:numPr>
        <w:rPr>
          <w:rFonts w:ascii="Arial" w:cs="Arial" w:eastAsia="Arial" w:hAnsi="Arial"/>
          <w:sz w:val="18"/>
          <w:szCs w:val="18"/>
          <w:color w:val="auto"/>
        </w:rPr>
      </w:pPr>
      <w:r>
        <w:rPr>
          <w:rFonts w:ascii="Arial" w:cs="Arial" w:eastAsia="Arial" w:hAnsi="Arial"/>
          <w:sz w:val="16"/>
          <w:szCs w:val="16"/>
          <w:color w:val="auto"/>
        </w:rPr>
        <w:t>I have reviewed this Annual Report on Form 10-K of Revolution Medicines, Inc.;</w:t>
      </w:r>
    </w:p>
    <w:p>
      <w:pPr>
        <w:spacing w:after="0" w:line="225" w:lineRule="exact"/>
        <w:rPr>
          <w:rFonts w:ascii="Arial" w:cs="Arial" w:eastAsia="Arial" w:hAnsi="Arial"/>
          <w:sz w:val="18"/>
          <w:szCs w:val="18"/>
          <w:color w:val="auto"/>
        </w:rPr>
      </w:pPr>
    </w:p>
    <w:p>
      <w:pPr>
        <w:ind w:left="520" w:right="140" w:hanging="512"/>
        <w:spacing w:after="0" w:line="296" w:lineRule="auto"/>
        <w:tabs>
          <w:tab w:leader="none" w:pos="520" w:val="left"/>
        </w:tabs>
        <w:numPr>
          <w:ilvl w:val="0"/>
          <w:numId w:val="83"/>
        </w:numPr>
        <w:rPr>
          <w:rFonts w:ascii="Arial" w:cs="Arial" w:eastAsia="Arial" w:hAnsi="Arial"/>
          <w:sz w:val="17"/>
          <w:szCs w:val="17"/>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7"/>
          <w:szCs w:val="17"/>
          <w:color w:val="auto"/>
        </w:rPr>
      </w:pPr>
    </w:p>
    <w:p>
      <w:pPr>
        <w:ind w:left="520" w:right="660" w:hanging="512"/>
        <w:spacing w:after="0" w:line="263"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6" w:lineRule="exact"/>
        <w:rPr>
          <w:rFonts w:ascii="Arial" w:cs="Arial" w:eastAsia="Arial" w:hAnsi="Arial"/>
          <w:sz w:val="18"/>
          <w:szCs w:val="18"/>
          <w:color w:val="auto"/>
        </w:rPr>
      </w:pPr>
    </w:p>
    <w:p>
      <w:pPr>
        <w:ind w:left="520" w:hanging="512"/>
        <w:spacing w:after="0"/>
        <w:tabs>
          <w:tab w:leader="none" w:pos="520" w:val="left"/>
        </w:tabs>
        <w:numPr>
          <w:ilvl w:val="0"/>
          <w:numId w:val="83"/>
        </w:numPr>
        <w:rPr>
          <w:rFonts w:ascii="Arial" w:cs="Arial" w:eastAsia="Arial" w:hAnsi="Arial"/>
          <w:sz w:val="16"/>
          <w:szCs w:val="16"/>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28" w:lineRule="exact"/>
        <w:rPr>
          <w:rFonts w:ascii="Arial" w:cs="Arial" w:eastAsia="Arial" w:hAnsi="Arial"/>
          <w:sz w:val="16"/>
          <w:szCs w:val="16"/>
          <w:color w:val="auto"/>
        </w:rPr>
      </w:pPr>
    </w:p>
    <w:p>
      <w:pPr>
        <w:ind w:left="520"/>
        <w:spacing w:after="0"/>
        <w:rPr>
          <w:rFonts w:ascii="Arial" w:cs="Arial" w:eastAsia="Arial" w:hAnsi="Arial"/>
          <w:sz w:val="16"/>
          <w:szCs w:val="16"/>
          <w:color w:val="auto"/>
        </w:rPr>
      </w:pPr>
      <w:r>
        <w:rPr>
          <w:rFonts w:ascii="Arial" w:cs="Arial" w:eastAsia="Arial" w:hAnsi="Arial"/>
          <w:sz w:val="15"/>
          <w:szCs w:val="15"/>
          <w:color w:val="auto"/>
        </w:rPr>
        <w:t>13a-15(e) and 15d-15(e)) and internal control over financial reporting (as defined in Exchange Act Rules 13a-15(f) and 15d-15(f)) for the registrant and have:</w:t>
      </w:r>
    </w:p>
    <w:p>
      <w:pPr>
        <w:spacing w:after="0" w:line="236" w:lineRule="exact"/>
        <w:rPr>
          <w:rFonts w:ascii="Arial" w:cs="Arial" w:eastAsia="Arial" w:hAnsi="Arial"/>
          <w:sz w:val="16"/>
          <w:szCs w:val="16"/>
          <w:color w:val="auto"/>
        </w:rPr>
      </w:pPr>
    </w:p>
    <w:p>
      <w:pPr>
        <w:ind w:left="1020" w:right="40" w:hanging="503"/>
        <w:spacing w:after="0" w:line="278" w:lineRule="auto"/>
        <w:tabs>
          <w:tab w:leader="none" w:pos="10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4" w:lineRule="exact"/>
        <w:rPr>
          <w:rFonts w:ascii="Arial" w:cs="Arial" w:eastAsia="Arial" w:hAnsi="Arial"/>
          <w:sz w:val="16"/>
          <w:szCs w:val="16"/>
          <w:color w:val="auto"/>
        </w:rPr>
      </w:pPr>
    </w:p>
    <w:p>
      <w:pPr>
        <w:ind w:left="1020" w:right="180" w:hanging="503"/>
        <w:spacing w:after="0" w:line="278" w:lineRule="auto"/>
        <w:tabs>
          <w:tab w:leader="none" w:pos="10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4" w:lineRule="exact"/>
        <w:rPr>
          <w:rFonts w:ascii="Arial" w:cs="Arial" w:eastAsia="Arial" w:hAnsi="Arial"/>
          <w:sz w:val="16"/>
          <w:szCs w:val="16"/>
          <w:color w:val="auto"/>
        </w:rPr>
      </w:pPr>
    </w:p>
    <w:p>
      <w:pPr>
        <w:ind w:left="1020" w:right="180" w:hanging="503"/>
        <w:spacing w:after="0" w:line="293" w:lineRule="auto"/>
        <w:tabs>
          <w:tab w:leader="none" w:pos="10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1" w:lineRule="exact"/>
        <w:rPr>
          <w:rFonts w:ascii="Arial" w:cs="Arial" w:eastAsia="Arial" w:hAnsi="Arial"/>
          <w:sz w:val="16"/>
          <w:szCs w:val="16"/>
          <w:color w:val="auto"/>
        </w:rPr>
      </w:pPr>
    </w:p>
    <w:p>
      <w:pPr>
        <w:ind w:left="1020" w:right="120" w:hanging="503"/>
        <w:spacing w:after="0" w:line="278" w:lineRule="auto"/>
        <w:tabs>
          <w:tab w:leader="none" w:pos="10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6"/>
          <w:szCs w:val="16"/>
          <w:color w:val="auto"/>
        </w:rPr>
      </w:pPr>
    </w:p>
    <w:p>
      <w:pPr>
        <w:ind w:left="520" w:right="440" w:hanging="512"/>
        <w:spacing w:after="0" w:line="263"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2" w:lineRule="exact"/>
        <w:rPr>
          <w:rFonts w:ascii="Arial" w:cs="Arial" w:eastAsia="Arial" w:hAnsi="Arial"/>
          <w:sz w:val="18"/>
          <w:szCs w:val="18"/>
          <w:color w:val="auto"/>
        </w:rPr>
      </w:pPr>
    </w:p>
    <w:p>
      <w:pPr>
        <w:ind w:left="1020" w:right="360" w:hanging="503"/>
        <w:spacing w:after="0" w:line="293" w:lineRule="auto"/>
        <w:tabs>
          <w:tab w:leader="none" w:pos="10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1" w:lineRule="exact"/>
        <w:rPr>
          <w:rFonts w:ascii="Arial" w:cs="Arial" w:eastAsia="Arial" w:hAnsi="Arial"/>
          <w:sz w:val="16"/>
          <w:szCs w:val="16"/>
          <w:color w:val="auto"/>
        </w:rPr>
      </w:pPr>
    </w:p>
    <w:p>
      <w:pPr>
        <w:ind w:left="1020" w:right="560" w:hanging="503"/>
        <w:spacing w:after="0" w:line="293" w:lineRule="auto"/>
        <w:tabs>
          <w:tab w:leader="none" w:pos="1020" w:val="left"/>
        </w:tabs>
        <w:numPr>
          <w:ilvl w:val="1"/>
          <w:numId w:val="8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ind w:left="20"/>
        <w:spacing w:after="0"/>
        <w:tabs>
          <w:tab w:leader="none" w:pos="5180" w:val="left"/>
          <w:tab w:leader="none" w:pos="8040" w:val="left"/>
        </w:tabs>
        <w:rPr>
          <w:sz w:val="20"/>
          <w:szCs w:val="20"/>
          <w:color w:val="auto"/>
        </w:rPr>
      </w:pPr>
      <w:r>
        <w:rPr>
          <w:rFonts w:ascii="Arial" w:cs="Arial" w:eastAsia="Arial" w:hAnsi="Arial"/>
          <w:sz w:val="16"/>
          <w:szCs w:val="16"/>
          <w:color w:val="auto"/>
        </w:rPr>
        <w:t>Date: February 27,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Jack Anders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26670</wp:posOffset>
            </wp:positionV>
            <wp:extent cx="341185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4">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26" w:lineRule="exact"/>
        <w:rPr>
          <w:sz w:val="20"/>
          <w:szCs w:val="20"/>
          <w:color w:val="auto"/>
        </w:rPr>
      </w:pPr>
    </w:p>
    <w:p>
      <w:pPr>
        <w:jc w:val="center"/>
        <w:ind w:left="5840"/>
        <w:spacing w:after="0"/>
        <w:rPr>
          <w:sz w:val="20"/>
          <w:szCs w:val="20"/>
          <w:color w:val="auto"/>
        </w:rPr>
      </w:pPr>
      <w:r>
        <w:rPr>
          <w:rFonts w:ascii="Arial" w:cs="Arial" w:eastAsia="Arial" w:hAnsi="Arial"/>
          <w:sz w:val="16"/>
          <w:szCs w:val="16"/>
          <w:color w:val="auto"/>
        </w:rPr>
        <w:t>Jack Anders</w:t>
      </w:r>
    </w:p>
    <w:p>
      <w:pPr>
        <w:spacing w:after="0" w:line="86" w:lineRule="exact"/>
        <w:rPr>
          <w:sz w:val="20"/>
          <w:szCs w:val="20"/>
          <w:color w:val="auto"/>
        </w:rPr>
      </w:pPr>
    </w:p>
    <w:p>
      <w:pPr>
        <w:jc w:val="center"/>
        <w:ind w:left="5840"/>
        <w:spacing w:after="0"/>
        <w:rPr>
          <w:sz w:val="20"/>
          <w:szCs w:val="20"/>
          <w:color w:val="auto"/>
        </w:rPr>
      </w:pPr>
      <w:r>
        <w:rPr>
          <w:rFonts w:ascii="Arial" w:cs="Arial" w:eastAsia="Arial" w:hAnsi="Arial"/>
          <w:sz w:val="16"/>
          <w:szCs w:val="16"/>
          <w:color w:val="auto"/>
        </w:rPr>
        <w:t>Chief Financial Officer</w:t>
      </w:r>
    </w:p>
    <w:p>
      <w:pPr>
        <w:spacing w:after="0" w:line="73" w:lineRule="exact"/>
        <w:rPr>
          <w:sz w:val="20"/>
          <w:szCs w:val="20"/>
          <w:color w:val="auto"/>
        </w:rPr>
      </w:pPr>
    </w:p>
    <w:p>
      <w:pPr>
        <w:jc w:val="center"/>
        <w:ind w:left="584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219710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6"/>
          <w:szCs w:val="16"/>
          <w:b w:val="1"/>
          <w:bCs w:val="1"/>
          <w:color w:val="auto"/>
        </w:rPr>
        <w:t>Exhibit 32.1</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1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1" w:lineRule="exact"/>
        <w:rPr>
          <w:sz w:val="20"/>
          <w:szCs w:val="20"/>
          <w:color w:val="auto"/>
        </w:rPr>
      </w:pPr>
    </w:p>
    <w:p>
      <w:pPr>
        <w:ind w:right="160" w:firstLine="509"/>
        <w:spacing w:after="0" w:line="278" w:lineRule="auto"/>
        <w:rPr>
          <w:sz w:val="20"/>
          <w:szCs w:val="20"/>
          <w:color w:val="auto"/>
        </w:rPr>
      </w:pPr>
      <w:r>
        <w:rPr>
          <w:rFonts w:ascii="Arial" w:cs="Arial" w:eastAsia="Arial" w:hAnsi="Arial"/>
          <w:sz w:val="16"/>
          <w:szCs w:val="16"/>
          <w:color w:val="auto"/>
        </w:rPr>
        <w:t>In connection with the Annual Report of Revolution Medicines, Inc. (the “Company”) on Form 10-K for the period ended December 31,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Pr>
          <w:p>
            <w:pPr>
              <w:ind w:left="20"/>
              <w:spacing w:after="0"/>
              <w:rPr>
                <w:sz w:val="20"/>
                <w:szCs w:val="20"/>
                <w:color w:val="auto"/>
              </w:rPr>
            </w:pPr>
            <w:r>
              <w:rPr>
                <w:rFonts w:ascii="Arial" w:cs="Arial" w:eastAsia="Arial" w:hAnsi="Arial"/>
                <w:sz w:val="16"/>
                <w:szCs w:val="16"/>
                <w:color w:val="auto"/>
              </w:rPr>
              <w:t>Date: February 27, 2023</w:t>
            </w:r>
          </w:p>
        </w:tc>
        <w:tc>
          <w:tcPr>
            <w:tcW w:w="2340" w:type="dxa"/>
            <w:vAlign w:val="bottom"/>
          </w:tcPr>
          <w:p>
            <w:pPr>
              <w:ind w:left="2040"/>
              <w:spacing w:after="0"/>
              <w:rPr>
                <w:sz w:val="20"/>
                <w:szCs w:val="20"/>
                <w:color w:val="auto"/>
              </w:rPr>
            </w:pPr>
            <w:r>
              <w:rPr>
                <w:rFonts w:ascii="Arial" w:cs="Arial" w:eastAsia="Arial" w:hAnsi="Arial"/>
                <w:sz w:val="16"/>
                <w:szCs w:val="16"/>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6"/>
              </w:rPr>
              <w:t>/s/ Mark A. Goldsmith</w:t>
            </w:r>
          </w:p>
        </w:tc>
      </w:tr>
      <w:tr>
        <w:trPr>
          <w:trHeight w:val="203"/>
        </w:trPr>
        <w:tc>
          <w:tcPr>
            <w:tcW w:w="3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6"/>
              </w:rPr>
              <w:t>Mark A. Goldsmith, M.D., Ph.D.</w:t>
            </w:r>
          </w:p>
        </w:tc>
      </w:tr>
      <w:tr>
        <w:trPr>
          <w:trHeight w:val="203"/>
        </w:trPr>
        <w:tc>
          <w:tcPr>
            <w:tcW w:w="3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3"/>
              </w:rPr>
              <w:t>President and Chief Executive Officer</w:t>
            </w:r>
          </w:p>
        </w:tc>
      </w:tr>
      <w:tr>
        <w:trPr>
          <w:trHeight w:val="206"/>
        </w:trPr>
        <w:tc>
          <w:tcPr>
            <w:tcW w:w="3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5"/>
              </w:rPr>
              <w:t>(Principal Executive Officer)</w:t>
            </w:r>
          </w:p>
        </w:tc>
      </w:tr>
      <w:tr>
        <w:trPr>
          <w:trHeight w:val="567"/>
        </w:trPr>
        <w:tc>
          <w:tcPr>
            <w:tcW w:w="36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6"/>
          <w:szCs w:val="16"/>
          <w:b w:val="1"/>
          <w:bCs w:val="1"/>
          <w:color w:val="auto"/>
        </w:rPr>
        <w:t>Exhibit 32.2</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6" w:lineRule="exact"/>
        <w:rPr>
          <w:sz w:val="20"/>
          <w:szCs w:val="20"/>
          <w:color w:val="auto"/>
        </w:rPr>
      </w:pPr>
    </w:p>
    <w:p>
      <w:pPr>
        <w:ind w:left="358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19"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1" w:lineRule="exact"/>
        <w:rPr>
          <w:sz w:val="20"/>
          <w:szCs w:val="20"/>
          <w:color w:val="auto"/>
        </w:rPr>
      </w:pPr>
    </w:p>
    <w:p>
      <w:pPr>
        <w:ind w:right="160" w:firstLine="509"/>
        <w:spacing w:after="0" w:line="278" w:lineRule="auto"/>
        <w:rPr>
          <w:sz w:val="20"/>
          <w:szCs w:val="20"/>
          <w:color w:val="auto"/>
        </w:rPr>
      </w:pPr>
      <w:r>
        <w:rPr>
          <w:rFonts w:ascii="Arial" w:cs="Arial" w:eastAsia="Arial" w:hAnsi="Arial"/>
          <w:sz w:val="16"/>
          <w:szCs w:val="16"/>
          <w:color w:val="auto"/>
        </w:rPr>
        <w:t>In connection with the Annual Report of Revolution Medicines, Inc. (the “Company”) on Form 10-K for the period ended December 31, 2022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020" w:hanging="503"/>
        <w:spacing w:after="0"/>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34" w:lineRule="exact"/>
        <w:rPr>
          <w:rFonts w:ascii="Arial" w:cs="Arial" w:eastAsia="Arial" w:hAnsi="Arial"/>
          <w:sz w:val="16"/>
          <w:szCs w:val="16"/>
          <w:color w:val="auto"/>
        </w:rPr>
      </w:pPr>
    </w:p>
    <w:p>
      <w:pPr>
        <w:ind w:left="1020" w:hanging="503"/>
        <w:spacing w:after="0"/>
        <w:tabs>
          <w:tab w:leader="none" w:pos="102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 of operations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620" w:type="dxa"/>
            <w:vAlign w:val="bottom"/>
          </w:tcPr>
          <w:p>
            <w:pPr>
              <w:ind w:left="20"/>
              <w:spacing w:after="0"/>
              <w:rPr>
                <w:sz w:val="20"/>
                <w:szCs w:val="20"/>
                <w:color w:val="auto"/>
              </w:rPr>
            </w:pPr>
            <w:r>
              <w:rPr>
                <w:rFonts w:ascii="Arial" w:cs="Arial" w:eastAsia="Arial" w:hAnsi="Arial"/>
                <w:sz w:val="16"/>
                <w:szCs w:val="16"/>
                <w:color w:val="auto"/>
              </w:rPr>
              <w:t>Date: February 27, 2023</w:t>
            </w:r>
          </w:p>
        </w:tc>
        <w:tc>
          <w:tcPr>
            <w:tcW w:w="2340" w:type="dxa"/>
            <w:vAlign w:val="bottom"/>
          </w:tcPr>
          <w:p>
            <w:pPr>
              <w:ind w:left="2040"/>
              <w:spacing w:after="0"/>
              <w:rPr>
                <w:sz w:val="20"/>
                <w:szCs w:val="20"/>
                <w:color w:val="auto"/>
              </w:rPr>
            </w:pPr>
            <w:r>
              <w:rPr>
                <w:rFonts w:ascii="Arial" w:cs="Arial" w:eastAsia="Arial" w:hAnsi="Arial"/>
                <w:sz w:val="16"/>
                <w:szCs w:val="16"/>
                <w:color w:val="auto"/>
              </w:rPr>
              <w:t>By:</w:t>
            </w:r>
          </w:p>
        </w:tc>
        <w:tc>
          <w:tcPr>
            <w:tcW w:w="5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/s/ Jack Anders</w:t>
            </w:r>
          </w:p>
        </w:tc>
      </w:tr>
      <w:tr>
        <w:trPr>
          <w:trHeight w:val="203"/>
        </w:trPr>
        <w:tc>
          <w:tcPr>
            <w:tcW w:w="3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0"/>
              </w:rPr>
              <w:t>Jack Anders</w:t>
            </w:r>
          </w:p>
        </w:tc>
      </w:tr>
      <w:tr>
        <w:trPr>
          <w:trHeight w:val="203"/>
        </w:trPr>
        <w:tc>
          <w:tcPr>
            <w:tcW w:w="3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6"/>
              </w:rPr>
              <w:t>Chief Financial Officer</w:t>
            </w:r>
          </w:p>
        </w:tc>
      </w:tr>
      <w:tr>
        <w:trPr>
          <w:trHeight w:val="206"/>
        </w:trPr>
        <w:tc>
          <w:tcPr>
            <w:tcW w:w="36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280" w:type="dxa"/>
            <w:vAlign w:val="bottom"/>
          </w:tcPr>
          <w:p>
            <w:pPr>
              <w:jc w:val="center"/>
              <w:spacing w:after="0"/>
              <w:rPr>
                <w:sz w:val="20"/>
                <w:szCs w:val="20"/>
                <w:color w:val="auto"/>
              </w:rPr>
            </w:pPr>
            <w:r>
              <w:rPr>
                <w:rFonts w:ascii="Arial" w:cs="Arial" w:eastAsia="Arial" w:hAnsi="Arial"/>
                <w:sz w:val="16"/>
                <w:szCs w:val="16"/>
                <w:color w:val="auto"/>
                <w:w w:val="95"/>
              </w:rPr>
              <w:t>(Principal Financial and Accounting Officer)</w:t>
            </w:r>
          </w:p>
        </w:tc>
      </w:tr>
      <w:tr>
        <w:trPr>
          <w:trHeight w:val="567"/>
        </w:trPr>
        <w:tc>
          <w:tcPr>
            <w:tcW w:w="36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135" w:name="page136"/>
    <w:bookmarkEnd w:id="1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
      <w:numFmt w:val="bullet"/>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1)"/>
      <w:numFmt w:val="decimal"/>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1)"/>
      <w:numFmt w:val="decimal"/>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amp;"/>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
      <w:numFmt w:val="bullet"/>
      <w:start w:val="1"/>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
      <w:numFmt w:val="bullet"/>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
      <w:numFmt w:val="bullet"/>
      <w:start w:val="1"/>
    </w:lvl>
  </w:abstractNum>
  <w:abstractNum w:abstractNumId="55">
    <w:nsid w:val="98A3148"/>
    <w:multiLevelType w:val="hybridMultilevel"/>
    <w:lvl w:ilvl="0">
      <w:lvlJc w:val="left"/>
      <w:lvlText w:val="•"/>
      <w:numFmt w:val="bullet"/>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1."/>
      <w:numFmt w:val="decimal"/>
      <w:start w:val="1"/>
    </w:lvl>
  </w:abstractNum>
  <w:abstractNum w:abstractNumId="64">
    <w:nsid w:val="7BD3EE7B"/>
    <w:multiLevelType w:val="hybridMultilevel"/>
    <w:lvl w:ilvl="0">
      <w:lvlJc w:val="left"/>
      <w:lvlText w:val="%1."/>
      <w:numFmt w:val="decimal"/>
      <w:start w:val="2"/>
    </w:lvl>
  </w:abstractNum>
  <w:abstractNum w:abstractNumId="65">
    <w:nsid w:val="51D9C564"/>
    <w:multiLevelType w:val="hybridMultilevel"/>
    <w:lvl w:ilvl="0">
      <w:lvlJc w:val="left"/>
      <w:lvlText w:val="%1."/>
      <w:numFmt w:val="decimal"/>
      <w:start w:val="3"/>
    </w:lvl>
  </w:abstractNum>
  <w:abstractNum w:abstractNumId="66">
    <w:nsid w:val="613EFDC5"/>
    <w:multiLevelType w:val="hybridMultilevel"/>
    <w:lvl w:ilvl="0">
      <w:lvlJc w:val="left"/>
      <w:lvlText w:val="(%1)"/>
      <w:numFmt w:val="decimal"/>
      <w:start w:val="1"/>
    </w:lvl>
  </w:abstractNum>
  <w:abstractNum w:abstractNumId="67">
    <w:nsid w:val="BF72B14"/>
    <w:multiLevelType w:val="hybridMultilevel"/>
    <w:lvl w:ilvl="0">
      <w:lvlJc w:val="left"/>
      <w:lvlText w:val="%1."/>
      <w:numFmt w:val="decimal"/>
      <w:start w:val="4"/>
    </w:lvl>
  </w:abstractNum>
  <w:abstractNum w:abstractNumId="68">
    <w:nsid w:val="11447B73"/>
    <w:multiLevelType w:val="hybridMultilevel"/>
    <w:lvl w:ilvl="0">
      <w:lvlJc w:val="left"/>
      <w:lvlText w:val="%1."/>
      <w:numFmt w:val="decimal"/>
      <w:start w:val="7"/>
    </w:lvl>
  </w:abstractNum>
  <w:abstractNum w:abstractNumId="69">
    <w:nsid w:val="42963E5A"/>
    <w:multiLevelType w:val="hybridMultilevel"/>
    <w:lvl w:ilvl="0">
      <w:lvlJc w:val="left"/>
      <w:lvlText w:val="%1."/>
      <w:numFmt w:val="decimal"/>
      <w:start w:val="8"/>
    </w:lvl>
  </w:abstractNum>
  <w:abstractNum w:abstractNumId="70">
    <w:nsid w:val="A0382C5"/>
    <w:multiLevelType w:val="hybridMultilevel"/>
    <w:lvl w:ilvl="0">
      <w:lvlJc w:val="left"/>
      <w:lvlText w:val="%1."/>
      <w:numFmt w:val="decimal"/>
      <w:start w:val="9"/>
    </w:lvl>
  </w:abstractNum>
  <w:abstractNum w:abstractNumId="71">
    <w:nsid w:val="8F2B15E"/>
    <w:multiLevelType w:val="hybridMultilevel"/>
    <w:lvl w:ilvl="0">
      <w:lvlJc w:val="left"/>
      <w:lvlText w:val="%1."/>
      <w:numFmt w:val="decimal"/>
      <w:start w:val="10"/>
    </w:lvl>
  </w:abstractNum>
  <w:abstractNum w:abstractNumId="72">
    <w:nsid w:val="1A32234B"/>
    <w:multiLevelType w:val="hybridMultilevel"/>
    <w:lvl w:ilvl="0">
      <w:lvlJc w:val="left"/>
      <w:lvlText w:val="%1."/>
      <w:numFmt w:val="decimal"/>
      <w:start w:val="11"/>
    </w:lvl>
  </w:abstractNum>
  <w:abstractNum w:abstractNumId="73">
    <w:nsid w:val="3B0FD379"/>
    <w:multiLevelType w:val="hybridMultilevel"/>
    <w:lvl w:ilvl="0">
      <w:lvlJc w:val="left"/>
      <w:lvlText w:val="%1."/>
      <w:numFmt w:val="decimal"/>
      <w:start w:val="12"/>
    </w:lvl>
  </w:abstractNum>
  <w:abstractNum w:abstractNumId="74">
    <w:nsid w:val="68EB2F63"/>
    <w:multiLevelType w:val="hybridMultilevel"/>
    <w:lvl w:ilvl="0">
      <w:lvlJc w:val="left"/>
      <w:lvlText w:val="%1."/>
      <w:numFmt w:val="decimal"/>
      <w:start w:val="13"/>
    </w:lvl>
  </w:abstractNum>
  <w:abstractNum w:abstractNumId="75">
    <w:nsid w:val="4962813B"/>
    <w:multiLevelType w:val="hybridMultilevel"/>
    <w:lvl w:ilvl="0">
      <w:lvlJc w:val="left"/>
      <w:lvlText w:val="(%1)"/>
      <w:numFmt w:val="lowerLetter"/>
      <w:start w:val="1"/>
    </w:lvl>
  </w:abstractNum>
  <w:abstractNum w:abstractNumId="76">
    <w:nsid w:val="60B6DF70"/>
    <w:multiLevelType w:val="hybridMultilevel"/>
    <w:lvl w:ilvl="0">
      <w:lvlJc w:val="left"/>
      <w:lvlText w:val="%1."/>
      <w:numFmt w:val="decimal"/>
      <w:start w:val="1"/>
    </w:lvl>
  </w:abstractNum>
  <w:abstractNum w:abstractNumId="77">
    <w:nsid w:val="6A5EE64"/>
    <w:multiLevelType w:val="hybridMultilevel"/>
    <w:lvl w:ilvl="0">
      <w:lvlJc w:val="left"/>
      <w:lvlText w:val="%1."/>
      <w:numFmt w:val="decimal"/>
      <w:start w:val="2"/>
    </w:lvl>
  </w:abstractNum>
  <w:abstractNum w:abstractNumId="78">
    <w:nsid w:val="14330624"/>
    <w:multiLevelType w:val="hybridMultilevel"/>
    <w:lvl w:ilvl="0">
      <w:lvlJc w:val="left"/>
      <w:lvlText w:val="(%1)"/>
      <w:numFmt w:val="lowerLetter"/>
      <w:start w:val="2"/>
    </w:lvl>
  </w:abstractNum>
  <w:abstractNum w:abstractNumId="79">
    <w:nsid w:val="7FFFCA11"/>
    <w:multiLevelType w:val="hybridMultilevel"/>
    <w:lvl w:ilvl="0">
      <w:lvlJc w:val="left"/>
      <w:lvlText w:val="†"/>
      <w:numFmt w:val="bullet"/>
      <w:start w:val="1"/>
    </w:lvl>
  </w:abstractNum>
  <w:abstractNum w:abstractNumId="80">
    <w:nsid w:val="1A27709E"/>
    <w:multiLevelType w:val="hybridMultilevel"/>
    <w:lvl w:ilvl="0">
      <w:lvlJc w:val="left"/>
      <w:lvlText w:val="*"/>
      <w:numFmt w:val="bullet"/>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1"/>
    </w:lvl>
    <w:lvl w:ilvl="1">
      <w:lvlJc w:val="left"/>
      <w:lvlText w:val="(%2)"/>
      <w:numFmt w:val="lowerLetter"/>
      <w:start w:val="1"/>
    </w:lvl>
  </w:abstractNum>
  <w:abstractNum w:abstractNumId="83">
    <w:nsid w:val="7FB7E0AA"/>
    <w:multiLevelType w:val="hybridMultilevel"/>
    <w:lvl w:ilvl="0">
      <w:lvlJc w:val="left"/>
      <w:lvlText w:val="(%1)"/>
      <w:numFmt w:val="decimal"/>
      <w:start w:val="1"/>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82" Type="http://schemas.openxmlformats.org/officeDocument/2006/relationships/image" Target="media/image365.png"/><Relationship Id="rId383" Type="http://schemas.openxmlformats.org/officeDocument/2006/relationships/image" Target="media/image366.png"/><Relationship Id="rId400" Type="http://schemas.openxmlformats.org/officeDocument/2006/relationships/image" Target="media/image367.png"/><Relationship Id="rId401" Type="http://schemas.openxmlformats.org/officeDocument/2006/relationships/image" Target="media/image368.png"/><Relationship Id="rId406" Type="http://schemas.openxmlformats.org/officeDocument/2006/relationships/image" Target="media/image369.png"/><Relationship Id="rId407" Type="http://schemas.openxmlformats.org/officeDocument/2006/relationships/image" Target="media/image370.png"/><Relationship Id="rId408" Type="http://schemas.openxmlformats.org/officeDocument/2006/relationships/image" Target="media/image371.png"/><Relationship Id="rId409" Type="http://schemas.openxmlformats.org/officeDocument/2006/relationships/image" Target="media/image372.png"/><Relationship Id="rId410" Type="http://schemas.openxmlformats.org/officeDocument/2006/relationships/image" Target="media/image373.png"/><Relationship Id="rId411" Type="http://schemas.openxmlformats.org/officeDocument/2006/relationships/image" Target="media/image374.png"/><Relationship Id="rId412" Type="http://schemas.openxmlformats.org/officeDocument/2006/relationships/image" Target="media/image375.png"/><Relationship Id="rId413" Type="http://schemas.openxmlformats.org/officeDocument/2006/relationships/image" Target="media/image376.png"/><Relationship Id="rId414" Type="http://schemas.openxmlformats.org/officeDocument/2006/relationships/image" Target="media/image377.png"/><Relationship Id="rId415" Type="http://schemas.openxmlformats.org/officeDocument/2006/relationships/image" Target="media/image378.png"/><Relationship Id="rId416" Type="http://schemas.openxmlformats.org/officeDocument/2006/relationships/image" Target="media/image379.png"/><Relationship Id="rId417" Type="http://schemas.openxmlformats.org/officeDocument/2006/relationships/image" Target="media/image380.png"/><Relationship Id="rId418" Type="http://schemas.openxmlformats.org/officeDocument/2006/relationships/image" Target="media/image381.png"/><Relationship Id="rId419" Type="http://schemas.openxmlformats.org/officeDocument/2006/relationships/image" Target="media/image382.png"/><Relationship Id="rId372" Type="http://schemas.openxmlformats.org/officeDocument/2006/relationships/hyperlink" Target="https://www.sec.gov/Archives/edgar/data/1628171/000119312520040328/d848154dex31.htm" TargetMode="External"/><Relationship Id="rId373" Type="http://schemas.openxmlformats.org/officeDocument/2006/relationships/hyperlink" Target="https://www.sec.gov/Archives/edgar/data/1628171/000119312521073330/d144671dex31.htm" TargetMode="External"/><Relationship Id="rId374" Type="http://schemas.openxmlformats.org/officeDocument/2006/relationships/hyperlink" Target="https://www.sec.gov/Archives/edgar/data/1628171/000119312520022117/d799036dex33.htm" TargetMode="External"/><Relationship Id="rId375" Type="http://schemas.openxmlformats.org/officeDocument/2006/relationships/hyperlink" Target="https://www.sec.gov/Archives/edgar/data/1628171/000119312520022117/d799036dex35.htm" TargetMode="External"/><Relationship Id="rId376" Type="http://schemas.openxmlformats.org/officeDocument/2006/relationships/hyperlink" Target="https://www.sec.gov/Archives/edgar/data/0001628171/000119312520010145/d799036dex42.htm" TargetMode="External"/><Relationship Id="rId377" Type="http://schemas.openxmlformats.org/officeDocument/2006/relationships/hyperlink" Target="https://www.sec.gov/Archives/edgar/data/1628171/000095017022002297/rvmd-ex4_3.htm" TargetMode="External"/><Relationship Id="rId378" Type="http://schemas.openxmlformats.org/officeDocument/2006/relationships/hyperlink" Target="https://www.sec.gov/Archives/edgar/data/0001628171/000119312520010145/d799036dex101.htm" TargetMode="External"/><Relationship Id="rId379" Type="http://schemas.openxmlformats.org/officeDocument/2006/relationships/hyperlink" Target="https://www.sec.gov/Archives/edgar/data/1628171/000156459021043424/rvmd-ex102_557.htm" TargetMode="External"/><Relationship Id="rId380" Type="http://schemas.openxmlformats.org/officeDocument/2006/relationships/hyperlink" Target="https://www.sec.gov/Archives/edgar/data/0001628171/000119312520010145/d799036dex102.htm" TargetMode="External"/><Relationship Id="rId381" Type="http://schemas.openxmlformats.org/officeDocument/2006/relationships/hyperlink" Target="https://www.sec.gov/Archives/edgar/data/0001628171/000119312520010145/d799036dex103a.htm" TargetMode="External"/><Relationship Id="rId384" Type="http://schemas.openxmlformats.org/officeDocument/2006/relationships/hyperlink" Target="https://www.sec.gov/Archives/edgar/data/0001628171/000119312520010145/d799036dex103b.htm" TargetMode="External"/><Relationship Id="rId385" Type="http://schemas.openxmlformats.org/officeDocument/2006/relationships/hyperlink" Target="https://www.sec.gov/Archives/edgar/data/0001628171/000119312520010145/d799036dex103c.htm" TargetMode="External"/><Relationship Id="rId386" Type="http://schemas.openxmlformats.org/officeDocument/2006/relationships/hyperlink" Target="https://www.sec.gov/Archives/edgar/data/1628171/000156459020025452/rvmd-ex104_131.htm" TargetMode="External"/><Relationship Id="rId387" Type="http://schemas.openxmlformats.org/officeDocument/2006/relationships/hyperlink" Target="https://www.sec.gov/Archives/edgar/data/1628171/000156459021056191/rvmd-ex101_106.htm" TargetMode="External"/><Relationship Id="rId388" Type="http://schemas.openxmlformats.org/officeDocument/2006/relationships/hyperlink" Target="https://www.sec.gov/Archives/edgar/data/0001628171/000119312520010145/d799036dex106a.htm" TargetMode="External"/><Relationship Id="rId389" Type="http://schemas.openxmlformats.org/officeDocument/2006/relationships/hyperlink" Target="https://www.sec.gov/Archives/edgar/data/0001628171/000119312520010145/d799036dex106b.htm" TargetMode="External"/><Relationship Id="rId390" Type="http://schemas.openxmlformats.org/officeDocument/2006/relationships/hyperlink" Target="https://www.sec.gov/Archives/edgar/data/0001628171/000119312520022117/d799036dex107a.htm" TargetMode="External"/><Relationship Id="rId391" Type="http://schemas.openxmlformats.org/officeDocument/2006/relationships/hyperlink" Target="https://www.sec.gov/Archives/edgar/data/0001628171/000119312520022117/d799036dex107b.htm" TargetMode="External"/><Relationship Id="rId392" Type="http://schemas.openxmlformats.org/officeDocument/2006/relationships/hyperlink" Target="https://www.sec.gov/Archives/edgar/data/0001628171/000119312520022117/d799036dex107c.htm" TargetMode="External"/><Relationship Id="rId393" Type="http://schemas.openxmlformats.org/officeDocument/2006/relationships/hyperlink" Target="https://www.sec.gov/Archives/edgar/data/0001628171/000119312520022117/d799036dex107d.htm" TargetMode="External"/><Relationship Id="rId394" Type="http://schemas.openxmlformats.org/officeDocument/2006/relationships/hyperlink" Target="https://www.sec.gov/Archives/edgar/data/0001628171/000119312520022117/d799036dex108.htm" TargetMode="External"/><Relationship Id="rId395" Type="http://schemas.openxmlformats.org/officeDocument/2006/relationships/hyperlink" Target="https://www.sec.gov/Archives/edgar/data/0001628171/000119312520010145/d799036dex109.htm" TargetMode="External"/><Relationship Id="rId396" Type="http://schemas.openxmlformats.org/officeDocument/2006/relationships/hyperlink" Target="https://www.sec.gov/Archives/edgar/data/1628171/000119312522171994/d331499dex101.htm" TargetMode="External"/><Relationship Id="rId397" Type="http://schemas.openxmlformats.org/officeDocument/2006/relationships/hyperlink" Target="https://www.sec.gov/Archives/edgar/data/0001628171/000119312520010145/d799036dex1010.htm" TargetMode="External"/><Relationship Id="rId398" Type="http://schemas.openxmlformats.org/officeDocument/2006/relationships/hyperlink" Target="https://www.sec.gov/Archives/edgar/data/0001628171/000119312520010145/d799036dex1011.htm" TargetMode="External"/><Relationship Id="rId399" Type="http://schemas.openxmlformats.org/officeDocument/2006/relationships/hyperlink" Target="https://www.sec.gov/Archives/edgar/data/1628171/000095017022008496/rvmd-ex10_1.htm" TargetMode="External"/><Relationship Id="rId402" Type="http://schemas.openxmlformats.org/officeDocument/2006/relationships/hyperlink" Target="https://www.sec.gov/Archives/edgar/data/1628171/000119312520022117/d799036dex1013.htm" TargetMode="External"/><Relationship Id="rId403" Type="http://schemas.openxmlformats.org/officeDocument/2006/relationships/hyperlink" Target="https://www.sec.gov/Archives/edgar/data/1628171/000095017022008496/rvmd-ex10_2.htm" TargetMode="External"/><Relationship Id="rId404" Type="http://schemas.openxmlformats.org/officeDocument/2006/relationships/hyperlink" Target="https://www.sec.gov/Archives/edgar/data/1628171/000095017022008496/rvmd-ex10_3.htm" TargetMode="External"/><Relationship Id="rId405" Type="http://schemas.openxmlformats.org/officeDocument/2006/relationships/hyperlink" Target="https://www.sec.gov/Archives/edgar/data/1628171/000119312520010145/d799036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2023-02-27T17:21:05Z</dcterms:created>
  <dcterms:modified xsi:type="dcterms:W3CDTF">2023-02-27T17:21:05Z</dcterms:modified>
</cp:coreProperties>
</file>