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vmd-20260630.htm"/>
      <w:bookmarkStart w:id="1" w:name="ksrvmd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 June 30,</w:t>
      </w:r>
      <w:r>
        <w:rPr>
          <w:rFonts w:ascii="Times New Roman" w:hAnsi="Times New Roman"/>
          <w:color w:val="000000"/>
          <w:sz w:val="20"/>
        </w:rPr>
        <w:t xml:space="preserve"> </w:t>
      </w:r>
      <w:r>
        <w:rPr>
          <w:rFonts w:ascii="Times New Roman" w:hAnsi="Times New Roman"/>
          <w:b/>
          <w:color w:val="000000"/>
          <w:sz w:val="20"/>
        </w:rPr>
        <w:t>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For the transition period from </w:t>
      </w:r>
      <w:r>
        <w:rPr>
          <w:rFonts w:ascii="Times New Roman" w:hAnsi="Times New Roman"/>
          <w:color w:val="000000"/>
          <w:sz w:val="20"/>
        </w:rPr>
        <w:t xml:space="preserve">___ </w:t>
      </w:r>
      <w:r>
        <w:rPr>
          <w:rFonts w:ascii="Times New Roman" w:hAnsi="Times New Roman"/>
          <w:b/>
          <w:color w:val="000000"/>
          <w:sz w:val="20"/>
        </w:rPr>
        <w:t xml:space="preserve">to </w:t>
      </w:r>
      <w:r>
        <w:rPr>
          <w:rFonts w:ascii="Times New Roman" w:hAnsi="Times New Roman"/>
          <w:color w:val="000000"/>
          <w:sz w:val="20"/>
        </w:rPr>
        <w:t>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001-39219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Revolution Medicines,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47-2029180</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700 Saginaw Drive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Redwood City,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94063</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(650) 481-6801</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44"/>
        <w:gridCol w:w="146"/>
        <w:gridCol w:w="826"/>
        <w:gridCol w:w="146"/>
        <w:gridCol w:w="3243"/>
      </w:tblGrid>
      <w:tr>
        <w:trPr/>
        <w:tc>
          <w:tcPr>
            <w:tcW w:w="5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3" w:type="dxa"/>
            <w:tcBorders/>
            <w:vAlign w:val="center"/>
          </w:tcPr>
          <w:p>
            <w:pPr>
              <w:pStyle w:val="TableContents"/>
              <w:bidi w:val="0"/>
              <w:spacing w:before="0" w:after="283"/>
              <w:jc w:val="left"/>
              <w:rPr>
                <w:sz w:val="4"/>
                <w:szCs w:val="4"/>
              </w:rPr>
            </w:pPr>
            <w:r>
              <w:rPr>
                <w:sz w:val="4"/>
                <w:szCs w:val="4"/>
              </w:rPr>
            </w:r>
          </w:p>
        </w:tc>
      </w:tr>
      <w:tr>
        <w:trPr/>
        <w:tc>
          <w:tcPr>
            <w:tcW w:w="58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2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5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RVMD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4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The Nasdaq Stock Market LLC</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r>
        <w:trPr/>
        <w:tc>
          <w:tcPr>
            <w:tcW w:w="5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Warrants to purchase 0.1112 shares of common stock expiring December 17,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RVMDW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4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The Nasdaq Stock Market LLC</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July 31, 2026, the registrant had 214,336,418</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regarding_forward_looking_s">
              <w:r>
                <w:rPr>
                  <w:rStyle w:val="InternetLink"/>
                  <w:rFonts w:ascii="Times New Roman" w:hAnsi="Times New Roman"/>
                  <w:color w:val="0000FF"/>
                  <w:sz w:val="20"/>
                  <w:u w:val="single"/>
                </w:rPr>
                <w:t>Special Note Regarding Forward-Looking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_">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Condensed Consolidated Statements of Operations and Comprehensive Loss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redeem">
              <w:r>
                <w:rPr>
                  <w:rStyle w:val="InternetLink"/>
                  <w:rFonts w:ascii="Times New Roman" w:hAnsi="Times New Roman"/>
                  <w:color w:val="0000FF"/>
                  <w:sz w:val="20"/>
                  <w:u w:val="single"/>
                </w:rPr>
                <w:t>Condensed Consolidated Statements of Stockholders’ Equit</w:t>
              </w:r>
            </w:hyperlink>
            <w:hyperlink w:anchor="condensed_consolidated_statements_redeem">
              <w:r>
                <w:rPr>
                  <w:rStyle w:val="InternetLink"/>
                  <w:rFonts w:ascii="Times New Roman" w:hAnsi="Times New Roman"/>
                  <w:color w:val="0563C1"/>
                  <w:sz w:val="20"/>
                  <w:u w:val="single"/>
                </w:rPr>
                <w:t>y</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_and_qualitative_disc">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special_note_regarding_forward_looking_s"/>
      <w:bookmarkEnd w:id="2"/>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terminology such as “aim,” “anticipate,” “assume,” “believe,” “contemplate,” “continue,” “could,” “due,” “estimate,” “expect,” “goal,” “intend,” “may,” “objective,” “plan,” “positioned,” “potential,” “predict,” “seek,” “should,” “target,” “will,” “would,” and other similar expressions that are predictions of or indicate future events and future trends, or the negative of these terms or other comparable terminology. These 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developing our product candidates or any other future product candidates, and conducting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related to the research and development of our pipeline;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costs involved in obtaining and maintaining regulatory approval for any of our current or future product candidates, and any related restrictions, limitations and/or warnings in the label of an approved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potential market size and size of the potential patient populations for our product candidates and any future product candidates, if approved for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and establish new collaborations, licensing or other arrangements and the financial terms of any such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commercialization, marketing and manufacturing capabilities and expectations;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rate and degree of market acceptance of our product candidates, as well as the pricing and reimbursement of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business model and strategic plans for our business, product candidates and technology, including additional indications for which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are able to establish and maintain for intellectual property rights covering our product candidates, including the projected term of patent protection;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obtain, maintain, enforce and defend our intellectual property protection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of our expenses, future revenue, capital requirements, our needs for additional financing and our ability to obtain additional capital;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and projections relating to our competitors and our industry, including competing therapies and procedures;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and legal developments in the United States and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performance of our third-party suppliers and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scientific or management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risks and uncertainties, including those listed under the caption “Risk Factors.”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based these forward-looking statements largely on management’s current expectations, estimates, forecasts and projections about our business and the industry in which we operate and management’s beliefs and assumptions. These forward-looking statements are not guarantees of future performance or development and involve known and unknown risks, uncertainties and other factors that are in some cases beyond our control.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publicly update or revise any forward</w:t>
        <w:noBreakHyphen/>
        <w:t>looking statements contained herein, whether as a result of any new information, future events or otherwise.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Investors and others should note that we may announce material business and financial information to our investors using our investor relations website (ir.revmed.com), Securities and Exchange Commission (SEC) filings, webcasts, press releases and conference calls. We use these mediums, including our website, to communicate with our investors and the public about our company, our products and other issues. It is possible that the information that we make available may be deemed to be material information. We therefore encourage investors and others interested in our company to review the information that we make available on our website. Information contained on our website is not incorporated into, and does not form a part of, this Quarterly Report.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4" w:name="item_1_financial_statements_"/>
      <w:bookmarkEnd w:id="4"/>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REVOLUTION MEDICINES, INC.</w:t>
      </w:r>
    </w:p>
    <w:p>
      <w:pPr>
        <w:pStyle w:val="TextBody"/>
        <w:bidi w:val="0"/>
        <w:jc w:val="center"/>
        <w:rPr>
          <w:rFonts w:ascii="Times New Roman" w:hAnsi="Times New Roman"/>
          <w:b/>
          <w:color w:val="000000"/>
          <w:sz w:val="20"/>
        </w:rPr>
      </w:pPr>
      <w:bookmarkStart w:id="5" w:name="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952"/>
        <w:gridCol w:w="146"/>
        <w:gridCol w:w="211"/>
        <w:gridCol w:w="991"/>
        <w:gridCol w:w="166"/>
        <w:gridCol w:w="146"/>
        <w:gridCol w:w="211"/>
        <w:gridCol w:w="991"/>
        <w:gridCol w:w="391"/>
      </w:tblGrid>
      <w:tr>
        <w:trPr/>
        <w:tc>
          <w:tcPr>
            <w:tcW w:w="6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815,435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383,745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3,122,534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1,641,934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49,358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4,028,338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2,075,037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33,194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132,084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55,800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Long-term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24,148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4,323,270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2,354,508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stockholdersʼ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64,616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248,889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209,340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354,061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290,424</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142,234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Liability related to the sale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548,542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268,446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Convertible senior notes,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487,434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1,717,032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723,211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Stockholdersʼ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9"/>
              </w:rPr>
              <w:t>Preferred stock, $0.0001</w:t>
            </w:r>
            <w:r>
              <w:rPr>
                <w:rFonts w:ascii="Times New Roman" w:hAnsi="Times New Roman"/>
                <w:color w:val="000000"/>
                <w:sz w:val="20"/>
              </w:rPr>
              <w:t> </w:t>
            </w:r>
            <w:r>
              <w:rPr>
                <w:rFonts w:ascii="Times New Roman" w:hAnsi="Times New Roman"/>
                <w:color w:val="000000"/>
                <w:sz w:val="19"/>
              </w:rPr>
              <w:t>par value; 10,000,000</w:t>
            </w:r>
            <w:r>
              <w:rPr>
                <w:rFonts w:ascii="Times New Roman" w:hAnsi="Times New Roman"/>
                <w:color w:val="000000"/>
                <w:sz w:val="20"/>
              </w:rPr>
              <w:t> </w:t>
            </w:r>
            <w:r>
              <w:rPr>
                <w:rFonts w:ascii="Times New Roman" w:hAnsi="Times New Roman"/>
                <w:color w:val="000000"/>
                <w:sz w:val="19"/>
              </w:rPr>
              <w:t>shares authorized at June 30, 2026 and December 31, 2025; none</w:t>
            </w:r>
            <w:r>
              <w:rPr>
                <w:rFonts w:ascii="Times New Roman" w:hAnsi="Times New Roman"/>
                <w:color w:val="000000"/>
                <w:sz w:val="20"/>
              </w:rPr>
              <w:t> </w:t>
            </w:r>
            <w:r>
              <w:rPr>
                <w:rFonts w:ascii="Times New Roman" w:hAnsi="Times New Roman"/>
                <w:color w:val="000000"/>
                <w:sz w:val="19"/>
              </w:rPr>
              <w:t>issued and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9"/>
              </w:rPr>
              <w:t>Common stock, $0.0001</w:t>
            </w:r>
            <w:r>
              <w:rPr>
                <w:rFonts w:ascii="Times New Roman" w:hAnsi="Times New Roman"/>
                <w:color w:val="000000"/>
                <w:sz w:val="20"/>
              </w:rPr>
              <w:t> </w:t>
            </w:r>
            <w:r>
              <w:rPr>
                <w:rFonts w:ascii="Times New Roman" w:hAnsi="Times New Roman"/>
                <w:color w:val="000000"/>
                <w:sz w:val="19"/>
              </w:rPr>
              <w:t>par value; 300,000,000</w:t>
            </w:r>
            <w:r>
              <w:rPr>
                <w:rFonts w:ascii="Times New Roman" w:hAnsi="Times New Roman"/>
                <w:color w:val="000000"/>
                <w:sz w:val="20"/>
              </w:rPr>
              <w:t> </w:t>
            </w:r>
            <w:r>
              <w:rPr>
                <w:rFonts w:ascii="Times New Roman" w:hAnsi="Times New Roman"/>
                <w:color w:val="000000"/>
                <w:sz w:val="19"/>
              </w:rPr>
              <w:t>shares authorized as of June 30, 2026 and December 31, 2025; 214,242,688</w:t>
            </w:r>
            <w:r>
              <w:rPr>
                <w:rFonts w:ascii="Times New Roman" w:hAnsi="Times New Roman"/>
                <w:color w:val="000000"/>
                <w:sz w:val="20"/>
              </w:rPr>
              <w:t> </w:t>
            </w:r>
            <w:r>
              <w:rPr>
                <w:rFonts w:ascii="Times New Roman" w:hAnsi="Times New Roman"/>
                <w:color w:val="000000"/>
                <w:sz w:val="19"/>
              </w:rPr>
              <w:t>and 197,001,401</w:t>
            </w:r>
            <w:r>
              <w:rPr>
                <w:rFonts w:ascii="Times New Roman" w:hAnsi="Times New Roman"/>
                <w:color w:val="000000"/>
                <w:sz w:val="20"/>
              </w:rPr>
              <w:t> </w:t>
            </w:r>
            <w:r>
              <w:rPr>
                <w:rFonts w:ascii="Times New Roman" w:hAnsi="Times New Roman"/>
                <w:color w:val="000000"/>
                <w:sz w:val="19"/>
              </w:rPr>
              <w:t>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6,579,456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4,497,143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(3,967,289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(2,869,102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stockholdersʼ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2,606,238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1,631,297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liabilities and stockholdersʼ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4,323,270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2,354,508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REVOLUTION MEDICINES, INC.</w:t>
      </w:r>
    </w:p>
    <w:p>
      <w:pPr>
        <w:pStyle w:val="TextBody"/>
        <w:bidi w:val="0"/>
        <w:jc w:val="center"/>
        <w:rPr>
          <w:rFonts w:ascii="Times New Roman" w:hAnsi="Times New Roman"/>
          <w:b/>
          <w:color w:val="000000"/>
          <w:sz w:val="20"/>
        </w:rPr>
      </w:pPr>
      <w:bookmarkStart w:id="6" w:name="consolidated_statements_operations"/>
      <w:bookmarkEnd w:id="6"/>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04"/>
        <w:gridCol w:w="146"/>
        <w:gridCol w:w="211"/>
        <w:gridCol w:w="1141"/>
        <w:gridCol w:w="166"/>
        <w:gridCol w:w="146"/>
        <w:gridCol w:w="211"/>
        <w:gridCol w:w="1141"/>
        <w:gridCol w:w="166"/>
        <w:gridCol w:w="146"/>
        <w:gridCol w:w="211"/>
        <w:gridCol w:w="1141"/>
        <w:gridCol w:w="166"/>
        <w:gridCol w:w="146"/>
        <w:gridCol w:w="211"/>
        <w:gridCol w:w="1141"/>
        <w:gridCol w:w="411"/>
      </w:tblGrid>
      <w:tr>
        <w:trPr/>
        <w:tc>
          <w:tcPr>
            <w:tcW w:w="3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non-operating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(644,371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(247,787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(1,098,187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(461,203</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used to compute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210,893,604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188,583,288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204,531,173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188,365,805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Unrealized loss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(649,699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(1,107,374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(461,222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REVOLUTION MEDICINES, INC.</w:t>
      </w:r>
    </w:p>
    <w:p>
      <w:pPr>
        <w:pStyle w:val="TextBody"/>
        <w:bidi w:val="0"/>
        <w:jc w:val="center"/>
        <w:rPr>
          <w:rFonts w:ascii="Times New Roman" w:hAnsi="Times New Roman"/>
          <w:sz w:val="20"/>
        </w:rPr>
      </w:pPr>
      <w:bookmarkStart w:id="7" w:name="condensed_consolidated_statements_redeem"/>
      <w:bookmarkEnd w:id="7"/>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78"/>
        <w:gridCol w:w="146"/>
        <w:gridCol w:w="146"/>
        <w:gridCol w:w="1006"/>
        <w:gridCol w:w="146"/>
        <w:gridCol w:w="146"/>
        <w:gridCol w:w="206"/>
        <w:gridCol w:w="365"/>
        <w:gridCol w:w="146"/>
        <w:gridCol w:w="146"/>
        <w:gridCol w:w="196"/>
        <w:gridCol w:w="826"/>
        <w:gridCol w:w="146"/>
        <w:gridCol w:w="146"/>
        <w:gridCol w:w="260"/>
        <w:gridCol w:w="761"/>
        <w:gridCol w:w="166"/>
        <w:gridCol w:w="146"/>
        <w:gridCol w:w="196"/>
        <w:gridCol w:w="886"/>
        <w:gridCol w:w="166"/>
        <w:gridCol w:w="146"/>
        <w:gridCol w:w="196"/>
        <w:gridCol w:w="826"/>
        <w:gridCol w:w="411"/>
      </w:tblGrid>
      <w:tr>
        <w:trPr/>
        <w:tc>
          <w:tcPr>
            <w:tcW w:w="2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Stockholdersʼ</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197,001,401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4,497,143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(2,869,102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1,631,297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pursuant to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473,472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related to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367,871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from at-the-market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2,335,397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226,730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87,299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(453,816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(453,816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200,178,626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4,823,438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(3,322,918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1,499,917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pursuant to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1,309,927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related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395,886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from follow-on public offering, net of offering costs of</w:t>
              <w:br/>
              <w:t>$73,645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12,147,887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1,651,354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1,651,355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related to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(644,371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(644,371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214,242,688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6,579,456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(3,967,289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2,606,238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1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1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REVOLUTION MEDICINES,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32"/>
        <w:gridCol w:w="146"/>
        <w:gridCol w:w="146"/>
        <w:gridCol w:w="146"/>
        <w:gridCol w:w="1006"/>
        <w:gridCol w:w="146"/>
        <w:gridCol w:w="146"/>
        <w:gridCol w:w="206"/>
        <w:gridCol w:w="365"/>
        <w:gridCol w:w="146"/>
        <w:gridCol w:w="146"/>
        <w:gridCol w:w="196"/>
        <w:gridCol w:w="826"/>
        <w:gridCol w:w="146"/>
        <w:gridCol w:w="146"/>
        <w:gridCol w:w="282"/>
        <w:gridCol w:w="739"/>
        <w:gridCol w:w="166"/>
        <w:gridCol w:w="146"/>
        <w:gridCol w:w="196"/>
        <w:gridCol w:w="886"/>
        <w:gridCol w:w="166"/>
        <w:gridCol w:w="146"/>
        <w:gridCol w:w="196"/>
        <w:gridCol w:w="826"/>
        <w:gridCol w:w="411"/>
      </w:tblGrid>
      <w:tr>
        <w:trPr/>
        <w:tc>
          <w:tcPr>
            <w:tcW w:w="2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1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Stockholdersʼ</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185,896,625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4,001,666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(1,737,801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2,265,204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pursuant to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related to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unrealized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(213,416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(213,416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186,258,206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4,027,642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(1,951,217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2,078,150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pursuant to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related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361,975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related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(247,787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(247,787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186,901,268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4,063,053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(2,199,004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1,865,369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1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REVOLUTION MEDICINES, INC.</w:t>
      </w:r>
    </w:p>
    <w:p>
      <w:pPr>
        <w:pStyle w:val="TextBody"/>
        <w:bidi w:val="0"/>
        <w:jc w:val="center"/>
        <w:rPr>
          <w:rFonts w:ascii="Times New Roman" w:hAnsi="Times New Roman"/>
          <w:b/>
          <w:color w:val="000000"/>
          <w:sz w:val="20"/>
        </w:rPr>
      </w:pPr>
      <w:bookmarkStart w:id="8" w:name="condensed_consolidated_statements_cash_f"/>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772"/>
        <w:gridCol w:w="146"/>
        <w:gridCol w:w="196"/>
        <w:gridCol w:w="886"/>
        <w:gridCol w:w="166"/>
        <w:gridCol w:w="146"/>
        <w:gridCol w:w="196"/>
        <w:gridCol w:w="886"/>
        <w:gridCol w:w="811"/>
      </w:tblGrid>
      <w:tr>
        <w:trPr/>
        <w:tc>
          <w:tcPr>
            <w:tcW w:w="6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(1,098,187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(461,203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53,914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3,984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2,139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Non-cash interest expense on liabilities related to sale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Non-cash interest expense on convertible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Net amortization of premium or discount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Amortization of 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3,534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12,369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(3,056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Long-term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(4,472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Other prepaid and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(12,036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5,773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(741,484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(416,192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(2,248,094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(1,039,327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765,863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1,061,986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Sales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6,384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(10,716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(1,486,055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18,327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issuance of common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1,651,355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the sale of future royalties,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250,000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issuance of common stock pursuant to at-the-market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issuance of convertible senior notes,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487,068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issuance of common stock under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issuance of common stock related to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2,659,229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257,457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431,690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(140,408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388,603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546,762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820,293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406,354</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Reconciliation of cash, cash equivalents and restricted cash to consolidated balance sheets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815,435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402,438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3,916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820,293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406,354</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property and equipment in accounts payable and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2,907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Unpaid issuance costs on the liability related to the sale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5,785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Unpaid issuance costs on convertible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REVOLUTION MEDICINES, INC.</w:t>
      </w:r>
    </w:p>
    <w:p>
      <w:pPr>
        <w:pStyle w:val="TextBody"/>
        <w:bidi w:val="0"/>
        <w:jc w:val="center"/>
        <w:rPr>
          <w:rFonts w:ascii="Times New Roman" w:hAnsi="Times New Roman"/>
          <w:b/>
          <w:color w:val="000000"/>
          <w:sz w:val="20"/>
        </w:rPr>
      </w:pPr>
      <w:bookmarkStart w:id="9" w:name="notes_to_unaudited_condensed_consolidate"/>
      <w:bookmarkEnd w:id="9"/>
      <w:r>
        <w:rPr>
          <w:rFonts w:ascii="Times New Roman" w:hAnsi="Times New Roman"/>
          <w:b/>
          <w:color w:val="000000"/>
          <w:sz w:val="20"/>
        </w:rPr>
        <w:t>Notes to Unaudited Condensed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Organization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Revolution Medicines, Inc. (the Company) is a late-stage clinical oncology company focused on developing novel targeted therapies for patients with RAS-addicted cancers. The Company was founded in October 2014 and is headquartered in Redwood City, California.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incurred net operating losses in each year since inception. As of June 30, 2026, the Company had an accumulated deficit of $4.0 billion. Management believes that its existing cash, cash equivalents and marketable securities will enable the Company to fund its planned operations for at least 12 months following the issuance date of these unaudited condensed consolidated financial statements. The Company has been able to fund its operations through the issuance and sale of common stock, the acquisition of EQRx, Inc. (EQRx), the sale of future royalties and the issuance of convertible senior notes. Future capital requirements will depend on many factors, including the timing and extent of spending on research and development.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business objectives.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Public offerings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August 2024, the Company entered into a sales agreement with TD Securities (USA) LLC (TD Cowen) to sell shares of the Company’s common stock, from time to time, with aggregate gross proceeds of up to $500 million, through an at-the-market equity offering program (the 2024 ATM). During the year ended December 31, 2024, the Company sold an aggregate of 1,147,893 shares of common stock under the 2024 ATM, resulting in gross proceeds of $60.4 million, with net proceeds to the Company of $59.5 million after deducting commissions and expenses. During the year ended December 31, 2025, the Company sold an aggregate of 6,163,501 shares of common stock under the 2024 ATM, resulting in gross proceeds of $353.4 million, with net proceeds to the Company of $347.9 million after deducting commissions and expenses. In January and February 2026, the Company sold an aggregate of 880,098 shares of common stock under the 2024 ATM, resulting in gross proceeds of $86.1 million. After deducting commissions and expenses of $1.3 million, net proceeds to the Company were $84.8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February 2026, the Company entered into a sales agreement with TD Cowen to sell shares of the Company’s common stock, from time to time, with aggregate gross proceeds of up to $1 billion, through an at-the-market equity offering program (the 2026 ATM). The 2026 ATM replaced the 2024 ATM and any unused balance remaining under the 2024 ATM is no longer available. During the six months ended June 30, 2026, the Company sold an aggregate of 1,455,299 shares of common stock under the 2026 ATM, resulting in gross proceeds of $144.1 million, with net proceeds to the Company of $141.9 million after deducting commissions and expenses.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April 2026, the Company completed a public offering of 12,147,887 shares of its common stock at a public offering price of $142.00 per share, including the shares sold pursuant to the underwriters’ full exercise of their option to purchase additional shares (the Common Stock Offering). The Company received gross proceeds of approximately $1,725.0 million from the Common Stock Offering. Net proceeds were approximately $1,651.4 million from the Common Stock Offering, after deducting underwriting discounts, commissions and offering expenses. </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20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have been prepared in conformity with generally accepted accounting principles in the United States (GAAP) and applicable rules of the Securities and Exchange Commission (SEC) regarding interim financial reporting and, in the opinion of management, include all normal and recurring adjustments which are necessary to state fairly the Company’s financial position and results of operations for the reported periods. The accompanying unaudited condensed consolidated financial statements and related financial information should be read in conjunction with the consolidated financial statements and the related notes thereto for the year ended December 31, 2025 included in the Company’s Annual Report on Form 10-K for the year ended December 31, 2025 filed with the SEC on February 25, 2026 (the 2025 Form 10-K). Certain information and footnote disclosures normally included in the financial statements prepared in accordance with GAAP have been condensed or omitted in accordance with such rules and regulations. The unaudited condensed consolidated financial statements for the periods ended June 30, 2026 and June 30, 2025 include the accounts of the Company and its wholly owned subsidiaries. All intercompany balances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and transactions have been eliminated in consolidation. The financial results of the Company's activities are reported in United States Dollars.</w:t>
      </w:r>
    </w:p>
    <w:p>
      <w:pPr>
        <w:pStyle w:val="TextBody"/>
        <w:bidi w:val="0"/>
        <w:spacing w:before="20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clinical accruals, useful lives of property and equipment and intangible assets, impairment of goodwill and intangibles, impairment of in-process research and development and developed technologies, the incremental borrowing rate for determining operating lease assets and liabilities, warrant liabilities, stock-based compensation, the liability related to the sale of future royalties including the estimation of future payments and the related non-cash interest expense. Estimates are based on historical experience, complex judgments, facts and circumstances available at the time and various other assumptions that are believed to be reasonable under the circumstances but are inherently uncertain and unpredictable. Actual results could materially differ from the Company’s estimates, and there may be changes to the estimates in future periods</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Concentration of credit risk and other risks and uncertainties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Financial instruments that potentially subject the Company to concentration of credit risk consist of cash, cash equivalents and marketable securities. The Company maintains bank deposits in federally insured financial institutions and these deposits may exceed federally insured limits. The Company is exposed to credit risk in the event of a default by the financial institutions holding its bank deposits and issuers of its investments. The Company’s investment policy limits investments to money market funds, certain types of debt securities issued by the U.S. government and its agencies, certificates of deposit, corporate debt and commercial paper, and places restrictions on the credit ratings, maturities and concentration by type and issuer. The Company has not experienced any significant losses on its deposits of cash and cash equivalents or investments.</w:t>
      </w:r>
    </w:p>
    <w:p>
      <w:pPr>
        <w:pStyle w:val="TextBody"/>
        <w:bidi w:val="0"/>
        <w:spacing w:before="200" w:after="283"/>
        <w:jc w:val="left"/>
        <w:rPr>
          <w:rFonts w:ascii="Times New Roman" w:hAnsi="Times New Roman"/>
          <w:sz w:val="20"/>
        </w:rPr>
      </w:pPr>
      <w:r>
        <w:rPr>
          <w:rFonts w:ascii="Times New Roman" w:hAnsi="Times New Roman"/>
          <w:b/>
          <w:i/>
          <w:color w:val="000000"/>
          <w:sz w:val="20"/>
        </w:rPr>
        <w:t>Pre-launch inventory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Costs relating to raw materials and production of inventory in preparation for product launch prior to regulatory approval are capitalized when future commercialization is considered probable, the future economic benefit is expected to be realized, and the Company believes that material uncertainties related to the ultimate regulatory approval have been significantly reduced. As of June 30, 2026, the Company has not capitalized any inventory costs.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determines its operating segments based on how the chief operating decision maker (CODM) views and analyzes the segment’s operations and performance and allocates resources. The President and Chief Executive Officer is the CODM. The CODM utilizes net loss as the measure of segment profit or loss. The Company has one operating and reportable segment. The Company’s CODM manages the Company’s operations on a consolidated basis for the purposes of allocating resources and evaluating financial performance. The CODM assesses performance for and decides how to allocate resources based on the Company’s cash and investment balance, periodic changes in cash and investments, and net loss, all of which are reported on the Company’s consolidated balance sheets, statements of operations and/or statements of cash flows. The measure of segment assets is reported on the consolidated balance sheets as total consolidated assets. Substantially all of the Company’s long-lived assets are located in the United States.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the significant expense categories included within consolidated net loss presented on the Company’s condensed consolidated statements of operations, see below for disaggregated amounts that comprise research and development expenses:</w:t>
      </w:r>
    </w:p>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416"/>
        <w:gridCol w:w="146"/>
        <w:gridCol w:w="211"/>
        <w:gridCol w:w="781"/>
        <w:gridCol w:w="146"/>
        <w:gridCol w:w="146"/>
        <w:gridCol w:w="211"/>
        <w:gridCol w:w="781"/>
        <w:gridCol w:w="146"/>
        <w:gridCol w:w="146"/>
        <w:gridCol w:w="211"/>
        <w:gridCol w:w="781"/>
        <w:gridCol w:w="166"/>
        <w:gridCol w:w="146"/>
        <w:gridCol w:w="211"/>
        <w:gridCol w:w="781"/>
        <w:gridCol w:w="146"/>
        <w:gridCol w:w="146"/>
        <w:gridCol w:w="211"/>
        <w:gridCol w:w="781"/>
        <w:gridCol w:w="146"/>
        <w:gridCol w:w="146"/>
        <w:gridCol w:w="211"/>
        <w:gridCol w:w="781"/>
        <w:gridCol w:w="21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Increase/ </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Increase/ </w:t>
              <w:br/>
              <w:t>(decrease)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Third-party research and development expenses</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and other employee-related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13"/>
        </w:rPr>
        <w:t>(a)</w:t>
      </w:r>
      <w:r>
        <w:rPr>
          <w:rFonts w:ascii="Times New Roman" w:hAnsi="Times New Roman"/>
          <w:color w:val="000000"/>
          <w:sz w:val="20"/>
        </w:rPr>
        <w:t xml:space="preserve"> Third-party research and development expenses are comprised primarily of external costs incurred under agreements with third-party contract organizations, investigative clinical trial sites that conduct research and development activities on the Company’s behalf and consultants; costs related to the production of preclinical, clinical and pre-launch inventory, including fees paid to contract manufacturers; and laboratory and vendor expenses related to the execution of discovery programs, preclinical and clinical trials.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Financial Accounting Standards Board (FASB), under its ASC or other standard setting bodies, and adopted by the Company as of the specified effective date.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2024, the FASB issued ASU 2024-04, Debt (Topic 470), Debt with Conversion and Other Options (Subtopic 470-20), Induced Conversions of Convertible Debt Instruments. ASU 2024-04 clarifies the requirements for determining whether certain settlements of convertible debt instruments should be accounted for as an induced conversion. The guidance is effective for public business entities for fiscal years beginning after December 15, 2025. Early application is permitted. The Company adopted the standard prospectively for the year ended December 31, 2026. The guidance applies to the Company's convertible senior notes issued in April 2026. The adoption of the standard did not have a material impact on the Company's consolidated financial statements.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Recently announced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2024, the FASB issued ASU 2024-03, Disaggregation of Income Statement Expenses (DISE). The new standard requires disclosures about specific types of expenses included in the expense captions presented on the face of the income statement as well as disclosures about selling expenses. The guidance is effective for public business entities for fiscal years (clarified as annual reporting periods by ASU 2025-01, Income Statement—Reporting Comprehensive Income—Expense Disaggregation Disclosures Subtopic 220-40 issued in January 2025) beginning after December 15, 2026, and interim periods beginning after December 15, 2027. Early adoption is permitted. The guidance is to be applied prospectively, with the option for retrospective application. The Company is currently evaluating the impact of the standard on its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September 2025, the FASB issued ASU 2025-06, Intangibles—Goodwill and Other—Internal-Use Software (Subtopic 350-40), Targeted Improvements to the Accounting for Internal-Use Software. The new guidance amends the existing standard that refers to various stages of a software development project to align better with current software development methods. The new guidance will be effective for all entities for annual periods beginning after December 15, 2027. The guidance can be applied on a fully prospective basis, a modified basis for in-process projects, or a full retrospective basis. The Company is currently evaluating the impact of the standard on its consolidated financial statements.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2025, the FASB issued ASU 2025-11, Interim Reporting (Topic 270), Narrow-Scope Improvements. The amendments in this guidance clarify interim disclosure requirements and the applicability of Topic 270 resulting in a comprehensive list of interim disclosures with a goal to enhance consistency in interim reporting for all entities. The guidance will be effective for interim reporting periods within annual reporting periods beginning after December 15, 2027, with early adoption permitted. The amendments in this Update can be applied either prospectively or retrospectively to any or all prior periods presented in the financial statements. The Company is currently evaluating the impact of the standard on its consolidated financial statements.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Fair value measurements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carrying amounts of certain of the Company’s financial instruments, including cash equivalents, accounts payable, and accrued expenses and other current liabilities approximate fair value due to their relatively short maturities and market interest rates, if applicable. The Company’s marketable securities measured at fair value on a recurring basis are classified within the fair value hierarchy as described below.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1—Observable inputs such as unadjusted, quoted prices in active markets for identical assets or liabilities at the measurement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3—Unobservable inputs that are supported by little or no market activity and that are significant to the fair value of the assets or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presents information about the Company’s financial assets and liabilities that are measured at fair value and indicates the fair value hierarchy of the valuation: </w:t>
      </w:r>
    </w:p>
    <w:p>
      <w:pPr>
        <w:pStyle w:val="TextBody"/>
        <w:bidi w:val="0"/>
        <w:jc w:val="left"/>
        <w:rPr/>
      </w:pPr>
      <w:r>
        <w:rPr/>
        <w:t> </w:t>
      </w:r>
    </w:p>
    <w:tbl>
      <w:tblPr>
        <w:tblW w:w="8775" w:type="dxa"/>
        <w:jc w:val="left"/>
        <w:tblInd w:w="0" w:type="dxa"/>
        <w:tblLayout w:type="fixed"/>
        <w:tblCellMar>
          <w:top w:w="28" w:type="dxa"/>
          <w:left w:w="28" w:type="dxa"/>
          <w:bottom w:w="28" w:type="dxa"/>
          <w:right w:w="28" w:type="dxa"/>
        </w:tblCellMar>
      </w:tblPr>
      <w:tblGrid>
        <w:gridCol w:w="3456"/>
        <w:gridCol w:w="146"/>
        <w:gridCol w:w="211"/>
        <w:gridCol w:w="931"/>
        <w:gridCol w:w="146"/>
        <w:gridCol w:w="146"/>
        <w:gridCol w:w="211"/>
        <w:gridCol w:w="781"/>
        <w:gridCol w:w="146"/>
        <w:gridCol w:w="146"/>
        <w:gridCol w:w="211"/>
        <w:gridCol w:w="931"/>
        <w:gridCol w:w="146"/>
        <w:gridCol w:w="146"/>
        <w:gridCol w:w="239"/>
        <w:gridCol w:w="391"/>
        <w:gridCol w:w="39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1,712,855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1,712,855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3,446,217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889,057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889,057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2,024,196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1,654,820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Money market funds are measured at fair value on a recurring basis using quoted prices. U.S. government debt securities, government agency bonds, certificates of deposit, commercial paper and corporate bonds are measured at fair value, which is derived from independent pricing sources based on quoted prices in active markets for similar securities.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were no transfers between Levels 1, 2 or 3 for any of the periods presented.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fair value of the public warrants was determined using observable listed market prices for such warrants and is categorized as Level 1. The fair value of the private warrants is categorized as Level 2 because, while the private warrants are not actively traded, their value is derived from the observable market price of the public warrants, as the warrants have substantially similar terms.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Available-for-sale securities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tables summarize the amortized cost and estimated fair value of the Company’s available-for-sale marketable securities and cash equivalents and the gross unrealized gains and losses: </w:t>
      </w:r>
    </w:p>
    <w:p>
      <w:pPr>
        <w:pStyle w:val="TextBody"/>
        <w:bidi w:val="0"/>
        <w:jc w:val="both"/>
        <w:rPr/>
      </w:pPr>
      <w:r>
        <w:rPr/>
        <w:t> </w:t>
      </w:r>
    </w:p>
    <w:tbl>
      <w:tblPr>
        <w:tblW w:w="8885" w:type="dxa"/>
        <w:jc w:val="left"/>
        <w:tblInd w:w="0" w:type="dxa"/>
        <w:tblLayout w:type="fixed"/>
        <w:tblCellMar>
          <w:top w:w="28" w:type="dxa"/>
          <w:left w:w="28" w:type="dxa"/>
          <w:bottom w:w="28" w:type="dxa"/>
          <w:right w:w="28" w:type="dxa"/>
        </w:tblCellMar>
      </w:tblPr>
      <w:tblGrid>
        <w:gridCol w:w="3456"/>
        <w:gridCol w:w="146"/>
        <w:gridCol w:w="211"/>
        <w:gridCol w:w="931"/>
        <w:gridCol w:w="146"/>
        <w:gridCol w:w="146"/>
        <w:gridCol w:w="285"/>
        <w:gridCol w:w="571"/>
        <w:gridCol w:w="146"/>
        <w:gridCol w:w="146"/>
        <w:gridCol w:w="214"/>
        <w:gridCol w:w="642"/>
        <w:gridCol w:w="166"/>
        <w:gridCol w:w="146"/>
        <w:gridCol w:w="211"/>
        <w:gridCol w:w="931"/>
        <w:gridCol w:w="39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1,162,712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1,707,350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3,128,342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3,122,534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760,439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3,888,822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3,882,973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885" w:type="dxa"/>
        <w:jc w:val="left"/>
        <w:tblInd w:w="0" w:type="dxa"/>
        <w:tblLayout w:type="fixed"/>
        <w:tblCellMar>
          <w:top w:w="28" w:type="dxa"/>
          <w:left w:w="28" w:type="dxa"/>
          <w:bottom w:w="28" w:type="dxa"/>
          <w:right w:w="28" w:type="dxa"/>
        </w:tblCellMar>
      </w:tblPr>
      <w:tblGrid>
        <w:gridCol w:w="3456"/>
        <w:gridCol w:w="146"/>
        <w:gridCol w:w="211"/>
        <w:gridCol w:w="931"/>
        <w:gridCol w:w="146"/>
        <w:gridCol w:w="146"/>
        <w:gridCol w:w="230"/>
        <w:gridCol w:w="626"/>
        <w:gridCol w:w="146"/>
        <w:gridCol w:w="146"/>
        <w:gridCol w:w="307"/>
        <w:gridCol w:w="549"/>
        <w:gridCol w:w="166"/>
        <w:gridCol w:w="146"/>
        <w:gridCol w:w="211"/>
        <w:gridCol w:w="931"/>
        <w:gridCol w:w="39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690,683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887,058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888,858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1,638,696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1,641,934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2,020,959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2,024,196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amortized cost and estimated fair value of the Company’s available-for-sale securities by contractual maturity are summarized below as of June 30, 2026:</w:t>
      </w:r>
    </w:p>
    <w:p>
      <w:pPr>
        <w:pStyle w:val="TextBody"/>
        <w:bidi w:val="0"/>
        <w:jc w:val="left"/>
        <w:rPr/>
      </w:pPr>
      <w:r>
        <w:rPr/>
        <w:t> </w:t>
      </w:r>
    </w:p>
    <w:tbl>
      <w:tblPr>
        <w:tblW w:w="8575" w:type="dxa"/>
        <w:jc w:val="left"/>
        <w:tblInd w:w="0" w:type="dxa"/>
        <w:tblLayout w:type="fixed"/>
        <w:tblCellMar>
          <w:top w:w="28" w:type="dxa"/>
          <w:left w:w="28" w:type="dxa"/>
          <w:bottom w:w="28" w:type="dxa"/>
          <w:right w:w="28" w:type="dxa"/>
        </w:tblCellMar>
      </w:tblPr>
      <w:tblGrid>
        <w:gridCol w:w="3346"/>
        <w:gridCol w:w="146"/>
        <w:gridCol w:w="211"/>
        <w:gridCol w:w="931"/>
        <w:gridCol w:w="146"/>
        <w:gridCol w:w="146"/>
        <w:gridCol w:w="285"/>
        <w:gridCol w:w="571"/>
        <w:gridCol w:w="146"/>
        <w:gridCol w:w="146"/>
        <w:gridCol w:w="214"/>
        <w:gridCol w:w="642"/>
        <w:gridCol w:w="166"/>
        <w:gridCol w:w="146"/>
        <w:gridCol w:w="211"/>
        <w:gridCol w:w="931"/>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2,466,427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Mature after one year through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1,420,805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1,416,546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3,888,822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3,882,973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color w:val="000000"/>
          <w:sz w:val="20"/>
        </w:rPr>
      </w:pPr>
      <w:r>
        <w:rPr>
          <w:rFonts w:ascii="Times New Roman" w:hAnsi="Times New Roman"/>
          <w:b/>
          <w:color w:val="000000"/>
          <w:sz w:val="20"/>
        </w:rPr>
        <w:t xml:space="preserve">Balance sheet components </w:t>
      </w:r>
    </w:p>
    <w:p>
      <w:pPr>
        <w:pStyle w:val="TextBody"/>
        <w:bidi w:val="0"/>
        <w:spacing w:before="20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Property and equipment, net consisted of the following: </w:t>
      </w:r>
    </w:p>
    <w:p>
      <w:pPr>
        <w:pStyle w:val="TextBody"/>
        <w:bidi w:val="0"/>
        <w:jc w:val="left"/>
        <w:rPr/>
      </w:pPr>
      <w:r>
        <w:rPr/>
        <w:t> </w:t>
      </w:r>
    </w:p>
    <w:tbl>
      <w:tblPr>
        <w:tblW w:w="5622" w:type="dxa"/>
        <w:jc w:val="left"/>
        <w:tblInd w:w="0" w:type="dxa"/>
        <w:tblLayout w:type="fixed"/>
        <w:tblCellMar>
          <w:top w:w="28" w:type="dxa"/>
          <w:left w:w="28" w:type="dxa"/>
          <w:bottom w:w="28" w:type="dxa"/>
          <w:right w:w="28" w:type="dxa"/>
        </w:tblCellMar>
      </w:tblPr>
      <w:tblGrid>
        <w:gridCol w:w="2911"/>
        <w:gridCol w:w="146"/>
        <w:gridCol w:w="211"/>
        <w:gridCol w:w="736"/>
        <w:gridCol w:w="166"/>
        <w:gridCol w:w="146"/>
        <w:gridCol w:w="244"/>
        <w:gridCol w:w="851"/>
        <w:gridCol w:w="2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for property and equipment amounted to $2.1 million and $1.7 million for the three months ended June 30, 2026 and 2025, respectively, and $4.3 million and $3.3 million for the six months ended June 30, 2026 and 2025, respectively.</w:t>
      </w:r>
    </w:p>
    <w:p>
      <w:pPr>
        <w:pStyle w:val="TextBody"/>
        <w:bidi w:val="0"/>
        <w:spacing w:before="200" w:after="283"/>
        <w:jc w:val="left"/>
        <w:rPr>
          <w:rFonts w:ascii="Times New Roman" w:hAnsi="Times New Roman"/>
          <w:sz w:val="20"/>
        </w:rPr>
      </w:pPr>
      <w:r>
        <w:rPr>
          <w:rFonts w:ascii="Times New Roman" w:hAnsi="Times New Roman"/>
          <w:b/>
          <w:i/>
          <w:color w:val="000000"/>
          <w:sz w:val="20"/>
        </w:rPr>
        <w:t>Accrued expenses and other current liabilities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w:t>
      </w:r>
    </w:p>
    <w:p>
      <w:pPr>
        <w:pStyle w:val="TextBody"/>
        <w:bidi w:val="0"/>
        <w:jc w:val="left"/>
        <w:rPr/>
      </w:pPr>
      <w:r>
        <w:rPr/>
        <w:t> </w:t>
      </w:r>
    </w:p>
    <w:tbl>
      <w:tblPr>
        <w:tblW w:w="6977" w:type="dxa"/>
        <w:jc w:val="left"/>
        <w:tblInd w:w="0" w:type="dxa"/>
        <w:tblLayout w:type="fixed"/>
        <w:tblCellMar>
          <w:top w:w="28" w:type="dxa"/>
          <w:left w:w="28" w:type="dxa"/>
          <w:bottom w:w="28" w:type="dxa"/>
          <w:right w:w="28" w:type="dxa"/>
        </w:tblCellMar>
      </w:tblPr>
      <w:tblGrid>
        <w:gridCol w:w="4261"/>
        <w:gridCol w:w="146"/>
        <w:gridCol w:w="211"/>
        <w:gridCol w:w="781"/>
        <w:gridCol w:w="146"/>
        <w:gridCol w:w="146"/>
        <w:gridCol w:w="233"/>
        <w:gridCol w:w="862"/>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w:t>
      </w:r>
    </w:p>
    <w:p>
      <w:pPr>
        <w:pStyle w:val="TextBody"/>
        <w:bidi w:val="0"/>
        <w:jc w:val="left"/>
        <w:rPr>
          <w:rFonts w:ascii="Times New Roman" w:hAnsi="Times New Roman"/>
          <w:b/>
          <w:color w:val="000000"/>
          <w:sz w:val="20"/>
        </w:rPr>
      </w:pPr>
      <w:r>
        <w:rPr>
          <w:rFonts w:ascii="Times New Roman" w:hAnsi="Times New Roman"/>
          <w:b/>
          <w:color w:val="000000"/>
          <w:sz w:val="20"/>
        </w:rPr>
        <w:t xml:space="preserve">Intangible assets and goodwill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Intangible assets,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Intangible assets, net consist of the following as of June 30, 2026:</w:t>
      </w:r>
    </w:p>
    <w:p>
      <w:pPr>
        <w:pStyle w:val="TextBody"/>
        <w:bidi w:val="0"/>
        <w:jc w:val="left"/>
        <w:rPr/>
      </w:pPr>
      <w:r>
        <w:rPr/>
        <w:t> </w:t>
      </w:r>
    </w:p>
    <w:tbl>
      <w:tblPr>
        <w:tblW w:w="9748" w:type="dxa"/>
        <w:jc w:val="left"/>
        <w:tblInd w:w="0" w:type="dxa"/>
        <w:tblLayout w:type="fixed"/>
        <w:tblCellMar>
          <w:top w:w="28" w:type="dxa"/>
          <w:left w:w="28" w:type="dxa"/>
          <w:bottom w:w="28" w:type="dxa"/>
          <w:right w:w="28" w:type="dxa"/>
        </w:tblCellMar>
      </w:tblPr>
      <w:tblGrid>
        <w:gridCol w:w="4561"/>
        <w:gridCol w:w="146"/>
        <w:gridCol w:w="228"/>
        <w:gridCol w:w="732"/>
        <w:gridCol w:w="146"/>
        <w:gridCol w:w="146"/>
        <w:gridCol w:w="263"/>
        <w:gridCol w:w="788"/>
        <w:gridCol w:w="166"/>
        <w:gridCol w:w="146"/>
        <w:gridCol w:w="211"/>
        <w:gridCol w:w="676"/>
        <w:gridCol w:w="146"/>
        <w:gridCol w:w="146"/>
        <w:gridCol w:w="254"/>
        <w:gridCol w:w="602"/>
        <w:gridCol w:w="3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useful life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 — RAS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tri-complex platform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Amortization expense amounted to zero and $0.3 million for the three months ended June 30, 2026 and 2025, respectively, and zero and $0.5 million for the six months ended June 30, 2026 and 2025, respectively. The tri-complex platform was fully amortized as of December 31,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Intangible assets, net consisted of the following as of December 31, 2025:</w:t>
      </w:r>
    </w:p>
    <w:p>
      <w:pPr>
        <w:pStyle w:val="TextBody"/>
        <w:bidi w:val="0"/>
        <w:jc w:val="left"/>
        <w:rPr/>
      </w:pPr>
      <w:r>
        <w:rPr/>
        <w:t> </w:t>
      </w:r>
    </w:p>
    <w:tbl>
      <w:tblPr>
        <w:tblW w:w="9748" w:type="dxa"/>
        <w:jc w:val="left"/>
        <w:tblInd w:w="0" w:type="dxa"/>
        <w:tblLayout w:type="fixed"/>
        <w:tblCellMar>
          <w:top w:w="28" w:type="dxa"/>
          <w:left w:w="28" w:type="dxa"/>
          <w:bottom w:w="28" w:type="dxa"/>
          <w:right w:w="28" w:type="dxa"/>
        </w:tblCellMar>
      </w:tblPr>
      <w:tblGrid>
        <w:gridCol w:w="4561"/>
        <w:gridCol w:w="146"/>
        <w:gridCol w:w="228"/>
        <w:gridCol w:w="732"/>
        <w:gridCol w:w="146"/>
        <w:gridCol w:w="146"/>
        <w:gridCol w:w="263"/>
        <w:gridCol w:w="788"/>
        <w:gridCol w:w="166"/>
        <w:gridCol w:w="146"/>
        <w:gridCol w:w="211"/>
        <w:gridCol w:w="676"/>
        <w:gridCol w:w="146"/>
        <w:gridCol w:w="146"/>
        <w:gridCol w:w="254"/>
        <w:gridCol w:w="602"/>
        <w:gridCol w:w="3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useful life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 — RAS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tri-complex platform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summarizes the change in the carrying value of goodwill for the three and six months ended June 30, 2026: </w:t>
      </w:r>
    </w:p>
    <w:p>
      <w:pPr>
        <w:pStyle w:val="TextBody"/>
        <w:bidi w:val="0"/>
        <w:jc w:val="left"/>
        <w:rPr/>
      </w:pPr>
      <w:r>
        <w:rPr/>
        <w:t> </w:t>
      </w:r>
    </w:p>
    <w:tbl>
      <w:tblPr>
        <w:tblW w:w="4058" w:type="dxa"/>
        <w:jc w:val="left"/>
        <w:tblInd w:w="0" w:type="dxa"/>
        <w:tblLayout w:type="fixed"/>
        <w:tblCellMar>
          <w:top w:w="28" w:type="dxa"/>
          <w:left w:w="28" w:type="dxa"/>
          <w:bottom w:w="28" w:type="dxa"/>
          <w:right w:w="28" w:type="dxa"/>
        </w:tblCellMar>
      </w:tblPr>
      <w:tblGrid>
        <w:gridCol w:w="2596"/>
        <w:gridCol w:w="146"/>
        <w:gridCol w:w="267"/>
        <w:gridCol w:w="858"/>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impairment has been recognized during the three or six months ended June 30, 2026. Goodwill recorded is not deductible for income tax purposes.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20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operating lease arrangements primarily consist of office, laboratory, and research and development space in Redwood City, California, with lease terms extending through December 31, 2035, and certain options to extend.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operating lease arrangements recognized under ASC 842, the Company recognizes lease cost on a straight-line basis over the lease term.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also entered into sublease arrangements for certain facilities, which are accounted for as operating leases. Sublease income is recognized on a straight-line basis over the applicable sublease terms.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maintains letters of credit for the benefit of the landlord which are classified as restricted cash in the condensed consolidated balance sheets. Restricted cash related to letters of credit due to the landlord was $4.6 million as of June 30, 2026 and December 31,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Through June 30, 2026, the landlord had provided the Company with $20.3 million in tenant improvement allowances, which were recognized as lease incentives. The lease incentives are being amortized as an offset to rent expense over the lease term in the unaudited condensed consolidated statements of operations and comprehensive loss.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balance sheet classification of the Company’s operating lease liabilities was as follows:</w:t>
      </w:r>
    </w:p>
    <w:p>
      <w:pPr>
        <w:pStyle w:val="TextBody"/>
        <w:bidi w:val="0"/>
        <w:jc w:val="left"/>
        <w:rPr/>
      </w:pPr>
      <w:r>
        <w:rPr/>
        <w:t> </w:t>
      </w:r>
    </w:p>
    <w:tbl>
      <w:tblPr>
        <w:tblW w:w="6062" w:type="dxa"/>
        <w:jc w:val="left"/>
        <w:tblInd w:w="0" w:type="dxa"/>
        <w:tblLayout w:type="fixed"/>
        <w:tblCellMar>
          <w:top w:w="28" w:type="dxa"/>
          <w:left w:w="28" w:type="dxa"/>
          <w:bottom w:w="28" w:type="dxa"/>
          <w:right w:w="28" w:type="dxa"/>
        </w:tblCellMar>
      </w:tblPr>
      <w:tblGrid>
        <w:gridCol w:w="3346"/>
        <w:gridCol w:w="146"/>
        <w:gridCol w:w="211"/>
        <w:gridCol w:w="781"/>
        <w:gridCol w:w="146"/>
        <w:gridCol w:w="146"/>
        <w:gridCol w:w="233"/>
        <w:gridCol w:w="862"/>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Operating lease liability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Operating lease liability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142,234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lease costs for the three and six months ended June 30, 2026 and 2025 were as follows (in thousands):</w:t>
      </w:r>
    </w:p>
    <w:p>
      <w:pPr>
        <w:pStyle w:val="TextBody"/>
        <w:bidi w:val="0"/>
        <w:spacing w:before="240" w:after="283"/>
        <w:jc w:val="left"/>
        <w:rPr/>
      </w:pPr>
      <w:r>
        <w:rPr/>
        <w:t> </w:t>
      </w:r>
    </w:p>
    <w:tbl>
      <w:tblPr>
        <w:tblW w:w="7896" w:type="dxa"/>
        <w:jc w:val="left"/>
        <w:tblInd w:w="0" w:type="dxa"/>
        <w:tblLayout w:type="fixed"/>
        <w:tblCellMar>
          <w:top w:w="28" w:type="dxa"/>
          <w:left w:w="28" w:type="dxa"/>
          <w:bottom w:w="28" w:type="dxa"/>
          <w:right w:w="28" w:type="dxa"/>
        </w:tblCellMar>
      </w:tblPr>
      <w:tblGrid>
        <w:gridCol w:w="2896"/>
        <w:gridCol w:w="146"/>
        <w:gridCol w:w="246"/>
        <w:gridCol w:w="738"/>
        <w:gridCol w:w="194"/>
        <w:gridCol w:w="170"/>
        <w:gridCol w:w="246"/>
        <w:gridCol w:w="668"/>
        <w:gridCol w:w="166"/>
        <w:gridCol w:w="146"/>
        <w:gridCol w:w="214"/>
        <w:gridCol w:w="685"/>
        <w:gridCol w:w="168"/>
        <w:gridCol w:w="148"/>
        <w:gridCol w:w="214"/>
        <w:gridCol w:w="640"/>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Sublease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Total operating lease cost, net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8,319</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(1) Net lease cost does not include short-term lease and variable lease costs, which were immaterial.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the maturities of the Company’s operating lease liabilities were as follows (in thousands):</w:t>
      </w:r>
    </w:p>
    <w:p>
      <w:pPr>
        <w:pStyle w:val="TextBody"/>
        <w:bidi w:val="0"/>
        <w:jc w:val="left"/>
        <w:rPr/>
      </w:pPr>
      <w:r>
        <w:rPr/>
        <w:t> </w:t>
      </w:r>
    </w:p>
    <w:tbl>
      <w:tblPr>
        <w:tblW w:w="4365" w:type="dxa"/>
        <w:jc w:val="left"/>
        <w:tblInd w:w="0" w:type="dxa"/>
        <w:tblLayout w:type="fixed"/>
        <w:tblCellMar>
          <w:top w:w="28" w:type="dxa"/>
          <w:left w:w="28" w:type="dxa"/>
          <w:bottom w:w="28" w:type="dxa"/>
          <w:right w:w="28" w:type="dxa"/>
        </w:tblCellMar>
      </w:tblPr>
      <w:tblGrid>
        <w:gridCol w:w="3016"/>
        <w:gridCol w:w="146"/>
        <w:gridCol w:w="211"/>
        <w:gridCol w:w="781"/>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Lease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154,494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lease liabilities are based on the net present value of the remaining lease payments over the remaining lease term. In determining the present value of lease payments, the Company uses its incremental borrowing rate. The weighted-average discount rate used to determine the operating lease liability was 7.97%. As of June 30, 2026 and December 31, 2025, the weighted-average remaining lease term was 9.5 years and 10.0 years, respectively.</w:t>
      </w:r>
    </w:p>
    <w:p>
      <w:pPr>
        <w:pStyle w:val="TextBody"/>
        <w:bidi w:val="0"/>
        <w:spacing w:before="200" w:after="283"/>
        <w:jc w:val="left"/>
        <w:rPr>
          <w:rFonts w:ascii="Times New Roman" w:hAnsi="Times New Roman"/>
          <w:sz w:val="20"/>
        </w:rPr>
      </w:pPr>
      <w:r>
        <w:rPr>
          <w:rFonts w:ascii="Times New Roman" w:hAnsi="Times New Roman"/>
          <w:b/>
          <w:i/>
          <w:color w:val="000000"/>
          <w:sz w:val="20"/>
        </w:rPr>
        <w:t>Legal matters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From time to time, the Company may be involved in litigation related to claims that arise in the ordinary course of its business activities. Defending such proceedings is costly and can impose a significant burden on management and employees. The results of any current or future litigation cannot be predicted with certainty, and regardless of the outcome, litigation can have an adverse impact on the Company because of defense and settlement costs, diversion of management resources, and other factors. The Company accrues for these matters when it is probable that losses will be incurred and these losses can be reasonably estimated.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9, 2024, Nemeth v. Casdin, et al., Case No. 2024-1268-PAF (Del. Ch.), was filed in the Court of Chancery of the State of Delaware (the Complaint) arising from CM Life Sciences III, Inc.’s (CMLS III) December 17, 2021 merger with EQRx, Inc. (Legacy EQRx) (the Merger). The Complaint was filed by former stockholders of CMLS III and brings claims for breach of fiduciary duty and unjust enrichment against members of CMLS III’s board of directors, CMLS III’s officers, and CMLS III’s sponsor in connection with the Merger. The Complaint also brings claims for aiding and abetting breaches of fiduciary duties against certain investment firms involved with the merger process, the Company, solely as successor-in-interest to EQRx, and Legacy EQRx’s former Executive Chairman and CEO, Alexis Borisy, who is also on the Company’s board of directors. Defendants moved to dismiss the Complaint in February 2025. The parties reached an agreement to resolve the matter, which was filed with the court on January 6, 2026. The court entered an Order and Final Judgment approving the settlement and dismissing the action with prejudice on June 18, 2026.</w:t>
      </w:r>
    </w:p>
    <w:p>
      <w:pPr>
        <w:pStyle w:val="TextBody"/>
        <w:bidi w:val="0"/>
        <w:spacing w:before="200" w:after="283"/>
        <w:jc w:val="left"/>
        <w:rPr>
          <w:rFonts w:ascii="Times New Roman" w:hAnsi="Times New Roman"/>
          <w:sz w:val="20"/>
        </w:rPr>
      </w:pPr>
      <w:r>
        <w:rPr>
          <w:rFonts w:ascii="Times New Roman" w:hAnsi="Times New Roman"/>
          <w:b/>
          <w:i/>
          <w:color w:val="000000"/>
          <w:sz w:val="20"/>
        </w:rPr>
        <w:t>Indemnification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not incurred costs to defend lawsuits or settle claims related to these indemnification agreements. As a result, the Company believes the fair value of these agreements is minimal.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Other</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enters into agreements in the ordinary course of business with contract research organizations for clinical trials, contract manufacturing organizations to provide clinical trial materials and with vendors for preclinical studies and other services and products for operating purposes, which are generally cancelable at any time by the Company upon 30 to 90 days’ prior written notice.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Liability related to the sale of future royalties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the Company entered into a revenue participation right purchase and sale agreement (the Royalty Purchase Agreement) with Royalty Pharma Investments 2019 ICAV (Royalty Pharma). Pursuant to the Royalty Purchase Agreement, Royalty Pharma purchased from the Company the right to receive tiered royalty payments with respect to worldwide net product sales of (i) RMC-6236 Products and (ii) RMC-9805 Products, if an RMC-9805 Product is approved for the same indication or subset of the same indication for which an RMC-6236 Product is approved (the Royalty Payments) for an upfront payment of $250.0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2026, the Company received a $250.0 million payment from Royalty Pharma in exchange for additional rights to Royalty Payments in connection with the Tranche 2 funding trigger under the Royalty Purchase Agreement. In exchange for the first two tranches under the Royalty Purchase Agreement (the upfront payment of $250.0 million and this Tranche 2 funding), Royalty Pharma is entitled to receive total Royalty Payments equal to 4.55% of annual net sales up to $2.0 billion, 2.50% of annual net sales between $2.0 billion and $4.0 billion, 1.00% of annual net sales between $4.0 billion and $8.0 billion, and no Royalty Payments on sales in excess of $8.0 billion.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Royalty Purchase Agreement provides for up to an additional $750.0 million of potential purchases of additional Royalty Payments. In each case of the following, at the Company’s election, Royalty Pharma will purchase the rights to additional Royalty Payments in exchange for (x) a payment of up to $250.0 million, if, prior to July 1, 2028, RMC-6236 receives FDA approval for the second-line treatment of patients with metastatic PDAC (Tranche 3), (y) a payment of up to $250.0 million, if the Company meets a specified net sales milestone prior to January 1, 2029 (Tranche 4), and (z) payments of (1) up to $100.0 million, if prior to January 1, 2030, there is a positive data readout from a potential Phase 3 clinical trial for the first-line treatment of metastatic PDAC involving either an RMC-6236 Product or an RMC-9805 Product, in each case, showing that the applicable Company compound meets an agreed-upon endpoint in a statistically significant manner and the FDA accepts a New Drug Application (or a supplemental application or an amendment to an existing application) on the basis of such readout, and (2) a payment of up to the difference of (I) $250.0 million and (II) the purchase price of any Royalty Payments purchased pursuant to clause (z)(1) above, if prior to January 1, 2030, there is a positive data readout from a potential Phase 3 clinical trial for the first-line treatment of metastatic PDAC involving either an RMC-6236 Product or an RMC-9805 Product, in each case, showing that the applicable Company compound meets an agreed-upon endpoint in a statistically significant manner and the earlier of (A) the Company’s determination to proceed with the preparation and submission of an application for marketing approval to the FDA, the European Medicines Agency (EMA) or the United Kingdom Medicines and Healthcare products Regulatory Agency (MHRA) on the basis of such readout or (B) the submission of an application for marketing approval to the FDA, EMA or MHRA on the basis of such readout (Tranche 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Tranches 3 through 5 are all purchased in their entirety, Royalty Pharma would be entitled to receive total Royalty Payments equal to 7.80% of annual net sales up to $2.0 billion, 4.55% of annual net sales between $2.0 billion and $4.0 billion, 2.40% of annual net sales between $4.0 billion and $8.0 billion, and no Royalty Payments on sales in excess of $8.0 billion. If the Company elects not to draw the full amount of any of the optional tranches, the associated royalty rates would be proportionately lower for each of the net sales tiers.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Royalty Purchase Agreement provides for an upward adjustment to the Royalty Payment rates in the years from 2030 to 2041 in the event that annual net sales in the immediate prior year are below an agreed-upon threshold. The upward adjustment to the Royalty Payment rates applies only to the $0 to $2 billion annual net sales tier, and the adjusted total Royalty Payment rate for this tier remains in the single digits. Any upward adjustment will revert back to the original Royalty Payment rates in the event that annual net sales are above a different agreed-upon threshold.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obligations under the Royalty Purchase Agreement will terminate upon the fifteenth anniversary of the first commercial sale of an RMC-6236 Product in the United States (or in the European Union for ex-U.S.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Royalty Purchase Agreement contains customary representations, warranties and indemnities of the Company and Royalty Pharma, and customary covenants on the part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accounted for the Royalty Purchase Agreement as a debt financing, primarily because it has significant continuing involvement in generating the future revenue on which the Royalty Payments are based. The financing liability associated with the Royalty Payments and the related interest expense are measured based on the Company’s current estimate of the timing and amount of expected future Royalty Payments expected to be paid over the estimated term of the Royalty Purchase Agreement. The liability is amortized using the effective interest rate method, resulting in recognition of interest expense over the estimated term of the Royalty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upfront $250.0 million and the Tranche 2 $250.0 million were both recorded as a liability and measured at amortized cost. Aggregate debt issuance costs of $10.8 million were recorded as a direct deduction from the carrying amount of the liability and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amortized to interest expense using the effective interest method over the estimated term of the Royalty Purchase Agreement. The effective interest rate for the liability was determined based on the Company’s projections of future Royalty Payments. The Company evaluates the estimated timing and amount of future Royalty Payments each reporting period and will revise the effective interest rate prospectively if those estimates change materially.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value of the liability related to the sale of future royalties approximates fair value as of June 30, 2026 and is classified as either current or noncurrent based on the estimated timing of future Royalty Payments. The Company’s projections of future Royalty Payments are subject to significant estimation uncertainty and are based on various assumptions, including expected commercial launch timelines, regulatory approval probabilities, and projected net product sales over the term of the agreement. These inputs are considered to be Level 3 inputs in the fair value hierarchy, as they involve significant unobservable inputs and judgment. Changes in these assumptions could have a material impact on the effective interest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the activity of the liability related to the sale of future royalties for the six months ended June 30, 2026:</w:t>
      </w:r>
    </w:p>
    <w:p>
      <w:pPr>
        <w:pStyle w:val="TextBody"/>
        <w:bidi w:val="0"/>
        <w:spacing w:before="120" w:after="283"/>
        <w:jc w:val="left"/>
        <w:rPr/>
      </w:pPr>
      <w:r>
        <w:rPr/>
        <w:t> </w:t>
      </w:r>
    </w:p>
    <w:tbl>
      <w:tblPr>
        <w:tblW w:w="7153" w:type="dxa"/>
        <w:jc w:val="left"/>
        <w:tblInd w:w="0" w:type="dxa"/>
        <w:tblLayout w:type="fixed"/>
        <w:tblCellMar>
          <w:top w:w="28" w:type="dxa"/>
          <w:left w:w="28" w:type="dxa"/>
          <w:bottom w:w="28" w:type="dxa"/>
          <w:right w:w="28" w:type="dxa"/>
        </w:tblCellMar>
      </w:tblPr>
      <w:tblGrid>
        <w:gridCol w:w="5671"/>
        <w:gridCol w:w="146"/>
        <w:gridCol w:w="239"/>
        <w:gridCol w:w="886"/>
        <w:gridCol w:w="21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the sale of future royalties -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sale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interest expense associated with the sale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the sale of future royalties - 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548,542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9.</w:t>
      </w:r>
    </w:p>
    <w:p>
      <w:pPr>
        <w:pStyle w:val="TextBody"/>
        <w:bidi w:val="0"/>
        <w:jc w:val="left"/>
        <w:rPr>
          <w:rFonts w:ascii="Times New Roman" w:hAnsi="Times New Roman"/>
          <w:b/>
          <w:color w:val="000000"/>
          <w:sz w:val="20"/>
        </w:rPr>
      </w:pPr>
      <w:r>
        <w:rPr>
          <w:rFonts w:ascii="Times New Roman" w:hAnsi="Times New Roman"/>
          <w:b/>
          <w:color w:val="000000"/>
          <w:sz w:val="20"/>
        </w:rPr>
        <w:t xml:space="preserve">Term loan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the Company entered into a senior secured term loan agreement with Royalty Pharma Development Funding, LLC, as a lender and Wilmington Trust, National Association, as administrative agent (the Loan Agreement). The Loan Agreement provides for up to $750.0 million in term loans (the Term Loan Facility), consisting of three tranches of $250.0 million each. The first tranche is required to be drawn in full by the Company within 45 days following receipt of FDA marketing approval for daraxonrasib for any indication related to metastatic PDAC, if such approval occurs on or before January 1, 2028, unless the Company has previously elected to terminate the Loan Agreement. The second and third tranches are optional and may be drawn in whole or in part upon achievement of specified commercial milestones prior to January 1,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maturity date of the facility is the earlier of (i) six years after the funding of the first tranche of term loans and (ii) December 31, 2032. The term loans bear interest at a floating rate equal to the three-month term SOFR (subject to a SOFR floor of 3.5%) plus 5.75%, payable on a quarterly basis. The Company is required to pay an upfront fee equal to 2.0% of the applicable tranche of loans drawn on each funding date. There are no scheduled principal amortization payments prior to maturity.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permits voluntary prepayment in full at any time, and also requires mandatory prepayment in connection with a change of control. Prepayments made prior to the second anniversary of the applicable funding date for the applicable tranche of loans are subject to a make-whole premium equal to the foregone interest through the second anniversary, as well as a prepayment premium of 3.00%. Prepayments made on or after the second anniversary but before the third anniversary are subject to a 3.00% prepayment premium, and prepayments made on or after the third anniversary are subject to a 1.00% prepayment premium. No make-whole or prepayment premium is due if repayment occurs at maturity.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Loan Agreement contains customary affirmative and negative covenants on the part of the Company but does not include any financial covenants.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provides an enumerated list of customary events of default whereby certain actions could be exercised against the Company (including, without limitation, (i) the acceleration of all amounts due under the Term Loan Facility; (ii) the application of default rate interest; (iii) the exercise of powers of attorney, voting proxies and other similar rights; (iv) the foreclosure and sale of property and assets and (v) other actions permitted to be taken by a secured creditor).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loans are secured by a lien on substantially all of the Company’s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no amounts had been drawn under the Loan Agreement, and no liability was recorded.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Convertible senior notes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On April 17, 2026, the Company issued $500.0 million aggregate principal amount of its 0.50% Convertible Senior Notes due 2033 (the 2033 Notes). The net proceeds from the offering, after deducting the underwriting discount of 2.5% of the principal amount and estimated offering expenses, were approximately $487.1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2033 Notes are the Company’s senior, unsecured obligations and bear interest at a rate of 0.50% per year, payable semiannually in arrears on May 1 and November 1 of each year, beginning on November 1, 2026. The 2033 Notes will mature on May 1, 2033, unless earlier converted, redeemed, or repurchased.</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Before February 1, 2033, holders may convert their 2033 Notes only upon the satisfaction of one or more of the following conditions: (i) during any calendar quarter commencing after the calendar quarter ending September 30, 2026 (and only during such calendar quarter), if the last reported sale price per share of the Company’s common stock exceeds 130% of the conversion price for at least 20 trading days (whether or not consecutive) during the 30 consecutive trading days ending on, and including, the last trading day of the immediately preceding calendar quarter; (ii) during the five business days immediately after any ten consecutive trading day period in which the trading price per $1,000 principal amount of 2033 Notes is less than 98% of the product of the last reported sale price of the common stock and the conversion rate; (iii) upon the occurrence of certain corporate events or distributions on the Company’s common stock; or (iv) if the Company calls the 2033 Notes for redemption. At any time from and including February 1, 2033, holders may convert their 2033 Notes at their option. During the quarter ending June 30, 2026, the conditions allowing holders to convert the 2033 Notes had not been met. Accordingly, the 2033 Notes were not convertible as of June 30, 2026 at the option of the holders thereof, and the 2033 Notes are classified as a noncurrent liability as of that date.</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The initial conversion rate is 5.0302 shares of the Company’s common stock per $1,000 principal amount of the 2033 Notes, representing an initial conversion price of approximately $198.80 per share. The initial conversion price is subject to customary anti-dilution adjustments and may be increased in connection with certain make-whole fundamental change events, subject to a maximum conversion rate of 7.0422 shares per $1,000 principal amount. Upon conversion, the Company may elect to settle the conversion obligation in cash, shares of the Company’s common stock, or a combination of both.</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On or after May 6, 2030, and on or before the 31st scheduled trading day before the maturity date, the Company may redeem all or any portion of the 2033 Notes for cash at par plus accrued and unpaid interest, provided that the last reported sale price of the Company’s common stock exceeds 130% of the conversion price then in effect for at least 20 trading days during the 30 consecutive trading days ending on, and including, the trading day immediately preceding the notice date. Any redemption of the 2033 Notes also constitutes a make-whole fundamental change. The Company may not redeem fewer than all outstanding 2033 Notes unless at least $100.0 million aggregate principal amount of the 2033 Notes remains outstanding and is not subject to redemption.</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If a fundamental change (as defined in the indenture governing the 2033 Notes) occurs, holders may require the Company to repurchase their 2033 Notes at par plus accrued and unpaid interest.</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The conversion feature of the 2033 Notes was not bifurcated as an embedded derivative because it is indexed to the Company’s own common stock and meets the conditions for equity classification under ASC 815, Derivatives and Hedging.</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The following table sets forth the carrying value of the 2033 Notes as of June 30, 2026:</w:t>
      </w:r>
    </w:p>
    <w:tbl>
      <w:tblPr>
        <w:tblW w:w="4303" w:type="dxa"/>
        <w:jc w:val="left"/>
        <w:tblInd w:w="0" w:type="dxa"/>
        <w:tblLayout w:type="fixed"/>
        <w:tblCellMar>
          <w:top w:w="28" w:type="dxa"/>
          <w:left w:w="28" w:type="dxa"/>
          <w:bottom w:w="28" w:type="dxa"/>
          <w:right w:w="28" w:type="dxa"/>
        </w:tblCellMar>
      </w:tblPr>
      <w:tblGrid>
        <w:gridCol w:w="2821"/>
        <w:gridCol w:w="146"/>
        <w:gridCol w:w="239"/>
        <w:gridCol w:w="886"/>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carrying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487,434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following table sets forth the components of interest expense recognized on the 2033 Notes for the three and six months ended June 30, 2026:</w:t>
      </w:r>
    </w:p>
    <w:tbl>
      <w:tblPr>
        <w:tblW w:w="4313" w:type="dxa"/>
        <w:jc w:val="left"/>
        <w:tblInd w:w="0" w:type="dxa"/>
        <w:tblLayout w:type="fixed"/>
        <w:tblCellMar>
          <w:top w:w="28" w:type="dxa"/>
          <w:left w:w="28" w:type="dxa"/>
          <w:bottom w:w="28" w:type="dxa"/>
          <w:right w:w="28" w:type="dxa"/>
        </w:tblCellMar>
      </w:tblPr>
      <w:tblGrid>
        <w:gridCol w:w="2851"/>
        <w:gridCol w:w="146"/>
        <w:gridCol w:w="373"/>
        <w:gridCol w:w="752"/>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expense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120"/>
        <w:jc w:val="left"/>
        <w:rPr>
          <w:rFonts w:ascii="Times New Roman" w:hAnsi="Times New Roman"/>
          <w:color w:val="000000"/>
          <w:sz w:val="20"/>
        </w:rPr>
      </w:pPr>
      <w:r>
        <w:rPr>
          <w:rFonts w:ascii="Times New Roman" w:hAnsi="Times New Roman"/>
          <w:color w:val="000000"/>
          <w:sz w:val="20"/>
        </w:rPr>
        <w:t>As of June 30, 2026, the unamortized issuance costs for the 2033 Notes were approximately $12.6 million and will be amortized over the remaining contractual life of approximately 6.8 years.</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The estimated fair value of our 2033 Notes was $625.7 million as of June 30, 2026. This estimate was determined based on prices observed in market trading and differs from its respective carrying values reported in the condensed consolidated balance sheets. The market for trading the 2033 Notes is not considered to be an active market and therefore the estimate of fair value is based on Level 2 inputs of the fair value hierarchy.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following table sets forth future minimum payments under the 2033 Notes (in thousands):</w:t>
      </w:r>
    </w:p>
    <w:tbl>
      <w:tblPr>
        <w:tblW w:w="4170" w:type="dxa"/>
        <w:jc w:val="left"/>
        <w:tblInd w:w="0" w:type="dxa"/>
        <w:tblLayout w:type="fixed"/>
        <w:tblCellMar>
          <w:top w:w="28" w:type="dxa"/>
          <w:left w:w="28" w:type="dxa"/>
          <w:bottom w:w="28" w:type="dxa"/>
          <w:right w:w="28" w:type="dxa"/>
        </w:tblCellMar>
      </w:tblPr>
      <w:tblGrid>
        <w:gridCol w:w="2821"/>
        <w:gridCol w:w="146"/>
        <w:gridCol w:w="211"/>
        <w:gridCol w:w="781"/>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minimum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2033 Notes, principal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carrying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487,434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Warrant liability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9, 2023 (the Closing Date), the Company completed the acquisition of EQRx (the EQRx Acquisition).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EQRx Acquisition, as of the Closing Date, all public warrants of EQRx that were outstanding and unexercised immediately prior to the Closing Date were converted into 11,039,957 publicly traded warrants (Public Warrants) and 8,693,333 private placement warrants of the Company (Private Warrants and, together with the Public Warrants, the Warrants). Each Warrant entitles the holder to purchase 0.1112 shares of the Company’s common stock, at an exercise price of $11.50 per such fractional share. The Warrants expire in December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 Warrants and Private Warrants met liability classification requirements because the Warrants contain provisions whereby adjustments to the settlement amount of the Warrants are based on a variable that is not an input to the fair value of a “fix-for-fixed” option and the existence of the potential for net cash settlement for the Warrant holders in the event of a tender offer. In addition, the Private Warrants are potentially subject to a different settlement amount depending upon the holder of the Private Warrants, which precludes them from being considered indexed to the entity’s own stock. Therefore, the Warrants are classified as liabilities.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Common stock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2026 and December 31, 2025, the Company’s certificate of incorporation authorized the Company to issue 300,000,000 shares of common stock, at a par value of $0.0001 per share. Each share of common stock is entitled to one vote. The holders of common stock are also entitled to receive dividends whenever funds are legally available and when declared by the Board of Directors. As of June 30, 2026, no dividends had been declared.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reserved shares of common stock for future issuance as follows:</w:t>
      </w:r>
    </w:p>
    <w:p>
      <w:pPr>
        <w:pStyle w:val="TextBody"/>
        <w:bidi w:val="0"/>
        <w:jc w:val="left"/>
        <w:rPr/>
      </w:pPr>
      <w:r>
        <w:rPr/>
        <w:t> </w:t>
      </w:r>
    </w:p>
    <w:tbl>
      <w:tblPr>
        <w:tblW w:w="8939" w:type="dxa"/>
        <w:jc w:val="left"/>
        <w:tblInd w:w="0" w:type="dxa"/>
        <w:tblLayout w:type="fixed"/>
        <w:tblCellMar>
          <w:top w:w="28" w:type="dxa"/>
          <w:left w:w="28" w:type="dxa"/>
          <w:bottom w:w="28" w:type="dxa"/>
          <w:right w:w="28" w:type="dxa"/>
        </w:tblCellMar>
      </w:tblPr>
      <w:tblGrid>
        <w:gridCol w:w="5746"/>
        <w:gridCol w:w="146"/>
        <w:gridCol w:w="146"/>
        <w:gridCol w:w="1036"/>
        <w:gridCol w:w="146"/>
        <w:gridCol w:w="146"/>
        <w:gridCol w:w="146"/>
        <w:gridCol w:w="1036"/>
        <w:gridCol w:w="391"/>
      </w:tblGrid>
      <w:tr>
        <w:trPr/>
        <w:tc>
          <w:tcPr>
            <w:tcW w:w="5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18,361,684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17,997,616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3,892,030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 for future issuance under the 2020 Incentive Award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7,147,735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1,395,277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 for issuance under the 2020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7,125,587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5,363,603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37,713,446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28,648,526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2020 Incentive Award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February 2020, the Company adopted the 2020 Incentive Award Plan (the 2020 Plan). The 2020 Plan became effective on February 11, 2020. The 2020 Plan provides for a variety of stock-based compensation awards, including stock options, stock appreciation rights, restricted stock awards, restricted stock unit awards, performance bonus awards, performance stock unit awards, dividend equivalents, or other stock or cash based awards. Under the 2020 Plan, the Company generally grants stock-based awards with service-based vesting conditions only. Options and restricted stock unit awards granted typically vest over a four-year period, but may be granted with different vesting terms.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Following the effectiveness of the 2020 Plan, the Company ceased making grants under the 2014 Equity Incentive Plan (the 2014 Plan). However, the 2014 Plan continues to govern the terms and conditions of the outstanding awards granted under it. Shares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common stock subject to awards granted under the 2014 Plan that are forfeited or lapse unexercised and that were not issued under the 2014 Plan are available for issuance under the 2020 Plan.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2020 Employee Stock Purchase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February 2020, the Company adopted the 2020 Employee Stock Purchase Plan (the ESPP). Under the ESPP, employees have the ability to purchase shares of the Company’s common stock through payroll deductions at a discount during a series of offering periods of 24 months, each comprised of four six-month purchase periods. The purchase price will be the lower of 85% of the closing trading price per share of the Company’s common stock on the first day of an offering period in which an employee is enrolled or 85% of the closing trading price per share on the purchase date, which will occur on the last trading day of each purchase period.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and six months ended June 30, 2026, there were 208,030 shares of common stock purchased under the ESPP. As of June 30, 2026, a total of 7,125,587 shares of common stock were available for future issuance under the ESPP. As of June 30, 2026, there was $13.7 million of unrecognized compensation cost related to the ESPP.</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summarizes option activity under both the 2020 Plan and the 2014 Plan: </w:t>
      </w:r>
    </w:p>
    <w:p>
      <w:pPr>
        <w:pStyle w:val="TextBody"/>
        <w:bidi w:val="0"/>
        <w:jc w:val="left"/>
        <w:rPr/>
      </w:pPr>
      <w:r>
        <w:rPr/>
        <w:t> </w:t>
      </w:r>
    </w:p>
    <w:tbl>
      <w:tblPr>
        <w:tblW w:w="10029" w:type="dxa"/>
        <w:jc w:val="left"/>
        <w:tblInd w:w="0" w:type="dxa"/>
        <w:tblLayout w:type="fixed"/>
        <w:tblCellMar>
          <w:top w:w="28" w:type="dxa"/>
          <w:left w:w="28" w:type="dxa"/>
          <w:bottom w:w="28" w:type="dxa"/>
          <w:right w:w="28" w:type="dxa"/>
        </w:tblCellMar>
      </w:tblPr>
      <w:tblGrid>
        <w:gridCol w:w="4246"/>
        <w:gridCol w:w="146"/>
        <w:gridCol w:w="146"/>
        <w:gridCol w:w="1036"/>
        <w:gridCol w:w="166"/>
        <w:gridCol w:w="146"/>
        <w:gridCol w:w="257"/>
        <w:gridCol w:w="823"/>
        <w:gridCol w:w="146"/>
        <w:gridCol w:w="146"/>
        <w:gridCol w:w="225"/>
        <w:gridCol w:w="721"/>
        <w:gridCol w:w="146"/>
        <w:gridCol w:w="146"/>
        <w:gridCol w:w="211"/>
        <w:gridCol w:w="931"/>
        <w:gridCol w:w="3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br/>
              <w:t>underlying</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17,997,616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885,485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cancelled and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18,361,684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2,696,546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9,741,603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1,574,800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there was $277.2 million of unrecognized stock-based compensation expense related to unvested stock options that is expected to be recognized over a weighted-average period of 2.96 years. </w:t>
      </w:r>
    </w:p>
    <w:p>
      <w:pPr>
        <w:pStyle w:val="TextBody"/>
        <w:bidi w:val="0"/>
        <w:spacing w:before="200" w:after="283"/>
        <w:jc w:val="left"/>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Activity under the 2020 Plan with respect to the Company’s restricted stock units (RSUs) during the six months ended June 30, 2026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26"/>
        <w:gridCol w:w="146"/>
        <w:gridCol w:w="146"/>
        <w:gridCol w:w="931"/>
        <w:gridCol w:w="166"/>
        <w:gridCol w:w="146"/>
        <w:gridCol w:w="447"/>
        <w:gridCol w:w="1435"/>
        <w:gridCol w:w="146"/>
        <w:gridCol w:w="146"/>
        <w:gridCol w:w="415"/>
        <w:gridCol w:w="1331"/>
        <w:gridCol w:w="146"/>
        <w:gridCol w:w="146"/>
        <w:gridCol w:w="348"/>
        <w:gridCol w:w="1290"/>
        <w:gridCol w:w="394"/>
      </w:tblGrid>
      <w:tr>
        <w:trPr/>
        <w:tc>
          <w:tcPr>
            <w:tcW w:w="2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 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310,002</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5,078,440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951,090</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to vest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5,078,440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951,090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number of RSUs vested includes shares of common stock that the Company withheld to satisfy the minimum statutory tax withholding requirements. As of June 30, 2026, there was $304.3 million of total unrecognized compensation cost related to RSUs that is expected to be recognized over a weighted average period of 3.29 years.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Total stock-based compensation expense related to stock options, RSUs and the ESPP by function was as follows: </w:t>
      </w:r>
    </w:p>
    <w:p>
      <w:pPr>
        <w:pStyle w:val="TextBody"/>
        <w:bidi w:val="0"/>
        <w:jc w:val="left"/>
        <w:rPr/>
      </w:pPr>
      <w:r>
        <w:rPr/>
        <w:t> </w:t>
      </w:r>
    </w:p>
    <w:tbl>
      <w:tblPr>
        <w:tblW w:w="7375" w:type="dxa"/>
        <w:jc w:val="left"/>
        <w:tblInd w:w="0" w:type="dxa"/>
        <w:tblLayout w:type="fixed"/>
        <w:tblCellMar>
          <w:top w:w="28" w:type="dxa"/>
          <w:left w:w="28" w:type="dxa"/>
          <w:bottom w:w="28" w:type="dxa"/>
          <w:right w:w="28" w:type="dxa"/>
        </w:tblCellMar>
      </w:tblPr>
      <w:tblGrid>
        <w:gridCol w:w="2311"/>
        <w:gridCol w:w="146"/>
        <w:gridCol w:w="231"/>
        <w:gridCol w:w="741"/>
        <w:gridCol w:w="160"/>
        <w:gridCol w:w="160"/>
        <w:gridCol w:w="231"/>
        <w:gridCol w:w="741"/>
        <w:gridCol w:w="146"/>
        <w:gridCol w:w="146"/>
        <w:gridCol w:w="211"/>
        <w:gridCol w:w="781"/>
        <w:gridCol w:w="146"/>
        <w:gridCol w:w="146"/>
        <w:gridCol w:w="211"/>
        <w:gridCol w:w="676"/>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27,689</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67,000</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i/>
          <w:color w:val="000000"/>
          <w:sz w:val="20"/>
        </w:rPr>
        <w:t>Retirement-related modification of equity awards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2026, the Company modified its equity compensation program to introduce retirement benefit provisions, which allow certain awards to continue vesting after retirement and extends the post-retirement exercise period for stock options, subject to specified age and service requirements. The Company accounted for these changes as Type I (probable-to-probable) modifications under ASC 718.</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modification resulted in incremental stock-based compensation expense of approximately $44.6 million recognized during the three months ended March 31, 2026. This amount includes $12.5 million of incremental expense associated with the modification of the awards, and $32.1 million related to the accelerated recognition of previously unrecognized stock-based compensation expense.</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Net loss per share attributable to common stockholders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net loss per share attributable to common stockholders: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87"/>
        <w:gridCol w:w="146"/>
        <w:gridCol w:w="218"/>
        <w:gridCol w:w="1182"/>
        <w:gridCol w:w="171"/>
        <w:gridCol w:w="151"/>
        <w:gridCol w:w="218"/>
        <w:gridCol w:w="1182"/>
        <w:gridCol w:w="166"/>
        <w:gridCol w:w="146"/>
        <w:gridCol w:w="218"/>
        <w:gridCol w:w="1182"/>
        <w:gridCol w:w="171"/>
        <w:gridCol w:w="151"/>
        <w:gridCol w:w="218"/>
        <w:gridCol w:w="1182"/>
        <w:gridCol w:w="216"/>
      </w:tblGrid>
      <w:tr>
        <w:trPr/>
        <w:tc>
          <w:tcPr>
            <w:tcW w:w="3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 share data)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 share data)</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(644,371</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(1,098,187</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(461,203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to compute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8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210,893,604</w:t>
            </w:r>
          </w:p>
        </w:tc>
        <w:tc>
          <w:tcPr>
            <w:tcW w:w="1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8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188,583,288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8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204,531,173</w:t>
            </w:r>
          </w:p>
        </w:tc>
        <w:tc>
          <w:tcPr>
            <w:tcW w:w="1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8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188,365,805</w:t>
            </w:r>
          </w:p>
        </w:tc>
        <w:tc>
          <w:tcPr>
            <w:tcW w:w="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outstanding potentially dilutive shares have been excluded from the calculation of diluted net loss per share for the periods presented due to their anti-dilutive effect: </w:t>
      </w:r>
    </w:p>
    <w:p>
      <w:pPr>
        <w:pStyle w:val="TextBody"/>
        <w:bidi w:val="0"/>
        <w:jc w:val="left"/>
        <w:rPr/>
      </w:pPr>
      <w:r>
        <w:rPr/>
        <w:t> </w:t>
      </w:r>
    </w:p>
    <w:tbl>
      <w:tblPr>
        <w:tblW w:w="7554" w:type="dxa"/>
        <w:jc w:val="left"/>
        <w:tblInd w:w="0" w:type="dxa"/>
        <w:tblLayout w:type="fixed"/>
        <w:tblCellMar>
          <w:top w:w="28" w:type="dxa"/>
          <w:left w:w="28" w:type="dxa"/>
          <w:bottom w:w="28" w:type="dxa"/>
          <w:right w:w="28" w:type="dxa"/>
        </w:tblCellMar>
      </w:tblPr>
      <w:tblGrid>
        <w:gridCol w:w="4561"/>
        <w:gridCol w:w="146"/>
        <w:gridCol w:w="146"/>
        <w:gridCol w:w="1036"/>
        <w:gridCol w:w="146"/>
        <w:gridCol w:w="146"/>
        <w:gridCol w:w="146"/>
        <w:gridCol w:w="1036"/>
        <w:gridCol w:w="1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18,361,684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17,272,317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3,808,980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shares to be purchased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694,578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under convertible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2,194,340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28,232,544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23,970,215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p>
    <w:p>
      <w:pPr>
        <w:pStyle w:val="TextBody"/>
        <w:bidi w:val="0"/>
        <w:spacing w:before="20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in conjunction with the unaudited condensed consolidated financial statements and the related notes included elsewhere in this Quarterly Report on Form 10-Q. In addition to historical financial information, this discussion contains forward-looking statements based upon current expectations that involve risks and uncertainties. As a result of many factors, including those factors set forth in the “Risk Factors” section of this Quarterly Report on Form 10-Q, our actual results could differ materially from the results described or implied by the forward-looking statements contained in the following discussion and analysis.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are a late-stage clinical oncology company developing novel targeted therapies for patients with RAS-addicted cancers. We possess sophisticated structure-based drug discovery capabilities built upon deep chemical biology and cancer pharmacology know-how and innovative, proprietary technologies that enable the creation of small molecules tailored to unconventional binding sites. Guided by our understanding of genetic drivers and adaptive resistance mechanisms in cancer, we deploy precision medicine approaches to inform innovative monotherapy and combination regimens. Our research and development pipeline comprises inhibitors that bind directly to RAS variants (RAS(ON) Inhibitors) that are designed to be used as monotherapy, in combination with other RAS(ON) Inhibitors and/or other therapeutic agents.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RAS(ON) Inhibitors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advancing a deep pipeline of RAS(ON) Inhibitors, including daraxonrasib (RMC-6236), our multi-selective inhibitor, zoldonrasib (RMC-9805), our G12D-selective inhibitor, elironrasib (RMC-6291), our G12C-selective inhibitor, and RMC-5127, our G12V-selective inhibitor. We also have other preclinical-stage RAS(ON) Inhibitor clinical development opportunities, including the RAS(ON) mutant-selective inhibitors RMC-0708 (Q61H) and RMC-8839 (G13C) and additional novel targeted approaches for patients with RAS-addicted cancers.</w:t>
      </w:r>
    </w:p>
    <w:p>
      <w:pPr>
        <w:pStyle w:val="TextBody"/>
        <w:bidi w:val="0"/>
        <w:spacing w:before="200" w:after="283"/>
        <w:jc w:val="left"/>
        <w:rPr>
          <w:rFonts w:ascii="Times New Roman" w:hAnsi="Times New Roman"/>
          <w:sz w:val="20"/>
        </w:rPr>
      </w:pPr>
      <w:r>
        <w:rPr>
          <w:rFonts w:ascii="Times New Roman" w:hAnsi="Times New Roman"/>
          <w:i/>
          <w:color w:val="000000"/>
          <w:sz w:val="20"/>
        </w:rPr>
        <w:t>Daraxonrasib</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Daraxonrasib, our RAS(ON) multi-selective inhibitor, is designed as an oral, tri-complex inhibitor of multiple RAS(ON) variants containing cancer driver mutations at all three of the major RAS mutation hotspot positions, G12, G13, and Q61. Daraxonrasib inhibits all three major RAS isoforms, suppressing the mutant cancer driver and cooperating wild-type RAS proteins. Daraxonrasib has been granted a non-transferable voucher for daraxonrasib in pancreatic adenocarcinoma (PDAC) under the Commissioner’s National Priority Voucher (CNPV) pilot program, Orphan Drug Designation (ODD) by the FDA and European Medicines Agency (EMA) for the treatment of pancreatic cancer, and Breakthrough Therapy Designation from the FDA for patients with previously treated metastatic PDAC with KRAS G12 mutations and patients with NSCLC with KRAS mutations other than G12C who have received prior platinum-based chemotherapy and anti-PD-(L)1 therapy. </w:t>
      </w:r>
    </w:p>
    <w:p>
      <w:pPr>
        <w:pStyle w:val="TextBody"/>
        <w:bidi w:val="0"/>
        <w:spacing w:before="200" w:after="283"/>
        <w:jc w:val="left"/>
        <w:rPr>
          <w:rFonts w:ascii="Times New Roman" w:hAnsi="Times New Roman"/>
          <w:sz w:val="20"/>
        </w:rPr>
      </w:pPr>
      <w:r>
        <w:rPr>
          <w:rFonts w:ascii="Times New Roman" w:hAnsi="Times New Roman"/>
          <w:i/>
          <w:color w:val="000000"/>
          <w:sz w:val="20"/>
        </w:rPr>
        <w:t>Zoldonrasib</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Zoldonrasib is designed as an oral RAS(ON) G12D-selective tri-complex inhibitor. It is designed to exhibit low nanomolar potency for suppressing RAS pathway signaling and growth of RAS G12D-bearing cancer cells and is engineered to covalently inactivate RAS G12D irreversibly. Zoldonrasib has received Breakthrough Therapy Designation from the FDA for the treatment of adult patients with KRAS G12D-mutated locally advanced or metastatic NSCLC who have been previously treated with anti-PD-1/PD-L1 therapy and platinum-based chemotherapy.</w:t>
      </w:r>
    </w:p>
    <w:p>
      <w:pPr>
        <w:pStyle w:val="TextBody"/>
        <w:bidi w:val="0"/>
        <w:spacing w:before="200" w:after="283"/>
        <w:jc w:val="left"/>
        <w:rPr>
          <w:rFonts w:ascii="Times New Roman" w:hAnsi="Times New Roman"/>
          <w:sz w:val="20"/>
        </w:rPr>
      </w:pPr>
      <w:r>
        <w:rPr>
          <w:rFonts w:ascii="Times New Roman" w:hAnsi="Times New Roman"/>
          <w:i/>
          <w:color w:val="000000"/>
          <w:sz w:val="20"/>
        </w:rPr>
        <w:t>Elironrasib</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0"/>
        </w:rPr>
        <w:t>Elironrasib is designed as an oral RAS(ON) G12C-selective tri-complex inhibitor. It is designed to exhibit subnanomolar potency for suppressing RAS pathway signaling and growth of RAS G12C-bearing cancer cells and is engineered to be highly selective for RAS G12C over wild-type RAS and other cellular targets. Elironrasib is designed to be differentiated from first-generation KRAS(OFF) G12C inhibitors, which sequester the KRAS(OFF) G12C form, by its mechanism of directly inhibiting the RAS(ON) G12C form. Elironrasib has received Breakthrough Therapy Designation from the FDA for the treatment of adult patients with KRAS G12C-mutated locally advanced or metastatic NSCLC who have received prior chemotherapy and immunotherapy but have not been previously treated with a KRAS G12C inhibitor</w:t>
      </w:r>
      <w:r>
        <w:rPr>
          <w:rFonts w:ascii="Times New Roman" w:hAnsi="Times New Roman"/>
          <w:color w:val="000000"/>
          <w:sz w:val="19"/>
        </w:rPr>
        <w:t>.</w:t>
      </w:r>
      <w:r>
        <w:rPr>
          <w:rFonts w:ascii="Times New Roman" w:hAnsi="Times New Roman"/>
          <w:color w:val="000000"/>
          <w:sz w:val="20"/>
        </w:rPr>
        <w:t xml:space="preserv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RMC-5127</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RMC-5127 is designed as an oral RAS(ON) G12V-selective tri-complex inhibitor. It is designed to exhibit picomolar potency for suppressing RAS pathway signaling and growth of RAS G12V-bearing cancer cells and is engineered for selective inhibition of RAS G12V over other RAS isoforms via non-covalent binding interactions. A first-in-human dose escalation clinical trial of RMC-5127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ongoing. We currently expect to identify a recommended Phase 2 dose for RMC-5127 during the second half of 2026 and to share initial clinical data in 2027.</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New Class of RAS(ON) Inhibitors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We have designed a new class of tri-complex RAS(ON) Inhibitors in order to overcome RAS-driven drug resistance and thereby extend the clinical benefit of RAS(ON) Inhibitors. We currently expect to initiate a first-in-human clinical trial from this class of RAS(ON) Inhibitors in the fourth quarter of 2026. </w:t>
      </w:r>
    </w:p>
    <w:p>
      <w:pPr>
        <w:pStyle w:val="TextBody"/>
        <w:bidi w:val="0"/>
        <w:jc w:val="left"/>
        <w:rPr>
          <w:rFonts w:ascii="Times New Roman" w:hAnsi="Times New Roman"/>
          <w:b/>
          <w:i/>
          <w:color w:val="000000"/>
          <w:sz w:val="20"/>
        </w:rPr>
      </w:pPr>
      <w:r>
        <w:rPr>
          <w:rFonts w:ascii="Times New Roman" w:hAnsi="Times New Roman"/>
          <w:b/>
          <w:i/>
          <w:color w:val="000000"/>
          <w:sz w:val="20"/>
        </w:rPr>
        <w:t>Other Development Opportunities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RMC-0708</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RMC-0708 is designed as an oral RAS(ON) Q61H-selective tri-complex inhibitor. It is designed to exhibit picomolar potency for suppressing RAS pathway signaling and growth of RAS Q61H-bearing cancer cells and is engineered for selective inhibition of RAS Q61H over other RAS isoforms via non-covalent binding interactions. Clinical development of RMC-0708 is subject to our continuing assessment of portfolio priorities.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RMC-8839</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RMC-8839 is designed as an oral RAS(ON) G13C-selective tri-complex inhibitor. It is designed to exhibit picomolar potency for suppressing RAS pathway signaling and growth of KRAS G13C-bearing cancer cells and is engineered to covalently inactivate KRAS G13C for irreversible inhibition. Clinical development of RMC-8839 is subject to our continuing assessment of portfolio priorities.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Clinical Development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RAS Mutant Epidemiology in the United States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Variants in RAS proteins are among the most common oncogenic drivers of cancer. Based on tumor mutation frequencies from Foundation Medicine data, scaled to estimated patient numbers using cancer incidence from the American Cancer Society Cancer Facts and Figures, there are an estimated more than 190,000 new RAS mutant cancer diagnoses each year in the U.S. These include approximately 60,000 patients with NSCLC, representing approximately 30% of NSCLC diagnoses, approximately 75,000 patients with colorectal cancer (CRC), representing approximately 50% of CRC diagnoses, and approximately 56,000 patients with PDAC, representing more than 90% of PDAC diagnoses.</w:t>
      </w:r>
    </w:p>
    <w:p>
      <w:pPr>
        <w:pStyle w:val="TextBody"/>
        <w:bidi w:val="0"/>
        <w:jc w:val="left"/>
        <w:rPr>
          <w:rFonts w:ascii="Times New Roman" w:hAnsi="Times New Roman"/>
          <w:b/>
          <w:i/>
          <w:color w:val="000000"/>
          <w:sz w:val="20"/>
        </w:rPr>
      </w:pPr>
      <w:r>
        <w:rPr>
          <w:rFonts w:ascii="Times New Roman" w:hAnsi="Times New Roman"/>
          <w:b/>
          <w:i/>
          <w:color w:val="000000"/>
          <w:sz w:val="20"/>
        </w:rPr>
        <w:t>Pancreatic Cancer</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Pancreatic cancer is one of the most common and difficult-to-treat cancers and patients have historically had limited treatment options. Because of this unmet need and the prevalence of RAS as a driver of PDAC, we believe that pancreatic cancer represents a particularly compelling opportunity for RAS-targeted therapies. </w:t>
      </w:r>
    </w:p>
    <w:p>
      <w:pPr>
        <w:pStyle w:val="TextBody"/>
        <w:bidi w:val="0"/>
        <w:jc w:val="left"/>
        <w:rPr>
          <w:rFonts w:ascii="Times New Roman" w:hAnsi="Times New Roman"/>
          <w:color w:val="000000"/>
          <w:sz w:val="20"/>
        </w:rPr>
      </w:pPr>
      <w:r>
        <w:rPr>
          <w:rFonts w:ascii="Times New Roman" w:hAnsi="Times New Roman"/>
          <w:color w:val="000000"/>
          <w:sz w:val="20"/>
        </w:rPr>
        <w:t>In May 2026, we presented results from our randomized Phase 3 registration study RASolute 302 comparing daraxonrasib against chemotherapy in patients with second line (2L) PDAC. In this study, daraxonrasib taken orally once daily demonstrated statistically significant and clinically meaningful improvements in progression-free survival (PFS) and overall survival (OS) compared to standard of care cytotoxic chemotherapy delivered intravenously. In the overall (intent-to-treat) study population, daraxonrasib demonstrated a median OS of 13.2 months versus 6.7 months for chemotherapy, with a hazard ratio of 0.40 (p &lt; 0.0001). Daraxonrasib was generally well tolerated, with a manageable safety profile and with no new safety signals. Based on the results from this first interim analysis, all PFS and OS endpoint results are considered final. The FDA has accepted for review our New Drug Application (NDA) for daraxonrasib for previously treated metastatic pancreatic cancer and the EMA initiated a phased review of daraxonrasib under its Cancer Medicines Pathfinder project.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Based on encouraging early-stage clinical results, we are evaluating daraxonrasib and zoldonrasib in the following global, randomized Phase 3 registrational studies in PDAC: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RASolute 303: comparing daraxonrasib with and without chemotherapy against chemotherapy in patients with first-line (1L) metastatic PDAC;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RASolute 304: evaluating daraxonrasib as an adjuvant therapy in patients with resectable PDAC who have received surgery and chemotherapy;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RASolute 305: evaluating zoldonrasib in combination with the investigator’s choice of chemotherapies in patients with 1L metastatic PDAC in a placebo-controlled study;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RASolute 309: comparing daraxonrasib with zoldonrasib against chemotherapy in 1L patients with RAS G12D PDAC.</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In April 2026, we presented updated Phase 1 clinical data for daraxonrasib in patients with 1L PDAC across monotherapy and combination cohorts at the American Association for Cancer Research (AACR) Annual Meeting.</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July 2026 at the European Society for Medical Oncology’s Gastrointestinal Cancers Congress, we presented data for (i) zoldonrasib in combination with chemotherapy in patients with 1L RAS G12D PDAC; and (ii) zoldonrasib in combination with daraxonrasib in patients with previously treated RAS G12D PDAC. We believe these data showed that zoldonrasib in combination with chemotherapy and zoldonrasib in combination with daraxonrasib were generally well tolerated and demonstrated encouraging antitumor activity that supported our initiation of RASolute 305 and RASolute 309, respectively.</w:t>
      </w:r>
    </w:p>
    <w:p>
      <w:pPr>
        <w:pStyle w:val="TextBody"/>
        <w:bidi w:val="0"/>
        <w:jc w:val="left"/>
        <w:rPr>
          <w:rFonts w:ascii="Times New Roman" w:hAnsi="Times New Roman"/>
          <w:b/>
          <w:i/>
          <w:color w:val="000000"/>
          <w:sz w:val="20"/>
        </w:rPr>
      </w:pPr>
      <w:r>
        <w:rPr>
          <w:rFonts w:ascii="Times New Roman" w:hAnsi="Times New Roman"/>
          <w:b/>
          <w:i/>
          <w:color w:val="000000"/>
          <w:sz w:val="20"/>
        </w:rPr>
        <w:t>Non-Small Cell Lung Cancer</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NSCLC is another major cancer type in which RAS mutations are common. While advances in immunotherapy and chemotherapy have improved outcomes for some individuals, many patients with RAS mutant NSCLC continue to experience disease progression, highlighting the need for new targeted approaches. Importantly, RAS mutations in NSCLC extend beyond a single subtype, leaving a significant portion of patients without broadly effective targeted treatment options.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Based on encouraging early-stage clinical results, we are evaluating daraxonrasib and zoldonrasib in the following global, randomized Phase 3 registrational studies in NSCLC: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RASolve 301: comparing daraxonrasib against docetaxel in patients with locally advanced or metastatic RAS mutant NSCLC who have been treated with immunotherapy and platinum-containing chemotherapy. We currently expect to complete enrollment in RASolve 301 in 2026, to enable an expected clinical readout in 2027;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RASolve 308: evaluating zoldonrasib in combination with standard of care in patients with 1L metastatic RAS G12D NSCLC in a placebo-controlled study.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Based on our evaluation of the treatment landscape for NSCLC, we are prioritizing a mutant-selective approach for development in</w:t>
        <w:br/>
        <w:t>1L NSCLC; we expect to initiate RASolve 307, a global, randomized Phase 3 registrational trial evaluating elironrasib in combination with standard of care in 1L RAS G12C NSCLC in the fourth quarter of 2026 and plan to continue evaluating daraxonrasib in NSCLC in combination with bispecific antibodies targeting both the PD-1/PD-L1 and VEGF axes.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August 2026, we reported initial Phase 1 clinical data for (i) zoldonrasib in combination with pembrolizumab and chemotherapy in patients with 1L RAS G12D NSCLC and (ii) elironrasib in combination with pembrolizumab and chemotherapy in patients with 1L RAS G12C NSCLC. We believe these data showed that zoldonrasib and elironrasib were generally well tolerated and demonstrated encouraging antitumor activity that support our initiation of RASolve 308 and planned initiation of RASolve 307, respectively.</w:t>
      </w:r>
    </w:p>
    <w:p>
      <w:pPr>
        <w:pStyle w:val="TextBody"/>
        <w:bidi w:val="0"/>
        <w:jc w:val="left"/>
        <w:rPr>
          <w:rFonts w:ascii="Times New Roman" w:hAnsi="Times New Roman"/>
          <w:color w:val="000000"/>
          <w:sz w:val="20"/>
        </w:rPr>
      </w:pPr>
      <w:r>
        <w:rPr>
          <w:rFonts w:ascii="Times New Roman" w:hAnsi="Times New Roman"/>
          <w:color w:val="000000"/>
          <w:sz w:val="20"/>
        </w:rPr>
        <w:t>In April 2026, we presented updated Phase 1 clinical data for zoldonrasib in patients with previously treated RAS G12D NSCLC at the AACR Annual Meeting.</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Colorectal Cancer</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Colorectal cancers are genetically complex and heterogeneous, and patients with RAS mutant disease typically have limited targeted treatment options, particularly after progression on standard therapies. As a result, outcomes remain poor for many patients, underscoring the need for new therapeutic approaches that more effectively address the underlying drivers of the disease.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To address this need, we are pursuing a combination-focused strategy designed to maximize clinical impact in this challenging setting. We believe that our early clinical experience supports continued exploration of these strategies. As data mature, we plan to prioritize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registrational opportunities with the goal of improving outcomes and expanding treatment options for patients with RAS mutant colorectal cancer. We currently expect to provide updated combination data in CRC in the fourth quarter of 2026.</w:t>
      </w:r>
    </w:p>
    <w:p>
      <w:pPr>
        <w:pStyle w:val="TextBody"/>
        <w:bidi w:val="0"/>
        <w:jc w:val="left"/>
        <w:rPr>
          <w:rFonts w:ascii="Times New Roman" w:hAnsi="Times New Roman"/>
          <w:b/>
          <w:color w:val="000000"/>
          <w:sz w:val="20"/>
        </w:rPr>
      </w:pPr>
      <w:r>
        <w:rPr>
          <w:rFonts w:ascii="Times New Roman" w:hAnsi="Times New Roman"/>
          <w:b/>
          <w:color w:val="000000"/>
          <w:sz w:val="20"/>
        </w:rPr>
        <w:t>Collaborations</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Synnovation Collaboration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April 2026, we entered into a clinical collaboration with Synnovation Therapeutics, Inc. (Synnovation) pursuant to which Synnovation plans to evaluate its compound SNV1521, a PARP1-selective inhibitor, in combination with daraxonrasib in patients with PDAC as part of a Synnovation-sponsored trial.</w:t>
      </w:r>
    </w:p>
    <w:p>
      <w:pPr>
        <w:pStyle w:val="TextBody"/>
        <w:bidi w:val="0"/>
        <w:jc w:val="left"/>
        <w:rPr>
          <w:rFonts w:ascii="Times New Roman" w:hAnsi="Times New Roman"/>
          <w:b/>
          <w:i/>
          <w:color w:val="000000"/>
          <w:sz w:val="20"/>
        </w:rPr>
      </w:pPr>
      <w:r>
        <w:rPr>
          <w:rFonts w:ascii="Times New Roman" w:hAnsi="Times New Roman"/>
          <w:b/>
          <w:i/>
          <w:color w:val="000000"/>
          <w:sz w:val="20"/>
        </w:rPr>
        <w:t>Bristol-Myers Squibb Collaboration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In February 2026, we entered into a clinical collaboration with Bristol-Myers Squibb (BMS) pursuant to which BMS plans to evaluate its compound navlimetostat, an MTA-cooperative PRMT5 inhibitor, in combination with daraxonrasib in patients with PDAC as part of a BMS-sponsored trial.</w:t>
      </w:r>
    </w:p>
    <w:p>
      <w:pPr>
        <w:pStyle w:val="TextBody"/>
        <w:bidi w:val="0"/>
        <w:jc w:val="left"/>
        <w:rPr>
          <w:rFonts w:ascii="Times New Roman" w:hAnsi="Times New Roman"/>
          <w:b/>
          <w:i/>
          <w:color w:val="000000"/>
          <w:sz w:val="20"/>
        </w:rPr>
      </w:pPr>
      <w:r>
        <w:rPr>
          <w:rFonts w:ascii="Times New Roman" w:hAnsi="Times New Roman"/>
          <w:b/>
          <w:i/>
          <w:color w:val="000000"/>
          <w:sz w:val="20"/>
        </w:rPr>
        <w:t>Summit Collaboration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In June 2025, we entered into a clinical collaboration with Summit Therapeutics, Inc. (Summit) pursuant to which we are evaluating, in multiple solid tumor settings, the safety and efficacy of certain of our clinical-stage RAS(ON) Inhibitors, including daraxonrasib, elironrasib and zoldonrasib, in combination with Summit’s ivonescimab, a PD-1/VEGF bispecific antibody, in the APEX-103 clinical trial.</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Iambic Collaboration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May 2025, we entered into a collaboration with Iambic Therapeutics, Inc. (Iambic) pursuant to which Iambic uses its artificial intelligence capabilities to generate customized models through training with our proprietary data. Our aim in this collaboration is to enhance our lead discovery and optimization processes directed against both current and new drug targets to enable continued development of our pipeline.</w:t>
      </w:r>
    </w:p>
    <w:p>
      <w:pPr>
        <w:pStyle w:val="TextBody"/>
        <w:bidi w:val="0"/>
        <w:jc w:val="left"/>
        <w:rPr>
          <w:rFonts w:ascii="Times New Roman" w:hAnsi="Times New Roman"/>
          <w:b/>
          <w:i/>
          <w:color w:val="000000"/>
          <w:sz w:val="20"/>
        </w:rPr>
      </w:pPr>
      <w:r>
        <w:rPr>
          <w:rFonts w:ascii="Times New Roman" w:hAnsi="Times New Roman"/>
          <w:b/>
          <w:i/>
          <w:color w:val="000000"/>
          <w:sz w:val="20"/>
        </w:rPr>
        <w:t>Tango Collaboration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In November 2024, we entered into a clinical collaboration with Tango Therapeutics, Inc. (Tango) pursuant to which Tango is evaluating its compound vopimetostat (TNG462), an MTA-cooperative PRMT5 inhibitor, in combination with daraxonrasib or zoldonrasib in patients with MTAP-deleted, RAS mutant PDAC or NSCLC as part of a Tango-sponsored trial.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Break Through Cancer Collaboration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November 2024, we entered into a collaboration with Break Through Cancer. The collaboration is designed to assess biopsy samples taken from patients receiving daraxonrasib in the investigational setting, with the goal of identifying biomarkers that could predict tumor response and how cancer cells adapt to the therapy. We believe this approach has the potential to provide important insights into the complex interplay of tumor biology and daraxonrasib response.</w:t>
      </w:r>
    </w:p>
    <w:p>
      <w:pPr>
        <w:pStyle w:val="TextBody"/>
        <w:bidi w:val="0"/>
        <w:spacing w:before="0" w:after="200"/>
        <w:jc w:val="left"/>
        <w:rPr>
          <w:rFonts w:ascii="Times New Roman" w:hAnsi="Times New Roman"/>
          <w:sz w:val="20"/>
        </w:rPr>
      </w:pPr>
      <w:r>
        <w:rPr>
          <w:rFonts w:ascii="Times New Roman" w:hAnsi="Times New Roman"/>
          <w:b/>
          <w:i/>
          <w:color w:val="000000"/>
          <w:sz w:val="20"/>
        </w:rPr>
        <w:t>Aethon Collaboration</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March 2024, we entered into a collaboration agreement with Aethon Therapeutics, Inc. (Aethon) pursuant to which Aethon is conducting research related to use of novel bispecific antibodies to mount an immune attack directed at the cancer cells targeted by our RAS(ON) Inhibitors (the Aethon Collaboration Agreement). Pursuant to the Aethon Collaboration Agreement, we agreed to reimburse Aethon for preclinical activities, and we have an option to conduct any clinical or commercial development that may arise from the collaboration.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20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substantially rely on third parties to conduct our preclinical studies, clinical trials and manufacturing. We estimate research and development expenses based on estimates of services performed, and we rely on third party contractors and vendors to provide us with timely and accurate estimates of expenses of services performed to assist us in these estimates. Research and development expenses consist primarily of costs incurred for the development of our product candidates and costs associated with identifying compounds through our discovery platform,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external costs incurred under agreements with third-party contract organizations, investigative clinical trial sites that conduct research and development activities on our behalf and consultants;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the production of preclinical, clinical and pre-launch inventory, including fees paid to contract manufacturers, which are recorded as research and development expenses prior to initial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and vendor expenses related to the execution of discovery programs, preclinical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which include salaries, benefits and stock-based compensation;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and other expenses, which include allocated expenses for rent and maintenance of facilities, depreciation and amortization expense, information technology and other supplies.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expense all research and development costs in the periods in which they are incurred. Costs for certain development activities are recognized based on an evaluation of the progress to completion of specific tasks using information and data provided to us by our vendors, collaborators and third-party service providers. Nonrefundable advance payments for goods or services to be received in future periods for use in research and development activities are deferred and recorded as prepaid assets. The prepaid amounts are then expensed as the related goods are delivered or as services are performed.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expect our research and development expenses to increase for the foreseeable future as we continue to invest in discovering and developing product candidates and advancing product candidates into later stages of development, which may include conducting larger clinical trials. The process of conducting the necessary research and development and clinical trials to seek regulatory approval for product candidates is costly and time-consuming, and the successful development of our product candidates is highly uncertain. As a result, we are unable to determine the duration and completion costs of our research and development projects or clinical trials or if and to what extent we will generate revenue from the commercialization and sale of any of our product candidates, if approved. </w:t>
      </w:r>
    </w:p>
    <w:p>
      <w:pPr>
        <w:pStyle w:val="TextBody"/>
        <w:bidi w:val="0"/>
        <w:spacing w:before="20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personnel-related costs, consultants and professional services expenses, including legal, audit, accounting and human resources services, insurance, commercial preparation activities, allocated facilities and information technology costs, and other general operating expenses not otherwise classified as research and development expenses. Personnel-related costs consist of salaries, benefits and stock-based compensation. Facilities costs consist of rent, utilities and maintenance of facilities. We expect our general and administrative expenses to increase for the foreseeable future due to anticipated increases in operating and commercial preparation activities, which may result in increases in personnel-related costs associated with increased headcount, other administrative and professional services, and related overhead needed to support these efforts. </w:t>
      </w:r>
    </w:p>
    <w:p>
      <w:pPr>
        <w:pStyle w:val="TextBody"/>
        <w:bidi w:val="0"/>
        <w:spacing w:before="20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income primarily consists of interest earned on and accretion of our cash equivalents and marketable securities.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expense consists of non-cash interest expense associated with the sale of future royalties and interest expense associated with the convertible senior notes.</w:t>
      </w:r>
    </w:p>
    <w:p>
      <w:pPr>
        <w:pStyle w:val="TextBody"/>
        <w:bidi w:val="0"/>
        <w:spacing w:before="200" w:after="283"/>
        <w:jc w:val="left"/>
        <w:rPr>
          <w:rFonts w:ascii="Times New Roman" w:hAnsi="Times New Roman"/>
          <w:sz w:val="20"/>
        </w:rPr>
      </w:pPr>
      <w:r>
        <w:rPr>
          <w:rFonts w:ascii="Times New Roman" w:hAnsi="Times New Roman"/>
          <w:b/>
          <w:i/>
          <w:color w:val="000000"/>
          <w:sz w:val="20"/>
        </w:rPr>
        <w:t>Change in fair value of warrant liability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Change in fair value of warrant liability consists of the change in fair value of warrants assumed as part of the EQRx, Inc. acquisition.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Comparison of the three and six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26"/>
        <w:gridCol w:w="146"/>
        <w:gridCol w:w="211"/>
        <w:gridCol w:w="841"/>
        <w:gridCol w:w="166"/>
        <w:gridCol w:w="146"/>
        <w:gridCol w:w="211"/>
        <w:gridCol w:w="841"/>
        <w:gridCol w:w="166"/>
        <w:gridCol w:w="146"/>
        <w:gridCol w:w="211"/>
        <w:gridCol w:w="841"/>
        <w:gridCol w:w="166"/>
        <w:gridCol w:w="146"/>
        <w:gridCol w:w="211"/>
        <w:gridCol w:w="991"/>
        <w:gridCol w:w="166"/>
        <w:gridCol w:w="146"/>
        <w:gridCol w:w="211"/>
        <w:gridCol w:w="841"/>
        <w:gridCol w:w="166"/>
        <w:gridCol w:w="146"/>
        <w:gridCol w:w="211"/>
        <w:gridCol w:w="841"/>
        <w:gridCol w:w="411"/>
      </w:tblGrid>
      <w:tr>
        <w:trPr/>
        <w:tc>
          <w:tcPr>
            <w:tcW w:w="1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Increase/ </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Increase/ </w:t>
              <w:br/>
              <w:t>(decrease)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135,874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444,880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(444,880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non-operating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(192,104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(644,371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(247,787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(396,584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(1,098,187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(461,203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(636,984</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research and development efforts during the three and six months ended June 30, 2026 and 2025 were focused on our clinical development programs and our preclinical programs. The following table sets forth the components of our research and development expenses for the periods indicated:</w:t>
      </w:r>
    </w:p>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016"/>
        <w:gridCol w:w="146"/>
        <w:gridCol w:w="211"/>
        <w:gridCol w:w="781"/>
        <w:gridCol w:w="146"/>
        <w:gridCol w:w="146"/>
        <w:gridCol w:w="211"/>
        <w:gridCol w:w="781"/>
        <w:gridCol w:w="146"/>
        <w:gridCol w:w="146"/>
        <w:gridCol w:w="211"/>
        <w:gridCol w:w="781"/>
        <w:gridCol w:w="166"/>
        <w:gridCol w:w="146"/>
        <w:gridCol w:w="211"/>
        <w:gridCol w:w="781"/>
        <w:gridCol w:w="146"/>
        <w:gridCol w:w="146"/>
        <w:gridCol w:w="211"/>
        <w:gridCol w:w="781"/>
        <w:gridCol w:w="146"/>
        <w:gridCol w:w="146"/>
        <w:gridCol w:w="211"/>
        <w:gridCol w:w="781"/>
        <w:gridCol w:w="611"/>
      </w:tblGrid>
      <w:tr>
        <w:trPr/>
        <w:tc>
          <w:tcPr>
            <w:tcW w:w="2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Increase/ </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Increase/ </w:t>
              <w:br/>
              <w:t>(decrease)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Development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2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Daraxonrasib (RMC-6236)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83,379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Zoldonrasib (RMC-9805)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Elironrasib (RMC-6291)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RMC-5127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RAS companion inhibitors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third-party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164,557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and other employee-related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309,006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Research and development expenses increased by $170.8 million, or 76%, during the three months ended June 30, 2026 compared to the same period in 2025. The increase was primarily due to higher clinical trial and manufacturing expenses, including costs related to pre-launch materials that were recorded as research and development expense prior to initial regulatory approval, with a $40.4 million increase related to zoldonrasib expenses and a $36.8 million increase related to daraxonrasib expenses; a $37.5 million increase in salaries and other employee-related expenses due to increased headcount to support our research and development programs; a $24.6 million increase in other research and development expenses resulting from higher medical affairs expenses and higher rent, utilities, and information technology expenses associated with increased headcount; a $20.2 million increase in stock-based compensation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expense related to increased headcount and introducing retirement benefit provisions in our equity compensation program in 2026; and a $10.9 million increase in preclinical research portfolio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expenses increased by $309.0 million, or 72%, during the six months ended June 30, 2026 compared to the same period in 2025. The increase was primarily due to higher clinical trial and manufacturing expenses, including costs related to pre-launch materials that were recorded as research and development expense prior to initial regulatory approval, with a $83.4 million increase related to daraxonrasib expenses and a $69.9 million increase related to zoldonrasib expenses; a $61.8 million increase in salaries and other employee-related expenses due to increased headcount to support our research and development programs; a $48.4 million increase in stock-based compensation expense related to increased headcount and introducing retirement benefit provisions in our equity compensation program in 2026; a $34.7 million increase in other research and development expenses resulting from higher medical affairs expenses and higher rent, utilities, and information technology expenses associated with increased headcount; and a $13.1 million increase in preclinical research portfolio expenses.</w:t>
      </w:r>
    </w:p>
    <w:p>
      <w:pPr>
        <w:pStyle w:val="TextBody"/>
        <w:bidi w:val="0"/>
        <w:spacing w:before="20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General and administrative expenses increased by $69.6 million, or 172%, during the three months ended June 30, 2026 compared to the same period in 2025. The increase was primarily due to a $36.0 million increase in salaries and other employee-related expenses due to increased headcount; a $18.0 million increase in stock-based compensation expense related to increased headcount and introducing retirement benefit provisions in our equity compensation program in 2026; a $9.9 million increase in legal fees and other administrative expenses; and a $6.1 million increase in commercial preparation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General and administrative expenses increased by $135.9 million, or 180%, during the six months ended June 30, 2026 compared to the same period in 2025. The increase was primarily due to a $51.9 million increase in stock-based compensation expense related to increased headcount and introducing retirement benefit provisions in our equity compensation program in 2026; a $51.5 million increase in salaries and other employee-related expenses due to increased headcount; a $13.1 million increase in commercial preparation expenses; and a $16.7 million increase in legal fees and other administrative expenses.</w:t>
      </w:r>
    </w:p>
    <w:p>
      <w:pPr>
        <w:pStyle w:val="TextBody"/>
        <w:bidi w:val="0"/>
        <w:spacing w:before="20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income increased by $13.2 million and $7.8 million during the three and six months ended June 30, 2026 compared to the same periods in 2025, primarily due to a higher average balance of cash, cash equivalents and marketable securities.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expense increased by $22.9 million and $35.1 million during the three and six months ended June 30, 2026 compared to the same periods in 2025, due to non-cash interest expense associated with the Royalty Purchase Agreement, which was entered into in June 2025, and interest expense associated with convertible senior notes issued in April 2026.</w:t>
      </w:r>
    </w:p>
    <w:p>
      <w:pPr>
        <w:pStyle w:val="TextBody"/>
        <w:bidi w:val="0"/>
        <w:spacing w:before="200" w:after="283"/>
        <w:jc w:val="left"/>
        <w:rPr>
          <w:rFonts w:ascii="Times New Roman" w:hAnsi="Times New Roman"/>
          <w:sz w:val="20"/>
        </w:rPr>
      </w:pPr>
      <w:r>
        <w:rPr>
          <w:rFonts w:ascii="Times New Roman" w:hAnsi="Times New Roman"/>
          <w:b/>
          <w:i/>
          <w:color w:val="000000"/>
          <w:sz w:val="20"/>
        </w:rPr>
        <w:t>Change in fair value of warrant liability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fair value of our warrant liability increased by $151.0 million and $166.8 million during the three and six months ended June 30, 2026 respectively, as a result of an increase in our share price in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August 2024, we entered into a sales agreement with TD Securities (USA) LLC (TD Cowen), to sell shares of our common stock, from time to time, with aggregate gross proceeds of up to $500 million, through an at-the-market equity offering program (the 2024 ATM). During the year ended December 31, 2025, we sold an aggregate of 6,163,501 shares of common stock under the 2024 ATM, resulting in gross proceeds of $353.4 million. In January and February 2026, we sold an aggregate of 880,098 shares of common stock under the 2024 ATM, resulting in net proceeds of $84.8 million. In February 2026, we terminated the 2024 ATM and entered into a new sales agreement with TD Cowen to sell shares of our common stock, from time to time, with aggregate gross proceeds of up to $1 billion, through an at-the-market equity offering program (the 2026 ATM) under which TD Cowen agreed to act as our sales agent.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six months ended June 30, 2026, we sold an aggregate of 1,455,299 shares of common stock under the 2026 ATM, resulting in gross proceeds of $144.1 million, with net proceeds of $141.9 million after deducting commissions and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June 2025, we entered into a revenue participation right purchase and sale agreement (the Royalty Purchase Agreement) with Royalty Pharma Investments 2019 ICAV (Royalty Pharma). Pursuant to the Royalty Purchase Agreement, in exchange for an upfront payment of $250.0 million, Royalty Pharma purchased from us the right to receive royalty payments with respect to worldwide net product sales in a calendar year (Annual Net Sales) of (a) RMC-6236 Products and (b) RMC-9805 Products, if an RMC-9805 Product is approved for the same indication or subset of the same indication for which an RMC-6236 Product is approved. In May 2026, we received a $250.0 million payment from Royalty Pharma in connection with the Tranche 2 funding trigger under the Royalty Purchase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Agreement. In addition, under the Royalty Purchase Agreement, Royalty Pharma has agreed to purchase up to an additional $750.0 million in synthetic royalty funding divided into three additional tranches of up to $250.0 million. Each of these tranches is subject to the satisfaction of certain triggers, and is available at our sole election, provided the relevant trigger events have occurred.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additional information regarding the Royalty Purchase Agreement (including information regarding the trigger events related to particular tranches and the applicable tiered revenue payments), see “Note 8. Liability related to the sale of future royalties” in the “Notes to Unaudited Condensed Consolidated Financial Statements” contained in Part I, Item 1 of this Quarterly Report on Form 10-Q.</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In June 2025, we entered into a loan agreement (the Loan Agreement) with Wilmington Trust, National Association as administrative agent and Royalty Pharma Development Funding, LLC, as a lender. The Loan Agreement provides for a term loan facility of up to $750.0 million (the Term Loan Facility), consisting of three tranches, one of which must be drawn and the other two of which may be drawn at our option during certain commitment periods, in each case subject to the satisfaction or waiver of certain terms and conditions.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For additional information regarding the Term Loan Facility (including information regarding the terms and conditions related to the three tranches of funding), see “Note 9. Term loan facility” in the “Notes to Unaudited Condensed Consolidated Financial Statements” contained in Part I, Item 1 of this Quarterly Report on Form 10-Q.</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In April 2026, we completed concurrent public offerings consisting of (i) 12,147,887 shares of its common stock at a public offering price of $142.00 per share and (ii) $500.0 million aggregate principal amount of 0.50% convertible senior notes due 2033 (the 2033 Notes). The offerings included the full exercise of the underwriters’ option to purchase additional shares of common stock.</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We received gross proceeds of approximately $1,725.0 million from the sale of common stock and approximately $500.0 million from the issuance of the 2033 Notes. Net proceeds were approximately $1,651.4 million from the equity offering and approximately $487.1 million from the issuance of the 2033 Notes, after deducting underwriting discounts, commissions and estimated offering expenses.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2033 Notes are senior, unsecured obligations of the Company and bear interest at a rate of 0.50% per annum, payable semi-annually in arrears on May 1 and November 1 of each year, beginning on November 1, 2026. The 2033 Notes will mature on May 1, 2033, unless earlier converted, redeemed, or repurchased. The initial conversion rate is 5.0302 shares of common stock per $1,000 principal amount of 2033 Notes, which represents an initial conversion price of approximately $198.80 per share, subject to customary adjustments. For additional information regarding the 2033 Notes, see “Note 10. Convertible senior notes” in the “Notes to Unaudited Condensed Consolidated Financial Statements” contained in Part I, Item 1 of this Quarterly Report on Form 10-Q.</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 date, our operations have been financed primarily by the sale of our securities, our acquisition of EQRx in 2023, the sale of future royalties and the issuance of convertible senior notes.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2026, we had $3.9 billion in cash, cash equivalents and marketable securities.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we had an accumulated deficit of $4.0 billion. Our primary use of cash is to fund operating expenses, which consist primarily of research and development expenditures related to our product candidates and our preclinical research portfolio, and to a lesser extent, general and administrative and commercial preparation expenditures. We expect our expenses to continue to increase in connection with our ongoing activities, particularly as we continue to advance our product candidates into later stages of development, which includes conducting larger clinical trials, and increasing our efforts to prepare to become a commercial-stage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believe that our existing cash, cash equivalents and marketable securities will enable us to fund our planned operations for at least 12 months following the date of this Quarterly Report on Form 10-Q. The timing and amount of our future funding requirements depends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product candidates and programs, and of conducting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current and future product candidates for clinical trials in preparation for marketing approval and in preparation for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our product candidates if clinical trials are 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commercialization activities for our product candidates, whether alone or in collaboration, including marketing, sales and distribution costs if any product candidate is approved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licenses or other arrangements and the financial terms of such agreements;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expanding, defending and enforcing patent claims, including litigation costs and the outcome of such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of, profit share or royalties on,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of competing cancer therapies or other adverse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plans to acquire or in-license other programs or technologies.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will require additional funds for our development efforts for our current and future programs and to prepare for their potential commercialization. Other than the Royalty Purchase Agreement and the Term Loan Facility (which provide for additional funding subject to certain terms and conditions and trigger events), we do not have any committed external source of funds or other support for these activities, and we may need to finance our cash needs through additional funding under the Royalty Purchase Agreement, the Term Loan Facility and/or a combination of public or private equity offerings, debt financings, other credit or loan facilities, acquisitions, collaborations, strategic alliances, licensing arrangements and other marketing or distribution arrangements. In addition, we may seek additional capital due to favorable market conditions or strategic considerations even if we believe we have sufficient funds for our current or future operating plans. If we need to raise additional capital to fund our operations, funding may not be available to us on acceptable terms, or at all. If we are unable to obtain adequate financing when needed, we may have to (i) delay, limit, reduce the scope of or terminate one or more of our preclinical studies, clinical trials, or other research and development activities or eliminate one or more of our development programs altogether; or (ii) delay, limit, reduce the scope of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pStyle w:val="TextBody"/>
        <w:bidi w:val="0"/>
        <w:spacing w:before="200" w:after="283"/>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summarizes our consolidated cash flows for the periods indicated: </w:t>
      </w:r>
    </w:p>
    <w:p>
      <w:pPr>
        <w:pStyle w:val="TextBody"/>
        <w:bidi w:val="0"/>
        <w:jc w:val="left"/>
        <w:rPr/>
      </w:pPr>
      <w:r>
        <w:rPr/>
        <w:t> </w:t>
      </w:r>
    </w:p>
    <w:tbl>
      <w:tblPr>
        <w:tblW w:w="7959" w:type="dxa"/>
        <w:jc w:val="left"/>
        <w:tblInd w:w="0" w:type="dxa"/>
        <w:tblLayout w:type="fixed"/>
        <w:tblCellMar>
          <w:top w:w="28" w:type="dxa"/>
          <w:left w:w="28" w:type="dxa"/>
          <w:bottom w:w="28" w:type="dxa"/>
          <w:right w:w="28" w:type="dxa"/>
        </w:tblCellMar>
      </w:tblPr>
      <w:tblGrid>
        <w:gridCol w:w="4936"/>
        <w:gridCol w:w="146"/>
        <w:gridCol w:w="211"/>
        <w:gridCol w:w="991"/>
        <w:gridCol w:w="166"/>
        <w:gridCol w:w="146"/>
        <w:gridCol w:w="211"/>
        <w:gridCol w:w="841"/>
        <w:gridCol w:w="31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(416,192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257,457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(140,408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Cash used in operating activities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During the six months ended June 30, 2026, cash used in operating activities of $741.5 million was primarily attributable to a net loss of $1,098.2 million, offset by a net change of $1.9 million in our operating assets and liabilities and $358.6 million in non-cash charges. The non-cash charges primarily consisted of a $166.8 million change in fair value of warrant liability, stock-based compensation expense of $154.3 million, non-cash interest expense on the liability related to the sale of future royalties of $35.1 million, depreciation and amortization of $4.8 million, amortization of operating lease right-of-use asset of $4.2 million offset by net amortization of premium on marketable securities of $7.6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six months ended June 30, 2025, cash used in operating activities of $416.2 million was attributable to a net loss of $461.2 million and a net change of $1.9 million in our operating assets and liabilities and $46.9 million in non-cash charges. The non-cash charges primarily consisted of stock-based compensation expense of $53.9 million, depreciation and amortization of $4.0 million, amortization of operating lease right-of-use asset of $3.5 million, a $2.1 million change in fair value of warrant liability and a $0.9 million non-cash interest expense on liability related to sale of future royalties, offset by net amortization of premium on marketable securities of $17.6 million.</w:t>
      </w:r>
    </w:p>
    <w:p>
      <w:pPr>
        <w:pStyle w:val="TextBody"/>
        <w:bidi w:val="0"/>
        <w:spacing w:before="200" w:after="283"/>
        <w:jc w:val="left"/>
        <w:rPr>
          <w:rFonts w:ascii="Times New Roman" w:hAnsi="Times New Roman"/>
          <w:sz w:val="20"/>
        </w:rPr>
      </w:pPr>
      <w:r>
        <w:rPr>
          <w:rFonts w:ascii="Times New Roman" w:hAnsi="Times New Roman"/>
          <w:b/>
          <w:i/>
          <w:color w:val="000000"/>
          <w:sz w:val="20"/>
        </w:rPr>
        <w:t>Cash provided by (used in) investing activities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six months ended June 30, 2026, cash used in investing activities of $1.5 billion was comprised of purchases of marketable securities of $2.2 billion and purchases of property and equipment of $3.8 million offset by maturities of marketable securities of $765.9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six months ended June 30, 2025, cash provided by investing activities of $18.3 million was comprised of maturities of marketable securities of $1.1 billion and sale of marketable securities of $6.4 million partially offset by purchases of marketable securities of $1.0 billion and purchases of property and equipment of $10.7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Cash provided by financing activities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six months ended June 30, 2026, cash provided by financing activities was comprised primarily of $1.7 billion in net proceeds from the issuance of common stock under the April 2026 follow-on offering, $487.1 million in net proceeds from the issuance of convertible senior notes, $245.0 million in net proceeds from the sale of future royalties following receipt of Tranche 2 funding under the Royalty Purchase Agreement, $226.7 million in net proceeds under the ATM Programs, $41.1 million in proceeds from the issuance of common stock upon the exercise of stock options and $8.5 million in proceeds from the issuance of common stock related to our 2020 Employee Stock Purchase Plan (the ESPP).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six months ended June 30, 2025, cash provided by financing activities was comprised primarily of $250.0 million in proceeds from the sale of future royalties, $4.6 million in proceeds from the issuance of common stock related to the ESPP and $2.8 million in proceeds from the issuance of common stock upon the exercise of stock options.</w:t>
      </w:r>
    </w:p>
    <w:p>
      <w:pPr>
        <w:pStyle w:val="TextBody"/>
        <w:bidi w:val="0"/>
        <w:spacing w:before="20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contractual obligations related to our office and laboratory space lease in Redwood City, California, described in “Note 7. Commitments and contingencies” in the “Notes to Unaudited Condensed Consolidated Financial Statements” contained in Part I, Item 1 of this Quarterly Report on Form 10-Q.</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enter into agreements in the ordinary course of business with contract research organizations for clinical trials, contract manufacturing organizations to provide clinical trial materials and with vendors for preclinical studies and other services and products for operating purposes which are generally cancelable at any time by us upon 30 to 90 days’ prior written notice.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June 2025, we entered into the Royalty Purchase Agreement with Royalty Pharma. Pursuant to the Royalty Purchase Agreement, Royalty Pharma purchased from us the right to receive tiered royalty payments on worldwide net product sales of daraxonrasib (together with certain potential future products having the same mechanism of action as daraxonrasib, the RMC-6236 Products) and zoldonrasib (together with certain potential future products having the same mechanism of action as zoldonrasib, the RMC-9805 Products), if zoldonrasib is approved for the same indication or subset of the same indication for which daraxonrasib is approved. For additional information regarding the Royalty Purchase Agreement, see “Note 8. Liability related to the sale of future royalties” in the “Notes to Unaudited Condensed Consolidated Financial Statements” contained in Part I, Item 1 of this Quarterly Report on Form 10-Q.</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17, 2026, we issued $500.0 million aggregate principal amount of 0.50% convertible senior notes due 2033, which mature on May 1, 2033 unless earlier converted, redeemed, or repurchased. For additional information regarding the 2033 Notes, see “Note 10. Convertible senior notes” in the “Notes to Unaudited Condensed Consolidated Financial Statements” contained in Part I, Item 1 of this Quarterly Report on Form 10-Q.</w:t>
      </w:r>
    </w:p>
    <w:p>
      <w:pPr>
        <w:pStyle w:val="TextBody"/>
        <w:bidi w:val="0"/>
        <w:spacing w:before="200" w:after="283"/>
        <w:jc w:val="left"/>
        <w:rPr>
          <w:rFonts w:ascii="Times New Roman" w:hAnsi="Times New Roman"/>
          <w:sz w:val="20"/>
        </w:rPr>
      </w:pPr>
      <w:r>
        <w:rPr>
          <w:rFonts w:ascii="Times New Roman" w:hAnsi="Times New Roman"/>
          <w:b/>
          <w:color w:val="000000"/>
          <w:sz w:val="20"/>
        </w:rPr>
        <w:t>Indemnification Agreements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Critical Accounting Policies, Significant Judgments and Use of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unaudited condensed consolidated financial statements, which have been prepared in accordance with United States generally accepted accounting principles (U.S. GAAP). The preparation of these unaudited condensed consolidated financial statements requires us to make estimates and assumptions that affect the reported amounts of assets and liabilities and the disclosure of contingent assets and liabilities at the date of the unaudited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 discussion of our critical accounting estimates, see Part II, Item 7. Management’s Discussion and Analysis of Financial Condition and Results of Operations in the 2025 Form 10-K. There have been no material changes to these critical accounting estimates since the 2025 Form 10-K.</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 description of the expected impact of recent accounting pronouncements, see “Note 2. Summary of significant accounting policies” in the “Notes to Unaudited Condensed Consolidated Financial Statements” contained in Part I, Item 1 of this Quarterly Report on Form 10-Q.</w:t>
      </w:r>
    </w:p>
    <w:p>
      <w:pPr>
        <w:pStyle w:val="TextBody"/>
        <w:bidi w:val="0"/>
        <w:spacing w:before="200" w:after="283"/>
        <w:jc w:val="left"/>
        <w:rPr>
          <w:rFonts w:ascii="Times New Roman" w:hAnsi="Times New Roman"/>
          <w:sz w:val="20"/>
        </w:rPr>
      </w:pPr>
      <w:bookmarkStart w:id="11" w:name="item_7a_quantitative_qualitative_disclos"/>
      <w:bookmarkEnd w:id="11"/>
      <w:r>
        <w:rPr>
          <w:rFonts w:ascii="Times New Roman" w:hAnsi="Times New Roman"/>
          <w:b/>
          <w:color w:val="000000"/>
          <w:sz w:val="20"/>
        </w:rPr>
        <w:t>Item 3. Quantitative and Qualitati</w:t>
      </w:r>
      <w:bookmarkStart w:id="12" w:name="item_3_quantita_and_qualitative_disc"/>
      <w:bookmarkEnd w:id="12"/>
      <w:r>
        <w:rPr>
          <w:rFonts w:ascii="Times New Roman" w:hAnsi="Times New Roman"/>
          <w:b/>
          <w:color w:val="000000"/>
          <w:sz w:val="20"/>
        </w:rPr>
        <w:t>ve Disclosures About Market Risk.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are exposed to market risks in the ordinary course of our business. These risks primarily include interest rate sensitivities. 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short-term duration, invested in compliance with our policy.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held cash, cash equivalents and marketable securities of $3.9 billion and $2.0 billion as of June 30, 2026 and December 31, 2025, respectively, which consisted of bank deposits, money market funds, U.S. government debt securities, U.S. government agency bonds, commercial paper and corporate bonds. Such interest-earning instruments carry a degree of interest rate risk; however, historical fluctuations in interest income have not been significant for us. Due to the short-term maturities of our cash equivalents and marketable securities, an immediate hypothetical 100 basis point increase or decrease in interest rates would not have a material effect on the fair value of our cash equivalents and marketable securities as of June 30, 2026, given their relatively short maturities and weighted-average duration. </w:t>
      </w:r>
    </w:p>
    <w:p>
      <w:pPr>
        <w:pStyle w:val="TextBody"/>
        <w:bidi w:val="0"/>
        <w:spacing w:before="200" w:after="283"/>
        <w:jc w:val="left"/>
        <w:rPr>
          <w:rFonts w:ascii="Times New Roman" w:hAnsi="Times New Roman"/>
          <w:sz w:val="20"/>
        </w:rPr>
      </w:pPr>
      <w:r>
        <w:rPr>
          <w:rFonts w:ascii="Times New Roman" w:hAnsi="Times New Roman"/>
          <w:b/>
          <w:i/>
          <w:color w:val="000000"/>
          <w:sz w:val="20"/>
        </w:rPr>
        <w:t>Foreign currency risk</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expenses are generally denominated in U.S. dollars. However, we have entered into a limited number of contracts with vendors for research and development services with payments denominated in foreign currencies, including the Euro, British Pound and Chinese Yuan.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 increase or decrease in current exchange rates would not have a material effect on our financial results. </w:t>
      </w:r>
    </w:p>
    <w:p>
      <w:pPr>
        <w:pStyle w:val="TextBody"/>
        <w:bidi w:val="0"/>
        <w:spacing w:before="200" w:after="283"/>
        <w:jc w:val="left"/>
        <w:rPr>
          <w:rFonts w:ascii="Times New Roman" w:hAnsi="Times New Roman"/>
          <w:sz w:val="20"/>
        </w:rPr>
      </w:pPr>
      <w:bookmarkStart w:id="13" w:name="item_4_controls_and_procedures"/>
      <w:bookmarkEnd w:id="13"/>
      <w:r>
        <w:rPr>
          <w:rFonts w:ascii="Times New Roman" w:hAnsi="Times New Roman"/>
          <w:b/>
          <w:color w:val="000000"/>
          <w:sz w:val="20"/>
        </w:rPr>
        <w:t xml:space="preserve">Item 4. Controls </w:t>
      </w:r>
      <w:bookmarkStart w:id="14" w:name="item_9a_controls_procedures"/>
      <w:bookmarkEnd w:id="14"/>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President, Chief Executive Officer and Director and our Chief Financial Officer, our principal executive officer and principal financial officer, respectively, have evaluated our disclosure controls and procedures (as defined in Rules 13a-15(e) and 15d-15(e) under the Securities Exchange Act of 1934, as amended) as of June 30, 2026. Based on the evaluation, our President, Chief Executive Officer and Director and our Chief Financial Officer have concluded that, as of June 30, 2026, our disclosure controls and procedures were, in design and operation, effective to the reasonable assurance level.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were no changes in our internal controls over financial reporting identified in connection with the evaluation required by Rules 13a-15(d) and 15d-15(d) of the Exchange Act that occurred during the three and six months ended June 30, 2026 that have materially affected, or are reasonably likely to materially affect, our internal control over financial reporting.</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Inherent limitation on the effectiveness of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5" w:name="part_iior_information"/>
      <w:bookmarkEnd w:id="15"/>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6" w:name="item_1_legal_proceedings"/>
      <w:bookmarkEnd w:id="16"/>
      <w:r>
        <w:rPr>
          <w:rFonts w:ascii="Times New Roman" w:hAnsi="Times New Roman"/>
          <w:b/>
          <w:color w:val="000000"/>
          <w:sz w:val="20"/>
        </w:rPr>
        <w:t>Item 1. Legal Proceedings.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 </w:t>
      </w:r>
    </w:p>
    <w:p>
      <w:pPr>
        <w:pStyle w:val="TextBody"/>
        <w:bidi w:val="0"/>
        <w:spacing w:before="200" w:after="283"/>
        <w:jc w:val="left"/>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Summary of Material Risks Associated with Our Business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principal risks and uncertainties affecting our business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late-stage clinical oncology company with a limited operating history and no products approved for commercial sale. We have incurred significant losses since our inception. We expect to incur losses for at least the next several years and may never achieve or maintain profitability, which, together with our limited operating history, makes it difficult to assess our future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generated revenue from product sales and may never be profitable.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dependent on the successful development of our current and future product candidates. If we are unable to advance our current or future product candidates through clinical trials, obtain marketing approval and ultimately commercialize any of our product candidates, or we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development is uncertain. Our preclinical programs may experience delays or may never advance to clinical trials, which would adversely affect our ability to obtain regulatory approvals or commercialize our product candidates on a timely basis or at all, which would have an adverse effect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preclinical studies and early-stage clinical trials may not be predictive of future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encounter difficulties enrolling patients in our clinical trials, our clinical development activities could be delayed or otherwise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collaborators are currently developing, and may in the future develop, our product candidates in combination with other therapies, which exposes us to additional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and our collaborators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of our current or future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summary risk factors described above should be read together with the text of the full risk factors below in the section entitled “Risk Factors” and the other information set forth in this Quarterly Report on Form 10-Q, including our condensed consolidated financial statements and the related notes, as well as in other documents that we file with the SEC. The risks summarized above or described below are not the only risks that we face. Additional risks and uncertainties not presently known to us or that we currently deem to be immaterial may also materially and adversely affect our business, competitive position, financial condition, results of operations, cash flows and growth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as well as the other information in this Quarterly Report on Form 10-Q, including our financial statements and the related notes and the section titled “Management’s Discussion and Analysis of Financial Condition and Results of Operations” before deciding whether to invest in our common stock. The occurrence of any of the events or developments described below or other risks we face could materially and adversely affect our business, competitive position, financial condition, results of operations, cash flows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bidi w:val="0"/>
        <w:jc w:val="left"/>
        <w:rPr>
          <w:rFonts w:ascii="Times New Roman" w:hAnsi="Times New Roman"/>
          <w:sz w:val="20"/>
        </w:rPr>
      </w:pPr>
      <w:r>
        <w:rPr>
          <w:rFonts w:ascii="Times New Roman" w:hAnsi="Times New Roman"/>
          <w:b/>
          <w:color w:val="000000"/>
          <w:sz w:val="20"/>
        </w:rPr>
        <w:t>Risks related to our limited operating history, financial position and need for additional capital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are a late-stage clinical oncology company with a limited operating history and no products approved for commercial sale. We have incurred significant losses since our inception. We expect to incur losses for at least the next several years and may never achieve or maintain profitability, which, together with our limited operating history, makes it difficult to assess our future viability.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Biopharmaceutical product development is a highly speculative undertaking and involves a substantial degree of risk. We are a late-stage clinical oncology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October 2014. In addition, we have not yet demonstrated an ability to successfully overcome many of the risks and uncertainties frequently encountered by companies in new and rapidly evolving fields, particularly in the biopharmaceutical industry. </w:t>
      </w:r>
    </w:p>
    <w:p>
      <w:pPr>
        <w:pStyle w:val="TextBody"/>
        <w:bidi w:val="0"/>
        <w:jc w:val="left"/>
        <w:rPr>
          <w:rFonts w:ascii="Times New Roman" w:hAnsi="Times New Roman"/>
          <w:color w:val="000000"/>
          <w:sz w:val="20"/>
        </w:rPr>
      </w:pPr>
      <w:r>
        <w:rPr>
          <w:rFonts w:ascii="Times New Roman" w:hAnsi="Times New Roman"/>
          <w:color w:val="000000"/>
          <w:sz w:val="20"/>
        </w:rPr>
        <w:t xml:space="preserve">Since our inception, we have incurred significant net losses. Our net losses were $1.1 billion, $600.1 million and $436.4 million for the years ended December 31, 2025, 2024 and 2023, respectively. As of June 30, 2026, we had an accumulated deficit of $4.0 billion. We have funded our operations to date with proceeds from the sale of common stock and preferred stock, convertible senior notes, the acquisition of EQRx, and the Royalty Purchase Agreement.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obtain marketing approvals, manufacture a commercial-scale product, or arrange for a third party to do so on our behalf, or conduct sales and marketing activities necessary for successful product commercialization. Our product candidates will require additional development time and resources before we will be able to apply for or receive regulatory approvals and, if approved, begin generating revenue from product sales. We expect to continue to incur significant expenses and operating losses for the foreseeable future. </w:t>
      </w:r>
    </w:p>
    <w:p>
      <w:pPr>
        <w:pStyle w:val="TextBody"/>
        <w:bidi w:val="0"/>
        <w:jc w:val="left"/>
        <w:rPr>
          <w:rFonts w:ascii="Times New Roman" w:hAnsi="Times New Roman"/>
          <w:sz w:val="20"/>
        </w:rPr>
      </w:pPr>
      <w:r>
        <w:rPr>
          <w:rFonts w:ascii="Times New Roman" w:hAnsi="Times New Roman"/>
          <w:b/>
          <w:i/>
          <w:color w:val="000000"/>
          <w:sz w:val="20"/>
        </w:rPr>
        <w:t>We have never generated revenue from product sales and may never be profitable.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never generated revenue from product sales and our ability to generate future revenue from product sales and achieve profitability depends heavily on our, and any potential future collaborators’, success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clinical and preclinical development of product candidates and programs and identifying and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seeking and obtaining marketing approvals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commercializing product candidates for which we obtain marketing approval by establishing a sales force, marketing, medical affairs and distribution infrastructure or, alternatively, collaborating with a commercialization partner;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adequate coverage and reimbursement by third-party payors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supply and manufacturing relationships with third parties that can provide products and services that are adequate in both amount and quality to support clinical development and market demand for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our product candidates as viable treatment options,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and performing our obligations under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enforcing and expanding our portfolio of intellectual property rights, including patents, trademarks, trade secrets and know-how;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third-party interference, infringement or other intellectual property-related claims,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jc w:val="left"/>
        <w:rPr>
          <w:rFonts w:ascii="Times New Roman" w:hAnsi="Times New Roman"/>
          <w:color w:val="000000"/>
          <w:sz w:val="20"/>
        </w:rPr>
      </w:pPr>
      <w:r>
        <w:rPr>
          <w:rFonts w:ascii="Times New Roman" w:hAnsi="Times New Roman"/>
          <w:color w:val="000000"/>
          <w:sz w:val="20"/>
        </w:rPr>
        <w:t xml:space="preserve">Even if one or more of our product candidates is approved for commercial sale, we anticipate incurring significant costs associated with commercializing any approved product candidate, including prior to a potential launch of any approved product candidate. Our expenses could increase beyond expectations if we are required by the FDA,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 </w:t>
      </w:r>
    </w:p>
    <w:p>
      <w:pPr>
        <w:pStyle w:val="TextBody"/>
        <w:bidi w:val="0"/>
        <w:jc w:val="left"/>
        <w:rPr>
          <w:rFonts w:ascii="Times New Roman" w:hAnsi="Times New Roman"/>
          <w:sz w:val="20"/>
        </w:rPr>
      </w:pPr>
      <w:r>
        <w:rPr>
          <w:rFonts w:ascii="Times New Roman" w:hAnsi="Times New Roman"/>
          <w:b/>
          <w:i/>
          <w:color w:val="000000"/>
          <w:sz w:val="20"/>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operations have consumed substantial amounts of cash since our inception. Since our inception, we have invested a significant portion of our efforts and financial resources in research and development activities for our product candidates. </w:t>
      </w:r>
    </w:p>
    <w:p>
      <w:pPr>
        <w:pStyle w:val="TextBody"/>
        <w:bidi w:val="0"/>
        <w:jc w:val="left"/>
        <w:rPr>
          <w:rFonts w:ascii="Times New Roman" w:hAnsi="Times New Roman"/>
          <w:color w:val="000000"/>
          <w:sz w:val="20"/>
        </w:rPr>
      </w:pPr>
      <w:r>
        <w:rPr>
          <w:rFonts w:ascii="Times New Roman" w:hAnsi="Times New Roman"/>
          <w:color w:val="000000"/>
          <w:sz w:val="20"/>
        </w:rPr>
        <w:t xml:space="preserve">Building out commercial operations and additional clinical trials, preclinical studies and research and development activities will require substantial funds to complete. As of June 30, 2026, we had cash, cash equivalents and marketable securities of $3.9 billion. In April 2026, we completed the Common Stock Offering and the Notes Offering, which together provided us with aggregate net proceeds of $2.1 billion. During the six months ended June 30, 2026, we sold an aggregate of 2,335,397 shares of common stock under the 2024 ATM and 2026 ATM resulting in net proceeds of $226.7 million. Further, additional capital may be available under the 2026 ATM and, subject to our meeting certain terms and conditions, including certain commercial milestones and other trigger events, additional capital may be available under the Loan Agreement and the Royalty Purchase Agreement (see “Notes to Unaudited Condensed Consolidated Financial Statements” contained in Part I, Item 1 of this Quarterly Report on Form 10-Q for more information). We expect to continue to spend substantial amounts to continue the preclinical and clinical development of our current and future programs and to prepare for their potential commercialization. If we are able to gain marketing approval for our product candidates, we will require significant additional amounts of cash in order to launch and commercialize our product candidates, if approved, to the extent that their launch and commercialization are not the responsibility of another collaborator that we may contract with in the future. In addition, other unanticipated costs may arise. Because the design and outcome of our current, planned and potential future clinical trials is highly uncertain, we cannot reasonably estimate the actual amounts necessary to successfully complete the development and commercialization of our product candidates. </w:t>
      </w:r>
    </w:p>
    <w:p>
      <w:pPr>
        <w:pStyle w:val="TextBody"/>
        <w:bidi w:val="0"/>
        <w:jc w:val="left"/>
        <w:rPr>
          <w:rFonts w:ascii="Times New Roman" w:hAnsi="Times New Roman"/>
          <w:color w:val="000000"/>
          <w:sz w:val="20"/>
        </w:rPr>
      </w:pPr>
      <w:r>
        <w:rPr>
          <w:rFonts w:ascii="Times New Roman" w:hAnsi="Times New Roman"/>
          <w:color w:val="000000"/>
          <w:sz w:val="20"/>
        </w:rPr>
        <w:t xml:space="preserve">The timing and amount of our future funding requirements depends on many factors, including: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product candidates and programs, and of conducting preclinical studies and clinical trials;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cost of manufacturing our current and future product candidates for clinical trials in preparation for marketing approval and in preparation for commercialization;</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our product candidates if clinical trials are successful;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the cost of commercialization activities for our product candidates, whether alone or in collaboration, including marketing, sales and distribution costs if any product candidate is approved for sale;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licenses or other arrangements and the financial terms of such agreements;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expanding, defending and enforcing patent claims, including litigation costs and the outcome of such litigation;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the timing, receipt and amount of sales of, profit share or royalties on, our product candidates, if approved;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the emergence of competing cancer therapies or other adverse market developments; and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any plans to acquire or in-license other programs or technologies. </w:t>
      </w:r>
    </w:p>
    <w:p>
      <w:pPr>
        <w:pStyle w:val="TextBody"/>
        <w:bidi w:val="0"/>
        <w:jc w:val="left"/>
        <w:rPr>
          <w:rFonts w:ascii="Times New Roman" w:hAnsi="Times New Roman"/>
          <w:color w:val="000000"/>
          <w:sz w:val="20"/>
        </w:rPr>
      </w:pPr>
      <w:r>
        <w:rPr>
          <w:rFonts w:ascii="Times New Roman" w:hAnsi="Times New Roman"/>
          <w:color w:val="000000"/>
          <w:sz w:val="20"/>
        </w:rPr>
        <w:t xml:space="preserve">We will require substantial additional funds for our development efforts for our current and future programs and to prepare for their potential commercialization. Other than the Royalty Purchase Agreement and the Term Loan Facility (which provide for additional funding subject to certain terms and conditions and trigger events), we do not have any committed external source of funds or other support for these activities, and we may finance our cash needs through additional funding under the Royalty Purchase Agreement, the Term Loan Facility and/or a combination of public or private equity offerings, debt financings, other credit or loan facilities, acquisitions, collaborations, strategic alliances, licensing arrangements and other marketing or distribution arrangements. In addition, we may seek additional capital due to favorable market conditions or strategic considerations even if we believe we have sufficient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funds for our current or future operating plans. See “Item 2. Management’s Discussion and Analysis—Liquidity and Capital Resources” for additional information.</w:t>
      </w:r>
    </w:p>
    <w:p>
      <w:pPr>
        <w:pStyle w:val="TextBody"/>
        <w:bidi w:val="0"/>
        <w:jc w:val="left"/>
        <w:rPr>
          <w:rFonts w:ascii="Times New Roman" w:hAnsi="Times New Roman"/>
          <w:color w:val="000000"/>
          <w:sz w:val="20"/>
        </w:rPr>
      </w:pPr>
      <w:r>
        <w:rPr>
          <w:rFonts w:ascii="Times New Roman" w:hAnsi="Times New Roman"/>
          <w:color w:val="000000"/>
          <w:sz w:val="20"/>
        </w:rPr>
        <w:t xml:space="preserve">Our ability to raise additional funds will depend on financial, economic and other factors, many of which are beyond our control. </w:t>
      </w:r>
    </w:p>
    <w:p>
      <w:pPr>
        <w:pStyle w:val="TextBody"/>
        <w:bidi w:val="0"/>
        <w:jc w:val="left"/>
        <w:rPr>
          <w:rFonts w:ascii="Times New Roman" w:hAnsi="Times New Roman"/>
          <w:color w:val="000000"/>
          <w:sz w:val="20"/>
        </w:rPr>
      </w:pPr>
      <w:r>
        <w:rPr>
          <w:rFonts w:ascii="Times New Roman" w:hAnsi="Times New Roman"/>
          <w:color w:val="000000"/>
          <w:sz w:val="20"/>
        </w:rPr>
        <w:t xml:space="preserve">If we need to raise additional capital to fund our operations, funding may not be available to us on acceptable terms, or at all. If we are unable to obtain adequate financing when needed, we may have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the scope of or terminate one or more of our preclinical studies, clinical trials, or other research and development activities or eliminate one or more of our development programs altogether;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the scope of or terminate our efforts to establish manufacturing and sales and marketing capabilities or other activities that may be necessary to commercialize any future approved products, or reduce our flexibility in developing or maintaining our sales and marketing strategy.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Our indebtedness and liabilities could limit the cash flow available for our operations, expose us to risks that could adversely affect our business, financial condition and results of operations and impair our ability to satisfy our obligations under the 2033 Notes.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June 30, 2026, we had $500.0 million aggregate principal amount of indebtedness under the 2033 Notes and approximately $548.5 million of liabilities relating to our sale of future royalties pursuant to the Royalty Purchase Agreement. We may also incur additional indebtedness to meet future financing needs. Our indebtedness could have significant negative consequences for our security holders and our business, results of operations and financial condition by, among other things: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increasing our vulnerability to adverse economic and industry conditions;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limiting our ability to obtain additional financing;</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subjecting us to restrictive covenants that may reduce our ability to take certain corporate actions or obtain further debt or equity financings;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requiring the dedication of a substantial portion of our cash flow from operations to service our indebtedness, which will reduce the amount of cash available for other purposes;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limiting our flexibility to plan for, or react to, changes in our business;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increasing our need to meet minimum net sales requirements when our future sales are uncertain;</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potentially diluting the ownership interests of our existing stockholders as a result of any issuance of shares of our common stock upon conversion of the 2033 Notes;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placing us at a possible competitive disadvantage with competitors that are less leveraged than us or have better access to capital.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business may not generate sufficient funds, and we may otherwise be unable to maintain sufficient cash reserves, to pay amounts due under our indebtedness, including the 2033 Notes, and our cash needs may increase in the future. In addition, our Loan Agreement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 </w:t>
      </w:r>
    </w:p>
    <w:p>
      <w:pPr>
        <w:pStyle w:val="TextBody"/>
        <w:bidi w:val="0"/>
        <w:jc w:val="left"/>
        <w:rPr>
          <w:rFonts w:ascii="Times New Roman" w:hAnsi="Times New Roman"/>
          <w:b/>
          <w:i/>
          <w:color w:val="000000"/>
          <w:sz w:val="20"/>
        </w:rPr>
      </w:pPr>
      <w:r>
        <w:rPr>
          <w:rFonts w:ascii="Times New Roman" w:hAnsi="Times New Roman"/>
          <w:b/>
          <w:i/>
          <w:color w:val="000000"/>
          <w:sz w:val="20"/>
        </w:rPr>
        <w:t>The Royalty Pharma Agreements place restrictions on our operating and financial flexibility. If we fail to comply with certain covenants in the Royalty Pharma Agreements, our financial condition and results of operations may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2025, we entered into the Royalty Purchase Agreement with Royalty Pharma and the Loan Agreement with an affiliate of Royalty Pharma and Wilmington Trust, National Association, as the administrative agent (collectively, the Royalty Pharma Agreements). The Royalty Pharma Agreements contain various customary covenants that impose on us certain obligations with respect to payment, reporting, intellectual property, certain license agreements, and certain other actions, as well as indemnification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obligations. Compliance with these covenants may limit our flexibility in operating our business and our ability to take actions that might otherwise be advantageous to us and our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Royalty Purchase Agreement, we have diligence obligations with respect to certain clinical trials, regulatory submissions and marketing approvals. There are also covenants that, among other things and subject to certain conditions, limit our ability to create or incur certain liens or dispose of certain assets related to the RMC-6236 Products. Pursuant to the Royalty Purchase Agreement, we have granted to Royalty Pharma a back-up security interest in certain assets to secure our obligations under the Royalty Purchase Agreement. If we are unable to comply with our obligations, Royalty Pharma may be entitled to take possession of such assets, which could significantly harm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also subjects us to various customary covenants that limit our ability to, among other activities (but subject to certain customary exceptions): (i) pay dividends, redeem stock or make other distributions or investments; (ii) incur additional debt; (iii) transfer or sell assets; (iv) create liens; (v) engage in certain transactions with affiliates; (vi) create restrictions on dividends or other payments by our subsidiaries; and (vii) merge, consolidate or effect other fundamental changes.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indebtedness we incur, including under the Loan Agreement, combined with our other financial obligations and contractual commitments could have significant adverse consequences,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requiring us to dedicate a portion of our cash resources to the payment of interest and principal, reducing money available to fund working capital, capital expenditures, product candidate development and other general corporate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our vulnerability to adverse changes in general economic, industry and market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subjecting us to restrictive covenants that may reduce our ability to take certain corporate actions or obtain further debt or equity financings;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our need to meet minimum net sales requirements when our future sales are uncertain;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our flexibility in planning for, or reacting to, changes in our business and the industry in which we compete;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placing us at a competitive disadvantage compared to our competitors that have less debt or better debt servicing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satisfy our current and future debt service obligations with our then-existing cash and cash equivalents. However, we may not have sufficient funds, and may be unable to arrange for additional financing, to pay the amounts due under the Loan Agreement or any other debt instruments. Failure to satisfy our current and future debt obligations, including covenants to take or avoid specific actions, under the Loan Agreement could result in an event of default and, as a result, the lender(s) could accelerate all of the amounts due, and the lender(s) could seek to enforce their security interests in any collateral securing such indebtedness. The lender(s) under the Loan Agreement have rights senior to our stockholders in receiving proceeds from a liquidation. In addition, the covenants under the Loan Agreement, and the pledge of our assets (including our intellectual property) as collateral could limit our ability to obtain additional debt financing. If we raise any additional debt financing, the terms of such additional debt could further restrict our operating and financial flexibility.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unable to raise the funds necessary to repurchase the 2033 Notes for cash following a fundamental change or to pay any cash amounts due upon maturity or conversion of the 2033 Notes, and our other indebtedness may limit our ability to repurchase the 2033 Notes or to pay any cash amounts due upon their maturity or conversion.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the 2033 Notes may, subject to a limited exception, require us to repurchase their 2033 Notes following a “fundamental change” (as defined in the indenture governing the 2033 Notes) at a cash repurchase price generally equal to the principal amount of the 2033 Notes to be repurchased, plus accrued and unpaid interest, if any. Upon maturity of the 2033 Notes, we must pay their principal amount and accrued and unpaid interest in cash, unless they have been previously repurchased, redeemed or converted.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2033 Notes or pay any cash amounts due upon their maturity or conversion. In addition, applicable law, regulatory authorities and the agreements governing our other indebtedness may restrict our ability to repurchase the 2033 Notes or to pay any cash amounts due upon their maturity or conversion. Our failure to repurchase the 2033 Notes or to pay any cash amounts due upon their maturity or conversion when required will constitute a default under the indenture governing the 2033 Notes. A default under the indenture governing the 2033 Notes or the fundamental change itself could also lead to a default under agreements governing our other indebtedness, including the Loan Agreement, which may result in that other indebtedness becoming immediately payable in full. We may not have sufficient funds to satisfy all amounts due under the other indebtedness and the 2033 Notes.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Provisions in the indenture governing the 2033 Notes could delay or prevent an otherwise beneficial takeover of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provisions in the 2033 Notes and the indenture governing the 2033 Notes could make a third-party attempt to acquire us more difficult or expensive. For example, if a takeover constitutes a fundamental change, then, subject to a limited exception, holders of the 2033 Notes will have the right to require us to repurchase their 2033 Notes for cash. In addition, if a takeover constitutes a “make-whole fundamental change” (as defined in the indenture governing the 2033 Notes), then we may be required to temporarily increase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conversion rate. In either case, and in other cases, our obligations under the 2033 Notes and the indenture governing the 2033 Notes could increase the cost of acquiring us or otherwise discourage a third party from acquiring us, including in a transaction that holders of the 2033 Notes or holders of our common stock may view as favorable.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operating results may fluctuate significantly, which will make our future results difficult to predict and could cause our results to fall below expectations.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which will make it difficult for us to predict our future results. These fluctuations may occur due to a variety of factors, many of which are outside of our control and may be difficult to predict,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development and commercialization activities, which may change from time to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status of enrollment for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regulatory approvals, if any,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expanding our operational, financial and management systems and personnel, including personnel to support our clinical development, quality control, manufacturing and commercialization efforts and our operations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as well as building out our supply chain, which may vary depending on the production quantities, the terms of any agreements we enter into with third-party suppliers and tariffs that may apply;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amount of any milestone, royalty or other payments due under any current or future collaboration or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level of royalty payments under the Royalty Purchase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policies with respect to any future approved products, and potential future drugs that compete with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costs to establish sales, marketing, medical affairs and distribution infrastructure to commercialize any products for which we may obtain marketing approval and intend to commercialize on our own or jointly with one or more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that we may incur to acquire, develop or commercialize additional products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any future approved products, which may vary significantly over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success or failure of preclinical studies and clinical trials for our product candidates or competing product candidates, or any other change in the competitive landscape of our industry, including consolidation among our competitors or collaboration partners. </w:t>
      </w:r>
    </w:p>
    <w:p>
      <w:pPr>
        <w:pStyle w:val="TextBody"/>
        <w:bidi w:val="0"/>
        <w:jc w:val="left"/>
        <w:rPr>
          <w:rFonts w:ascii="Times New Roman" w:hAnsi="Times New Roman"/>
          <w:color w:val="000000"/>
          <w:sz w:val="20"/>
        </w:rPr>
      </w:pPr>
      <w:r>
        <w:rPr>
          <w:rFonts w:ascii="Times New Roman" w:hAnsi="Times New Roman"/>
          <w:color w:val="000000"/>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jc w:val="left"/>
        <w:rPr>
          <w:rFonts w:ascii="Times New Roman" w:hAnsi="Times New Roman"/>
          <w:color w:val="000000"/>
          <w:sz w:val="20"/>
        </w:rPr>
      </w:pPr>
      <w:r>
        <w:rPr>
          <w:rFonts w:ascii="Times New Roman" w:hAnsi="Times New Roman"/>
          <w:color w:val="000000"/>
          <w:sz w:val="20"/>
        </w:rPr>
        <w:t xml:space="preserve">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operating guidance we may provide.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product development and regulatory process</w:t>
      </w:r>
    </w:p>
    <w:p>
      <w:pPr>
        <w:pStyle w:val="TextBody"/>
        <w:bidi w:val="0"/>
        <w:jc w:val="left"/>
        <w:rPr>
          <w:rFonts w:ascii="Times New Roman" w:hAnsi="Times New Roman"/>
          <w:sz w:val="20"/>
        </w:rPr>
      </w:pPr>
      <w:r>
        <w:rPr>
          <w:rFonts w:ascii="Times New Roman" w:hAnsi="Times New Roman"/>
          <w:b/>
          <w:i/>
          <w:color w:val="000000"/>
          <w:sz w:val="20"/>
        </w:rPr>
        <w:t>Our business is dependent on the successful development of our current and future product candidates. If we, alone or in collaboration, are unable to advance our current or future product candidates through clinical trials, obtain marketing approval and ultimately commercialize any of our product candidates, or we experience significant delays in doing so, our business will be materially harmed.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Our business is dependent on the successful development of our current and future product candidates. We are evaluating certain of our product candidates in both exploratory and pivotal clinical trials, both as monotherapy and in combination regimens, across multiple types of cancer including the RASolute 302, RASolute 303, RASolute 304, RASolute 305, RASolve 301 and RASolve 308. Our other programs are in various stages of clinical and preclinical development, and the development of certain programs remains subject to our continuing assessment of portfolio priorities. The success of our business, including our ability to finance our company and generate revenue from products in the future, which may never occur, will depend heavily on the successful development and eventual commercialization of our product candidates. Our current and future product candidates require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only recently completed our first NDA submission to the FDA, which has been accepted for review, and have not previously submitted similar applications to any comparable foreign regulatory authority, for any product candidate. An NDA or other relevant regulatory application must include extensive preclinical and clinical data and supporting information to establish that the product candidate is safe and effective for each desired indication. The NDA or other relevant application must also include significant information regarding the chemistry, manufacturing and controls (CMC) for the product. We cannot be certain that our current or future product candidates will be successful in our ongoing clinical trials or receive regulatory approval. Further, even if they are successful in clinical trials, our product candidates or any future product candidates may not receive regulatory approval. For example, we may not receive regulatory approval of our NDA for daraxonrasib despite the positive topline readout of RASolute 302. If we do not receive regulatory approvals for current or future product candidates, our business would be materially harmed. Even if we successfully obtain regulatory approval to market a product candidate, our revenue will depend, in part, upon the size of the markets in the territories for which we or collaborators gain regulatory approval and have commercial rights, as well as the availability of competitive products, whether there is sufficient third-party reimbursement and adoption by physicians. </w:t>
      </w:r>
    </w:p>
    <w:p>
      <w:pPr>
        <w:pStyle w:val="TextBody"/>
        <w:bidi w:val="0"/>
        <w:jc w:val="left"/>
        <w:rPr>
          <w:rFonts w:ascii="Times New Roman" w:hAnsi="Times New Roman"/>
          <w:color w:val="000000"/>
          <w:sz w:val="20"/>
        </w:rPr>
      </w:pPr>
      <w:r>
        <w:rPr>
          <w:rFonts w:ascii="Times New Roman" w:hAnsi="Times New Roman"/>
          <w:color w:val="000000"/>
          <w:sz w:val="20"/>
        </w:rPr>
        <w:t xml:space="preserve">We plan to seek regulatory approval to commercialize our product candidates both in the United States and in select foreign countries, alone or in collaboration. While the scope of regulatory approval generally is similar in other countries, in order to obtain separate regulatory approval in other countries we must comply with numerous and varying regulatory requirements of such countries.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 </w:t>
      </w:r>
    </w:p>
    <w:p>
      <w:pPr>
        <w:pStyle w:val="TextBody"/>
        <w:bidi w:val="0"/>
        <w:jc w:val="left"/>
        <w:rPr>
          <w:rFonts w:ascii="Times New Roman" w:hAnsi="Times New Roman"/>
          <w:color w:val="000000"/>
          <w:sz w:val="20"/>
        </w:rPr>
      </w:pPr>
      <w:r>
        <w:rPr>
          <w:rFonts w:ascii="Times New Roman" w:hAnsi="Times New Roman"/>
          <w:color w:val="000000"/>
          <w:sz w:val="20"/>
        </w:rPr>
        <w:t xml:space="preserve">The success of our current and future product candidates will depend on several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completion of clinical trials and preclinical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sufficiency of our financial and other resources to complete the necessary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allowance to proceed with clinical trials under Investigational New Drug applications (INDs) by the FDA or under comparable applications by comparable regulatory authorities for our planned clinical trials or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enrollment and completion of clinical trials, particularly where competitors may also be recruiting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from our clinical programs that supports an acceptable risk-benefit profile of our product candidates in the intended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and maintenance of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agreements with third-party manufacturers for clinical supply for our clinical trials and commercial manufacturing, if one of our product candidates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entry into collaborations to further the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our portfolio of intellectual property rights, including patents,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and defending intellectual property rights and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regulatory exclusivity for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launching commercial sales of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the product candidate’s benefits and uses, if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duration and severity of potential side effects or other safety issues experienced with our product candidates prior to or following any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healthcare coverage and adequate reimbursement from third-party payors. </w:t>
      </w:r>
    </w:p>
    <w:p>
      <w:pPr>
        <w:pStyle w:val="TextBody"/>
        <w:bidi w:val="0"/>
        <w:jc w:val="left"/>
        <w:rPr>
          <w:rFonts w:ascii="Times New Roman" w:hAnsi="Times New Roman"/>
          <w:color w:val="000000"/>
          <w:sz w:val="20"/>
        </w:rPr>
      </w:pPr>
      <w:r>
        <w:rPr>
          <w:rFonts w:ascii="Times New Roman" w:hAnsi="Times New Roman"/>
          <w:color w:val="000000"/>
          <w:sz w:val="20"/>
        </w:rPr>
        <w:t xml:space="preserve">If we or our collaborators are not successful with respect to one or more of these factors in a timely manner or at all, we could experience significant delays or an inability to successfully commercialize our current or future product candidates, which would materially harm our business. If we or our collaborators do not receive marketing approvals for any of our product candidates, we may not be able to continue our operations. </w:t>
      </w:r>
    </w:p>
    <w:p>
      <w:pPr>
        <w:pStyle w:val="TextBody"/>
        <w:bidi w:val="0"/>
        <w:jc w:val="left"/>
        <w:rPr>
          <w:rFonts w:ascii="Times New Roman" w:hAnsi="Times New Roman"/>
          <w:sz w:val="20"/>
        </w:rPr>
      </w:pPr>
      <w:r>
        <w:rPr>
          <w:rFonts w:ascii="Times New Roman" w:hAnsi="Times New Roman"/>
          <w:b/>
          <w:i/>
          <w:color w:val="000000"/>
          <w:sz w:val="20"/>
        </w:rPr>
        <w:t>Preclinical development is uncertain. Our preclinical programs may experience delays or may never advance to clinical trials, which would adversely affect our ability to obtain regulatory approvals or commercialize our product candidates on a timely basis or at all, which would have an adverse effect on our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order to obtain approval from the FDA or comparable foreign authorities to market a new small molecule product, we must demonstrate proof of safety and efficacy in humans. To meet these requirements, we will have to conduct adequate and well-controlled clinical trials. Before we can commence clinical trials for a product candidate, we must complete extensive preclinical studies that support our planned INDs in the United States. We cannot be certain of the timely completion or outcome of our preclinical studies and cannot predict if the FDA or foreign authorities will accept our proposed clinical programs or if the outcome of our preclinical studies will ultimately support further development of our programs. As a result, we cannot be sure that we will be able to submit INDs or similar applications on the timelines we expect, if at all, and we cannot be sure that submission of INDs or similar applications will result in the FDA or other regulatory authorities allowing additional clinical trials to begin. </w:t>
      </w:r>
    </w:p>
    <w:p>
      <w:pPr>
        <w:pStyle w:val="TextBody"/>
        <w:bidi w:val="0"/>
        <w:jc w:val="left"/>
        <w:rPr>
          <w:rFonts w:ascii="Times New Roman" w:hAnsi="Times New Roman"/>
          <w:color w:val="000000"/>
          <w:sz w:val="20"/>
        </w:rPr>
      </w:pPr>
      <w:r>
        <w:rPr>
          <w:rFonts w:ascii="Times New Roman" w:hAnsi="Times New Roman"/>
          <w:color w:val="000000"/>
          <w:sz w:val="20"/>
        </w:rPr>
        <w:t xml:space="preserve">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Moreover, we may be affected by delays or decisions to discontinue development associated with the studies of certain programs that are the responsibility of our current or potential future collaborators over which we have no control. The commencement and rate of completion of preclinical studies and clinical trials for a product candidate may be delayed by many factors, including, for example: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inability to generate sufficient preclinical or other</w:t>
      </w:r>
      <w:r>
        <w:rPr>
          <w:color w:val="000000"/>
        </w:rPr>
        <w:t xml:space="preserve"> </w:t>
      </w:r>
      <w:r>
        <w:rPr>
          <w:rFonts w:ascii="Times New Roman" w:hAnsi="Times New Roman"/>
          <w:i/>
          <w:color w:val="000000"/>
          <w:sz w:val="20"/>
        </w:rPr>
        <w:t xml:space="preserve">in vivo </w:t>
      </w:r>
      <w:r>
        <w:rPr>
          <w:rFonts w:ascii="Times New Roman" w:hAnsi="Times New Roman"/>
          <w:color w:val="000000"/>
          <w:sz w:val="20"/>
        </w:rPr>
        <w:t>or</w:t>
      </w:r>
      <w:r>
        <w:rPr>
          <w:color w:val="000000"/>
        </w:rPr>
        <w:t xml:space="preserve">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data to support the initiation of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a consensus with regulatory agencies on study design and obtaining regulatory allowance or authorization to commence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sufficient quantities of starting materials, intermediate materials and our product candidates for use in preclinical studies and clinical trials from third-party suppliers on a timely basis.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Moreover, even if clinical trials do begin for our preclinical programs, our development efforts may not be successful, and clinical trials that we conduct or that third parties conduct on our behalf may not demonstrate sufficient safety or efficacy to obtain the requisite regulatory approvals for any of our product candidates. Even if we obtain positive results from preclinical studies or initial clinical trials, we may not achieve the same success in future trials. </w:t>
      </w:r>
    </w:p>
    <w:p>
      <w:pPr>
        <w:pStyle w:val="TextBody"/>
        <w:bidi w:val="0"/>
        <w:jc w:val="left"/>
        <w:rPr>
          <w:rFonts w:ascii="Times New Roman" w:hAnsi="Times New Roman"/>
          <w:sz w:val="20"/>
        </w:rPr>
      </w:pPr>
      <w:r>
        <w:rPr>
          <w:rFonts w:ascii="Times New Roman" w:hAnsi="Times New Roman"/>
          <w:b/>
          <w:i/>
          <w:color w:val="000000"/>
          <w:sz w:val="20"/>
        </w:rPr>
        <w:t>The results of preclinical studies and early-stage clinical trials may not be predictive of future results.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results of preclinical studies may not be predictive of the results of clinical trials, and the results of early-stage clinical trials may not be predictive of the results of the later-stage clinical trials. Product candidates in later stages of clinical trials may fail to show the desired safety and efficacy despite having progressed through preclinical studies and initial clinical trials. For example, historically, targeted therapies have been susceptible to resistance mutations in cancer cells that facilitate escape from anti-tumor response. Should such resistance mutations arise in patients being treated with our product candidates, the clinical benefit associated with those candidates may be compromised.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evaluating our product candidates in registrational trials, including RASolute 302, RASolute 303, RASolute 304, RASolute 305, RASolute 309, RASolve 301 and RASolve 308, and are currently planning additional registrational clinical trials for daraxonrasib and our other RAS(ON) inhibitors. These studies may not produce results that are consistent with expectations based on our earlier clinical observations for these compounds. Similarly, results from our registrational trials may not be predictive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results in other clinical trials evaluating different lines of therapy or tumor types. Our plans for these and future planned registrational trials are, and will be based on our observations from the results of early-stage clinical trials using the same product candidates. Based on data from early-stage clinical trials, we will select, subject to regulatory feedback, the proposed indication, line of therapy, study design and dose and dose schedule for our registrational studies. However, these registrational studies, if initiated, may not be successful and may not produce results that are consistent with our expectations, based on our earlier clinical observations, including because other trial designs may have greater likelihood of development success. Further, we recently announced that RASolute 302 met all primary and key secondary endpoints, including PFS and OS. However, this success may not be predictive of the results of clinical trials in other lines of therapy or tumor types.</w:t>
      </w:r>
    </w:p>
    <w:p>
      <w:pPr>
        <w:pStyle w:val="TextBody"/>
        <w:bidi w:val="0"/>
        <w:jc w:val="left"/>
        <w:rPr>
          <w:rFonts w:ascii="Times New Roman" w:hAnsi="Times New Roman"/>
          <w:color w:val="000000"/>
          <w:sz w:val="20"/>
        </w:rPr>
      </w:pPr>
      <w:r>
        <w:rPr>
          <w:rFonts w:ascii="Times New Roman" w:hAnsi="Times New Roman"/>
          <w:color w:val="000000"/>
          <w:sz w:val="20"/>
        </w:rPr>
        <w:t xml:space="preserve">There can be no assurance that any of our current or future clinical trials will ultimately be successful or support further clinical development of any of our product candidates. There is a high failure rate for product candidates proceeding through clinical trials. A number of companies in the pharmaceutical and biotechnology industries have suffered significant setbacks in clinical development even after achieving promising results in earlier studies. Even if clinical trials with our product candidates are completed, the results may not be sufficient to obtain regulatory approval of any products. </w:t>
      </w:r>
    </w:p>
    <w:p>
      <w:pPr>
        <w:pStyle w:val="TextBody"/>
        <w:bidi w:val="0"/>
        <w:jc w:val="left"/>
        <w:rPr>
          <w:rFonts w:ascii="Times New Roman" w:hAnsi="Times New Roman"/>
          <w:sz w:val="20"/>
        </w:rPr>
      </w:pPr>
      <w:r>
        <w:rPr>
          <w:rFonts w:ascii="Times New Roman" w:hAnsi="Times New Roman"/>
          <w:b/>
          <w:i/>
          <w:color w:val="000000"/>
          <w:sz w:val="20"/>
        </w:rPr>
        <w:t>If we encounter difficulties enrolling patients in our clinical trials, our clinical development activities could be delayed or otherwise be adversely affected.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timely completion of clinical trials in accordance with their protocols depends, among other things, on the ability to enroll a sufficient number of patients who remain in the trial until its conclusion. We may not be able to initiate or continue clinical trials for our product candidates if we are unable to locate and enroll a sufficient number of eligible patients to participate in these trials to such trial’s conclusion as required by the FDA or other comparable regulatory authorities. We or our future collaborators may experience difficulties in patient enrollment in our clinical trials for a variety of reasons. The enrollment of patients depends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eligibility criteria defined in the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enroll a sufficient number of patients with mutations in the signaling pathways that our therapies are designed to target;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patient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study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of our product candidate being studied in relation to other available therapies, including any new products that may be approved for the indications we are investigating;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or anticipated availability of our product candidates, including daraxonrasib, as approved therapies or through pre-license patient access programs, and clinicians’ and patients’ views regarding treatment sequencing or the potential advantages of receiving an approved therapy rather than participating in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obtain and maintain patient consents for participation in our clinical trials and, where appropriate, biopsies for future patient enrichment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patients enrolled in clinical trials will not remain on the trial through the completion of evaluation;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clinical trial investigators to enroll patients in cases of outbreak of disease, geopolitical or other conflicts or natural disasters, including as a result of the ongoing conflicts between Russia and Ukraine and in the Middle East.</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our clinical trials will compete with approved therapies, including sotorasib and adagrasib, as well as other clinical trials for product candidates that are in the same therapeutic areas (and that seek to evaluate patients with cancer cells having the same mutations), particularly for patients having KRAS G12C, KRAS G12D or KRAS G12V mutations, as our current and potential future product candidates. See “Item 1. Business—Competition” of our Annual Report on Form 10-K for the year ended December 31, 2025 for additional information regarding our competitors. This competition and competition with approved therapies will reduce the number and types of patients available for clinical trials involving our product candidates, because some patients who might have opted to enroll in our trials may instead opt to pursue a treatment regimen using an approved therapy or enroll in a trial conducted by one of our competitors. Because the number of qualified clinical investigators is limited, we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Delays in patient enrollment may result in increased costs or may affect the timing or outcome of clinical trials, which could prevent completion of these trials and adversely affect our ability to advance the development of our product candidates.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approval or availability of one or more of our product candidates in a given indication, either through commercial operations or through expanded access programs, could reduce the number and types of patients available for our other clinical trials, slow enrollment, increase trial costs, require us to modify trial designs or eligibility criteria, delay completion of such trials or adversely affect our ability to advance or obtain approval for additional indications or regimens. For example, patients or physicians may seek to preserve the ability to receive an approved product candidate in a later line of therapy rather than participate in a clinical trial that could affect treatment sequencing, eligibility for subsequent therapies or access to approved therapy.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and our collaborators are currently developing, and may in the future develop, our product candidates in combination with other therapies, which exposes us to additional risks.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Some of our collaborators’ development efforts involve combinations of our product candidates with their own product candidates and therapeutics that have been approved for marketing by the FDA or similar regulatory authority. For example, the development of our RAS(ON) inhibitors includes combinations with existing therapies, including chemotherapy agents, a PD-1/VEGF bispecific antibody, a PARP inhibitor, PRMT5 inhibitors, an anti-EGFR agent and a PD-1 inhibitor. We are also pursuing combinations of our different product candidates such as zoldonrasib in combination with daraxonrasib in patients with previously treated RAS G12D PDAC. In the future our product candidates may be developed in combination with one or more additional approved therapies. Most of our current clinical collaborations relate to Phase 1 clinical trials and may not extend to, or obligate our collaborators to participate in, later-stage development, including registrational studies, regulatory approval activities or commercialization. Even if a combination demonstrates promising results in an early-stage clinical trial, we or a collaborator may determine not to proceed with a registrational study or pursue marketing approval for the combination, including due to changes in its strategic priorities, development plans, safety or tolerability results, available resources or assessment of the clinical or commercial opportunity. If a collaborator elects not to continue development of a combination that we wish to pursue, we may need to identify an alternative collaborator or assume additional development activities, costs and responsibilities, including securing access to the collaborator’s therapy. We may be unable to do so on acceptable terms or at all, which could delay, limit or prevent the further development, regulatory approval or commercialization of the applicable combination. If we determine not to continue development of a combination with a third party collaborator, we will forego any benefits that may be associated with that combination.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Even if any of our product candidates receive marketing approval or are commercialized for use in combination with other existing therapies, we would continue to be subject to the risks that the FDA or similar regulatory authorities outside of the United States could revoke approval of the other therapy used in combination with our product candidate, or that safety, efficacy, manufacturing or supply issues could arise with these other therapies. This could result in our own products being removed from the market or being less successful commercially. Combination therapies are commonly used for the treatment of cancer, and we would be subject to similar risks if we develop any of our product candidates for use in combination with other drugs or for indications other than cancer. In addition, developing combination therapies using approved therapeutics, which we are doing and may continue to do for our product candidates, exposes us to additional clinical risks, such as the requirement that we demonstrate the safety and efficacy of each active component of any combination regimen we may develop, including any incremental benefits associated with our product candidates, which may prove challenging.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or our collaborators may also evaluate our current or future product candidates in combination with one or more other cancer therapies that have not yet been approved for marketing by the FDA or similar regulatory authorities outside of the United States or with approved cancer therapies at an unapproved dose and/or schedule, and/or with approved cancer therapies in unapproved indications. For example, the development of our RAS(ON) inhibitors includes combinations with other product candidates in our portfolio, including other RAS(ON) inhibitors. We will not be able to market and sell any of our product candidates in combination with any such cancer therapies, or at any such dose, schedule or indication, that does not ultimately obtain marketing approval.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the FDA or similar regulatory authorities outside of the United States do not approve the other therapies we choose to evaluate in combination with any of our product candidates or revoke their approval of these other therapies, or if safety, efficacy, manufacturing or supply issues arise with these other therapies, we may be unable to obtain approval of or market our product candidates. </w:t>
      </w:r>
    </w:p>
    <w:p>
      <w:pPr>
        <w:pStyle w:val="TextBody"/>
        <w:bidi w:val="0"/>
        <w:jc w:val="left"/>
        <w:rPr>
          <w:rFonts w:ascii="Times New Roman" w:hAnsi="Times New Roman"/>
          <w:sz w:val="20"/>
        </w:rPr>
      </w:pPr>
      <w:r>
        <w:rPr>
          <w:rFonts w:ascii="Times New Roman" w:hAnsi="Times New Roman"/>
          <w:b/>
          <w:i/>
          <w:color w:val="000000"/>
          <w:sz w:val="20"/>
        </w:rPr>
        <w:t>We face significant competition, and if our competitors develop and market products that are more effective, safer or less expensive than our product candidates, our commercial opportunities will be negatively impacted.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our product candidates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are a number of companies developing or marketing treatments for cancer, including many major pharmaceutical and biotechnology companies. These treatments consist of small molecule drug products, biologics, cell-based therapies and traditional chemotherapy. Smaller and other early-stage companies may also prove to be significant competitors. In addition, academic research departments and public and private research institutions may be conducting research on compounds that could prove to be competitive.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aware of several pharmaceutical companies developing products in the same class as our investigational products. See “Item 1. Business—Competition” of our Annual Report on Form 10-K for the year ended December 31, 2025 for additional information regarding our competitors.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FDA or other marketing approval for their products more rapidly than we may obtain approval for ours, which could result in our competitors establishing a strong market position before we are able to enter the market. Even if our product candidates achieve marketing approval, they may be priced at a significant premium over competitive products if any have been approved by then, resulting in reduced competitiveness.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 </w:t>
      </w:r>
    </w:p>
    <w:p>
      <w:pPr>
        <w:pStyle w:val="TextBody"/>
        <w:bidi w:val="0"/>
        <w:jc w:val="left"/>
        <w:rPr>
          <w:rFonts w:ascii="Times New Roman" w:hAnsi="Times New Roman"/>
          <w:sz w:val="20"/>
        </w:rPr>
      </w:pPr>
      <w:r>
        <w:rPr>
          <w:rFonts w:ascii="Times New Roman" w:hAnsi="Times New Roman"/>
          <w:b/>
          <w:i/>
          <w:color w:val="000000"/>
          <w:sz w:val="20"/>
        </w:rPr>
        <w:t>The regulatory approval processes of the FDA, the EMA and comparable foreign authorities are lengthy, time-consuming and inherently unpredictable, and if we or our potential future collaboration partners are ultimately unable to obtain regulatory approval for our product candidates, our business will be substantially harmed.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current or future product candidates will ever obtain regulatory approval. </w:t>
      </w:r>
    </w:p>
    <w:p>
      <w:pPr>
        <w:pStyle w:val="TextBody"/>
        <w:bidi w:val="0"/>
        <w:jc w:val="left"/>
        <w:rPr>
          <w:rFonts w:ascii="Times New Roman" w:hAnsi="Times New Roman"/>
          <w:color w:val="000000"/>
          <w:sz w:val="20"/>
        </w:rPr>
      </w:pPr>
      <w:r>
        <w:rPr>
          <w:rFonts w:ascii="Times New Roman" w:hAnsi="Times New Roman"/>
          <w:color w:val="000000"/>
          <w:sz w:val="20"/>
        </w:rPr>
        <w:t xml:space="preserve">Our current and future product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the EMA or comparable foreign regulatory authorities that a product candidate is safe or effective for its proposed indication or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the EMA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or comparable foreign regulatory authorities may disagree with our interpretation of data from clinical trials or preclinical studies;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clinical trials of our product candidates may not be sufficient to support the submission of an NDA to the FDA or other submission or to obtain regulatory approval in the United States, the European Union (EU) or elsewhere;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the EMA or comparable foreign regulatory authorities may significantly change in a manner rendering our clinical data insufficient for approval. </w:t>
      </w:r>
    </w:p>
    <w:p>
      <w:pPr>
        <w:pStyle w:val="TextBody"/>
        <w:bidi w:val="0"/>
        <w:jc w:val="left"/>
        <w:rPr>
          <w:rFonts w:ascii="Times New Roman" w:hAnsi="Times New Roman"/>
          <w:color w:val="000000"/>
          <w:sz w:val="20"/>
        </w:rPr>
      </w:pPr>
      <w:r>
        <w:rPr>
          <w:rFonts w:ascii="Times New Roman" w:hAnsi="Times New Roman"/>
          <w:color w:val="000000"/>
          <w:sz w:val="20"/>
        </w:rPr>
        <w:t>This lengthy approval process as well as the unpredictability of clinical trial results may result in our or our future collaborators’ failure to obtain regulatory approval to market any of our product candidates. The FDA, the EMA and other comparable foreign authorities have substantial discretion in the approval process, and determining when or whether regulatory approval will be obtained for any product candidate that we develop. Even if we believe the data collected from future clinical trials of our product candidates are promising, this data may not be sufficient to support approval by the FDA or any other regulatory authority.</w:t>
      </w:r>
    </w:p>
    <w:p>
      <w:pPr>
        <w:pStyle w:val="TextBody"/>
        <w:bidi w:val="0"/>
        <w:jc w:val="left"/>
        <w:rPr>
          <w:rFonts w:ascii="Times New Roman" w:hAnsi="Times New Roman"/>
          <w:color w:val="000000"/>
          <w:sz w:val="20"/>
        </w:rPr>
      </w:pPr>
      <w:r>
        <w:rPr>
          <w:rFonts w:ascii="Times New Roman" w:hAnsi="Times New Roman"/>
          <w:color w:val="000000"/>
          <w:sz w:val="20"/>
        </w:rPr>
        <w:t>In addition, even if we or our future collaborators obtain approval, regulatory authorities may approve any of our product candidates for fewer or more limited indications than we have sought, may not approve the prices we may desire to charge for our products, may grant approvals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prospects for our product candidates.</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while the FDA recently accepted our NDA for daraxonrasib for review, we cannot be certain that any of our programs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w:t>
      </w:r>
    </w:p>
    <w:p>
      <w:pPr>
        <w:pStyle w:val="TextBody"/>
        <w:bidi w:val="0"/>
        <w:jc w:val="left"/>
        <w:rPr>
          <w:rFonts w:ascii="Times New Roman" w:hAnsi="Times New Roman"/>
          <w:sz w:val="20"/>
        </w:rPr>
      </w:pPr>
      <w:r>
        <w:rPr>
          <w:rFonts w:ascii="Times New Roman" w:hAnsi="Times New Roman"/>
          <w:b/>
          <w:i/>
          <w:color w:val="000000"/>
          <w:sz w:val="20"/>
        </w:rPr>
        <w:t>Clinical product development involves a lengthy and expensive process, with uncertain outcomes. We or our potential future collaboration partners may experience delays in completing, or ultimately be unable to complete, the development and commercialization of our current and future product candidates.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To obtain the requisite regulatory approvals to commercialize any of our product candidates, we must demonstrate through extensive preclinical studies and clinical trials that our products are safe and effective in humans. Clinical trials are expensive and can take many years to complete, and their outcomes are inherently uncertain. Failure can occur at any time during the clinical trial process, and future clinical trials involving our product candidates may not be successful. </w:t>
      </w:r>
    </w:p>
    <w:p>
      <w:pPr>
        <w:pStyle w:val="TextBody"/>
        <w:bidi w:val="0"/>
        <w:jc w:val="left"/>
        <w:rPr>
          <w:rFonts w:ascii="Times New Roman" w:hAnsi="Times New Roman"/>
          <w:color w:val="000000"/>
          <w:sz w:val="20"/>
        </w:rPr>
      </w:pPr>
      <w:r>
        <w:rPr>
          <w:rFonts w:ascii="Times New Roman" w:hAnsi="Times New Roman"/>
          <w:color w:val="000000"/>
          <w:sz w:val="20"/>
        </w:rPr>
        <w:t xml:space="preserve">We may experience delays in completing our clinical trials or preclinical studies and initiating or completing additional clinical trials. We may also experience numerous unforeseen events during our clinical trials that could delay or prevent our ability to complete these clinical trials on the timelines we expect or otherwise delay or prevent our ability to receive marketing approval or commercialize our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by regulators, institutional review boards (IRBs) or ethics committees, which may cause us or our investigators to not commence or conduct a clinical trial at a prospective trial site or at all sites and cause us to pause or stop an in-process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or failing to reach, agreement on acceptable terms with prospective trial sites and prospective contract research organizations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identifying, recruiting and training suitable clinical investigators;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required for clinical trials being larger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enrolling a sufficient number of patients for our clinical trials or enrollment in our trials being slower than we anticipate, including in both cases because appropriate patients must have the relevant mutations in the signaling pathways our therapies are designed to target;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participants dropping out of our clinical trials or failing to return for post-treatment follow-up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or investigators not complying with our clinical trial protocols, particularly with respect to intermittent dosing, which we are evaluating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experiencing severe or serious unexpected drug-related adverse effects;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occurrence of serious adverse events in trials of the same class of agents conducted by other companies that could be considered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selection of clinical endpoints that require prolonged periods of clinical observation or extended analysis of the resulting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materials for our product candidates or other materials necessary to conduct clinical trials may be insufficient or inadequate;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adequate funding to continue a clinical trial, or costs being greater than we anticipate;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collaborators may delay the development process by waiting to take action or focusing on other priorities. </w:t>
      </w:r>
    </w:p>
    <w:p>
      <w:pPr>
        <w:pStyle w:val="TextBody"/>
        <w:bidi w:val="0"/>
        <w:jc w:val="left"/>
        <w:rPr>
          <w:rFonts w:ascii="Times New Roman" w:hAnsi="Times New Roman"/>
          <w:color w:val="000000"/>
          <w:sz w:val="20"/>
        </w:rPr>
      </w:pPr>
      <w:r>
        <w:rPr>
          <w:rFonts w:ascii="Times New Roman" w:hAnsi="Times New Roman"/>
          <w:color w:val="000000"/>
          <w:sz w:val="20"/>
        </w:rPr>
        <w:t>We could encounter delays if a clinical trial is suspended or terminated by us, by the IRBs or ethics committees of the institutions in which any such trial is being conducted, by the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conducting clinical trials in foreign countries, as we or our collaborators may do for our current or future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these foreign countries.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Principal investigators for our clinical trials may serve as scientific advisors or consultants to us from time to time and receive compensation in connection with their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marketing applications by the FDA or comparable foreign regulatory authority, as the case may be, for our product candidates and may ultimately lead to the denial of regulatory approval of one or more of our product candidates. </w:t>
      </w:r>
    </w:p>
    <w:p>
      <w:pPr>
        <w:pStyle w:val="TextBody"/>
        <w:bidi w:val="0"/>
        <w:jc w:val="left"/>
        <w:rPr>
          <w:rFonts w:ascii="Times New Roman" w:hAnsi="Times New Roman"/>
          <w:color w:val="000000"/>
          <w:sz w:val="20"/>
        </w:rPr>
      </w:pPr>
      <w:r>
        <w:rPr>
          <w:rFonts w:ascii="Times New Roman" w:hAnsi="Times New Roman"/>
          <w:color w:val="000000"/>
          <w:sz w:val="20"/>
        </w:rPr>
        <w:t>If we or our collaborators experience delays in the completion of, or termination of, any clinical trial of our product candidates, the commercial prospects of our product candidates will be harmed, and our ability to generate revenues from any of these product candidates will be delayed. In addition, any delays in completing clinical trials for our product candidates will increase our costs, slow down our product candidate development and approval process and jeopardize our ability to commence product sales and generate revenues. Clinical trial delays could also allow our competitors to bring products to market before we do or shorten any periods during which we have the exclusive right to commercialize our product candidates and impair our ability to commercialize our product candidates.</w:t>
      </w:r>
    </w:p>
    <w:p>
      <w:pPr>
        <w:pStyle w:val="TextBody"/>
        <w:bidi w:val="0"/>
        <w:jc w:val="left"/>
        <w:rPr>
          <w:rFonts w:ascii="Times New Roman" w:hAnsi="Times New Roman"/>
          <w:color w:val="000000"/>
          <w:sz w:val="20"/>
        </w:rPr>
      </w:pPr>
      <w:r>
        <w:rPr>
          <w:rFonts w:ascii="Times New Roman" w:hAnsi="Times New Roman"/>
          <w:color w:val="000000"/>
          <w:sz w:val="20"/>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repealed the EU Clinical Trials Directive, became applicable on January 31, 2022, with a three-year transition period. The CTR provides for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clinical trial application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As of February 1, 2025, all clinical trials (including those which are ongoing) in the EU are subject to the provisions of the CTR. Compliance with the CTR requirements by us and our third-party service providers, such as our CROs, may impact our development plans.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United Kingdom’s (UK) regulatory framework in relation to clinical trials is derived from pre-existing EU legislation (as implemented into UK law, through secondary legislation). In April 2026, the Medicines for Human Use (Clinical Trials) Amendment Regulations 2025 became applicable. The amendment aims to provide a more flexible regime to make it easier to conduct clinical trials in the UK, increase the transparency of clinical trials conducted in the UK and make clinical trials more patient centered.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are slow or unable to adapt to changes in existing requirements or the adoption of new requirements or policies governing clinical trials, our development plans may be impacted.</w:t>
      </w:r>
    </w:p>
    <w:p>
      <w:pPr>
        <w:pStyle w:val="TextBody"/>
        <w:bidi w:val="0"/>
        <w:jc w:val="left"/>
        <w:rPr>
          <w:rFonts w:ascii="Times New Roman" w:hAnsi="Times New Roman"/>
          <w:color w:val="000000"/>
          <w:sz w:val="20"/>
        </w:rPr>
      </w:pPr>
      <w:r>
        <w:rPr>
          <w:rFonts w:ascii="Times New Roman" w:hAnsi="Times New Roman"/>
          <w:color w:val="000000"/>
          <w:sz w:val="20"/>
        </w:rPr>
        <w:t xml:space="preserve">Many of the factors described above that cause, or lead to, a delay in the commencement or completion of clinical trials may also ultimately lead to the denial of regulatory approval of our product candidates or result in the development of our product candidates being stopped early. </w:t>
      </w:r>
    </w:p>
    <w:p>
      <w:pPr>
        <w:pStyle w:val="TextBody"/>
        <w:bidi w:val="0"/>
        <w:jc w:val="left"/>
        <w:rPr>
          <w:rFonts w:ascii="Times New Roman" w:hAnsi="Times New Roman"/>
          <w:sz w:val="20"/>
        </w:rPr>
      </w:pPr>
      <w:r>
        <w:rPr>
          <w:rFonts w:ascii="Times New Roman" w:hAnsi="Times New Roman"/>
          <w:b/>
          <w:i/>
          <w:color w:val="000000"/>
          <w:sz w:val="20"/>
        </w:rPr>
        <w:t>Interim, “topline” and preliminary data from our clinical trials may differ materially from the final data.</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disclose interim data from our clinical trials. For example, we have reported interim Phase 1 single agent clinical data for daraxonrasib, elironrasib and zoldonrasib. In each case, this interim data included a limited number of patients and time of exposure to the study drug. Interim data from clinical trials are subject to the risk that one or more of the clinical outcomes may materially change as patient enrollment continues and more data on existing patients become available. When a clinical trial is ongoing, the final results from the trial may be materially different from those reflected in any interim data we report.</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including decisions to initiate pivotal clinical trials based on then-available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t>
      </w:r>
    </w:p>
    <w:p>
      <w:pPr>
        <w:pStyle w:val="TextBody"/>
        <w:bidi w:val="0"/>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w:t>
      </w:r>
    </w:p>
    <w:p>
      <w:pPr>
        <w:pStyle w:val="TextBody"/>
        <w:bidi w:val="0"/>
        <w:jc w:val="left"/>
        <w:rPr>
          <w:rFonts w:ascii="Times New Roman" w:hAnsi="Times New Roman"/>
          <w:sz w:val="20"/>
        </w:rPr>
      </w:pPr>
      <w:r>
        <w:rPr>
          <w:rFonts w:ascii="Times New Roman" w:hAnsi="Times New Roman"/>
          <w:b/>
          <w:i/>
          <w:color w:val="000000"/>
          <w:sz w:val="20"/>
        </w:rPr>
        <w:t>Our current or future product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Results of our trials could reveal a high and unacceptable severity and prevalence of side effects or unexpected characteristics. Undesirable or clinically unmanageable side effects could occur and cause us or regulatory authorities to interrupt, delay or halt clinical trials and could result in a more restrictive label or the delay or denial of marketing approval by the FDA or comparable foreign regulatory authorities. Any treatment-related side effects could also affect patient recruitment in the relevant trial or other current or future trials involving the same product candidate or other product candidates, or the ability of enrolled patients to complete the trial, and could result in potential product liability claims.</w:t>
      </w:r>
    </w:p>
    <w:p>
      <w:pPr>
        <w:pStyle w:val="TextBody"/>
        <w:bidi w:val="0"/>
        <w:jc w:val="left"/>
        <w:rPr>
          <w:rFonts w:ascii="Times New Roman" w:hAnsi="Times New Roman"/>
          <w:color w:val="000000"/>
          <w:sz w:val="20"/>
        </w:rPr>
      </w:pPr>
      <w:r>
        <w:rPr>
          <w:rFonts w:ascii="Times New Roman" w:hAnsi="Times New Roman"/>
          <w:color w:val="000000"/>
          <w:sz w:val="20"/>
        </w:rPr>
        <w:t>For example, the safety and tolerability data we have released from the daraxonrasib, elironrasib and zoldonrasib studies included adverse events (AEs), including serious adverse events (SAEs) and AEs that led to dose interruption or reduction.</w:t>
      </w:r>
    </w:p>
    <w:p>
      <w:pPr>
        <w:pStyle w:val="TextBody"/>
        <w:bidi w:val="0"/>
        <w:jc w:val="left"/>
        <w:rPr>
          <w:rFonts w:ascii="Times New Roman" w:hAnsi="Times New Roman"/>
          <w:color w:val="000000"/>
          <w:sz w:val="20"/>
        </w:rPr>
      </w:pPr>
      <w:r>
        <w:rPr>
          <w:rFonts w:ascii="Times New Roman" w:hAnsi="Times New Roman"/>
          <w:color w:val="000000"/>
          <w:sz w:val="20"/>
        </w:rPr>
        <w:t>Although our current and future product candidates will undergo safety testing to the extent possible and, where applicable, under such conditions discussed with regulatory authorities, not all adverse effects of drugs can be predicted or anticipated.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Unforeseen side effects could arise either during clinical development or, if such side effects are rarer, following approval or commercialization after exposure to additional patients. We cannot predict if ongoing or future clinical trials will demonstrate that our product candidates are safe in settings they are being developed.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Furthermore, certain of our product candidates are currently being, and may in the future be, co-administered with approved or experimental therapies. These combinations may have additional side effects, including those that could lead us to discontinue the studies. The uncertainty resulting from the use of our product candidates in combination with other therapies may make it difficult to accurately predict side effects in future clinical trials.</w:t>
      </w:r>
    </w:p>
    <w:p>
      <w:pPr>
        <w:pStyle w:val="TextBody"/>
        <w:bidi w:val="0"/>
        <w:jc w:val="left"/>
        <w:rPr>
          <w:rFonts w:ascii="Times New Roman" w:hAnsi="Times New Roman"/>
          <w:color w:val="000000"/>
          <w:sz w:val="20"/>
        </w:rPr>
      </w:pPr>
      <w:r>
        <w:rPr>
          <w:rFonts w:ascii="Times New Roman" w:hAnsi="Times New Roman"/>
          <w:color w:val="000000"/>
          <w:sz w:val="20"/>
        </w:rPr>
        <w:t xml:space="preserve">If any of our product candidates receives marketing approval and we or others later identify undesirable side effects caused by such products,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their approval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recall a product or change the way such product is administered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restrictions may be imposed on the marketing of the particular product or the manufacturing processes for the product or any component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such as a “black box” warning or a contraindication;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implement a risk evaluation and mitigation strategy (REMS) or create a medication guide outlining the risks of such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may become less competitive;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jc w:val="left"/>
        <w:rPr>
          <w:rFonts w:ascii="Times New Roman" w:hAnsi="Times New Roman"/>
          <w:color w:val="000000"/>
          <w:sz w:val="20"/>
        </w:rPr>
      </w:pPr>
      <w:r>
        <w:rPr>
          <w:rFonts w:ascii="Times New Roman" w:hAnsi="Times New Roman"/>
          <w:color w:val="000000"/>
          <w:sz w:val="20"/>
        </w:rPr>
        <w:t xml:space="preserve">Any of the foregoing events could prevent us from achieving or maintaining market acceptance of the particular product candidate, if approved. In addition, if one or more of our product candidates prove to be unsafe, our entire technology platform and pipeline could be affected. </w:t>
      </w:r>
    </w:p>
    <w:p>
      <w:pPr>
        <w:pStyle w:val="TextBody"/>
        <w:bidi w:val="0"/>
        <w:jc w:val="left"/>
        <w:rPr>
          <w:rFonts w:ascii="Times New Roman" w:hAnsi="Times New Roman"/>
          <w:sz w:val="20"/>
        </w:rPr>
      </w:pPr>
      <w:r>
        <w:rPr>
          <w:rFonts w:ascii="Times New Roman" w:hAnsi="Times New Roman"/>
          <w:b/>
          <w:i/>
          <w:color w:val="000000"/>
          <w:sz w:val="20"/>
        </w:rPr>
        <w:t>Even if we complete the necessary preclinical studies and clinical trials, the marketing approval process is expensive, time-consuming and uncertain and may prevent us or any of our existing or potential future collaboration partners from obtaining approvals for the commercialization of any of our product candidates.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Any of our current or future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our current or future product candidates will ever obtain regulatory approval. We have no experience submitting and supporting the applications necessary to gain marketing approvals and expect to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of our product candidates may not be effective, may be only moderately effective, or may prove to have undesirable or unintended side effects, toxicities or other characteristics that may preclude our obtaining marketing approval or prevent or limit commercial use.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For instance, the EU pharmaceutical legislation has been undergoing a complete review process, in the context of the Pharmaceutical Strategy for Europe initiative, launched by the European Commission in November 2020. The European Commission’s proposal for revision of several legislative instruments related to medicinal products was published in April 2023. The proposed changes were since discussed and negotiated by the European Parliament and the Council of the EU as part of the EU ordinary legislative process. In April 2024, the European Parliament adopted its position on the legislative proposals and, in June 2025, the Council of the EU adopted its position. A provisional agreement on the text was reached in December 2025. Following positive votes by Member States and the European Parliament on the provisional agreement in March 2026, the proposed revisions (which include affecting the duration of regulatory data protection and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protection, including for orphan medicinal products and revising the eligibility for expedited pathways) must now be formally adopted by the Ministers of Health in the Employment, Social Policy, Health and Consumer Affairs Council, or EPSCO, and the European Parliament Plenary. The proposed changes are not expected to enter into application before the fourth quarter of 2028 and may, however, have a significant long-term impact on the biopharmaceutical industry.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or our potential future collaboration partners ultimately obtain may be limited or subject to restrictions or post-approval commitments that render the approved product not commercially viable. </w:t>
      </w:r>
    </w:p>
    <w:p>
      <w:pPr>
        <w:pStyle w:val="TextBody"/>
        <w:bidi w:val="0"/>
        <w:jc w:val="left"/>
        <w:rPr>
          <w:rFonts w:ascii="Times New Roman" w:hAnsi="Times New Roman"/>
          <w:color w:val="000000"/>
          <w:sz w:val="20"/>
        </w:rPr>
      </w:pPr>
      <w:r>
        <w:rPr>
          <w:rFonts w:ascii="Times New Roman" w:hAnsi="Times New Roman"/>
          <w:color w:val="000000"/>
          <w:sz w:val="20"/>
        </w:rPr>
        <w:t xml:space="preserve">If we or potential future collaboration partners experience delays in obtaining approval or if we fail to obtain approval of any of our current or future product candidates, the commercial prospects for those product candidates may be harmed. </w:t>
      </w:r>
    </w:p>
    <w:p>
      <w:pPr>
        <w:pStyle w:val="TextBody"/>
        <w:bidi w:val="0"/>
        <w:jc w:val="left"/>
        <w:rPr>
          <w:rFonts w:ascii="Times New Roman" w:hAnsi="Times New Roman"/>
          <w:sz w:val="20"/>
        </w:rPr>
      </w:pPr>
      <w:r>
        <w:rPr>
          <w:rFonts w:ascii="Times New Roman" w:hAnsi="Times New Roman"/>
          <w:b/>
          <w:i/>
          <w:color w:val="000000"/>
          <w:sz w:val="20"/>
        </w:rPr>
        <w:t>Obtaining and maintaining marketing approval of our current and future product candidates in one jurisdiction does not mean that we or our potential future collaboration partners will be successful in obtaining marketing approval of our current and future product candidates in other jurisdictions.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Obtaining and maintaining marketing approval of our current and future product candidates in one jurisdiction does not guarantee that we or our potential future collaboration partners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may be charged for the products is also subject to approval. </w:t>
      </w:r>
    </w:p>
    <w:p>
      <w:pPr>
        <w:pStyle w:val="TextBody"/>
        <w:bidi w:val="0"/>
        <w:jc w:val="left"/>
        <w:rPr>
          <w:rFonts w:ascii="Times New Roman" w:hAnsi="Times New Roman"/>
          <w:color w:val="000000"/>
          <w:sz w:val="20"/>
        </w:rPr>
      </w:pPr>
      <w:r>
        <w:rPr>
          <w:rFonts w:ascii="Times New Roman" w:hAnsi="Times New Roman"/>
          <w:color w:val="000000"/>
          <w:sz w:val="20"/>
        </w:rPr>
        <w:t xml:space="preserve">We and our potential future collaboration partners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or our potential future collaboration partners fail to comply with the regulatory requirements in international markets or receive applicable marketing approvals in international markets, the target market for our product candidates will be reduced, and our ability to realize the full market potential of our product candidates will be harmed. </w:t>
      </w:r>
    </w:p>
    <w:p>
      <w:pPr>
        <w:pStyle w:val="TextBody"/>
        <w:bidi w:val="0"/>
        <w:jc w:val="left"/>
        <w:rPr>
          <w:rFonts w:ascii="Times New Roman" w:hAnsi="Times New Roman"/>
          <w:sz w:val="20"/>
        </w:rPr>
      </w:pPr>
      <w:r>
        <w:rPr>
          <w:rFonts w:ascii="Times New Roman" w:hAnsi="Times New Roman"/>
          <w:b/>
          <w:i/>
          <w:color w:val="000000"/>
          <w:sz w:val="20"/>
        </w:rPr>
        <w:t>Adverse events in the field of oncology or the biopharmaceutical industry could damage public perception of our current or future product candidates and negatively affect our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commercial success of our products will depend in part on public acceptance of the use of targeted cancer therapies. While a number of targeted cancer therapies have received regulatory approval and are being commercialized, our approach to targeting cancer cells carrying tumor causing mutations, including oncogenic RAS(ON) pathway mutations, is novel. Adverse events in clinical trials of our product candidates, or post-marketing activities, or in clinical trials of others developing similar products or that are related to approved targeted therapies, particularly those targeting oncogenic RAS pathway mutations, including sotorasib and adagrasib and the resulting publicity, as well as any other adverse events in the field of oncology that may occur in the future, could result in a decrease in demand for any product that we may develop. If public perception is influenced by claims that the use of cancer therapies is unsafe, whether related to our therapies or those of our competitors, our product candidates or products, if approved, may not be accepted by the general public or the medical community. </w:t>
      </w:r>
    </w:p>
    <w:p>
      <w:pPr>
        <w:pStyle w:val="TextBody"/>
        <w:bidi w:val="0"/>
        <w:jc w:val="left"/>
        <w:rPr>
          <w:rFonts w:ascii="Times New Roman" w:hAnsi="Times New Roman"/>
          <w:color w:val="000000"/>
          <w:sz w:val="20"/>
        </w:rPr>
      </w:pPr>
      <w:r>
        <w:rPr>
          <w:rFonts w:ascii="Times New Roman" w:hAnsi="Times New Roman"/>
          <w:color w:val="000000"/>
          <w:sz w:val="20"/>
        </w:rPr>
        <w:t xml:space="preserve">Future adverse events in oncology or the biopharmaceutical industry could also result in greater government regulation, stricter labeling requirements and potential regulatory delays in the testing or approvals of our products. Any increased scrutiny could delay or increase the costs of obtaining marketing approval for our current or future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Even if we or our potential future collaboration partners receive marketing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Any marketing approvals that we or our potential future collaboration partners receive for any current or 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registration, as well as continued compliance with current Good Manufacturing Practice (cGMP) or similar foreign requirements and Good Clinical Practice (GCP) for any clinical trials that we conduct post-approval. Later discovery of previously unknown problems with any approved candidate, including adverse events of unanticipated severity or frequency, counterfeit, stolen, diverted, tampered with or otherwise unauthorized versions of our products entering the supply or distribution chain, problems with our third-party manufacturers, distributors or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product distribution or use, or 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untitled and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or comparable foreign authorities to approve pending applications or supplements to approved applications or suspension or revocation of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the product;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jc w:val="left"/>
        <w:rPr>
          <w:rFonts w:ascii="Times New Roman" w:hAnsi="Times New Roman"/>
          <w:color w:val="000000"/>
          <w:sz w:val="20"/>
        </w:rPr>
      </w:pPr>
      <w:r>
        <w:rPr>
          <w:rFonts w:ascii="Times New Roman" w:hAnsi="Times New Roman"/>
          <w:color w:val="000000"/>
          <w:sz w:val="20"/>
        </w:rPr>
        <w:t>The occurrence of any event or penalty described above may inhibit our or our potential future collaboration partners’ ability to commercialize our product candidates and generate revenue and could require us to expend significant time and resources in response and could generate negative publicity.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are not able to maintain regulatory compliance, we may lose any marketing approval that we may have obtained. </w:t>
      </w:r>
    </w:p>
    <w:p>
      <w:pPr>
        <w:pStyle w:val="TextBody"/>
        <w:bidi w:val="0"/>
        <w:jc w:val="left"/>
        <w:rPr>
          <w:rFonts w:ascii="Times New Roman" w:hAnsi="Times New Roman"/>
          <w:sz w:val="20"/>
        </w:rPr>
      </w:pPr>
      <w:r>
        <w:rPr>
          <w:rFonts w:ascii="Times New Roman" w:hAnsi="Times New Roman"/>
          <w:b/>
          <w:i/>
          <w:color w:val="000000"/>
          <w:sz w:val="20"/>
        </w:rPr>
        <w:t>Even if a current or future product candidate receives marketing approval, it may fail to achieve the degree of market acceptance by physicians, patients, third-party payors and others in the medical community necessary for commercial success.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If any of our current or future product candidates receives marketing approval, whether as a single agent or in combination with other therapies, it may nonetheless fail to gain sufficient market acceptance by physicians, patients, third-party payors, and others in the medical community to be a viable product. For example, current approved immunotherapies, and other cancer treatments like chemotherapy and radiation therapy, are well established in the medical community, and doctors may continue to rely on these therapies. The degree of market acceptance of any product candidate,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efficacy and potential advantages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our products, if approved,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convenience and ease of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obtain sufficient third-party coverage and adequate reimbursement, including with respect to the use of the approved product as a combination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patients to adhere to applicable dosing, administration and monitoring requirements, including requirements relating to drug-drug interactions and other risks associated with oral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inclusion of the product in applicable clinical practice guidelines, institutional treatment pathways, formularies or other treatment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products administered in combination with other therapies, the price, availability, approved labeling, coverage and reimbursement of such other therapies, which may be outside of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adoption, accuracy and timely performance of any required companion diagnostic or complementary diagnostic (if any), including the availability of adequate patient samples and testing capacity;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jc w:val="left"/>
        <w:rPr>
          <w:rFonts w:ascii="Times New Roman" w:hAnsi="Times New Roman"/>
          <w:color w:val="000000"/>
          <w:sz w:val="20"/>
        </w:rPr>
      </w:pPr>
      <w:r>
        <w:rPr>
          <w:rFonts w:ascii="Times New Roman" w:hAnsi="Times New Roman"/>
          <w:color w:val="000000"/>
          <w:sz w:val="20"/>
        </w:rPr>
        <w:t>Market acceptance may also be affected by comparative clinical data, real-world evidence, changes in treatment guidelines or other</w:t>
        <w:br/>
        <w:t>information published after commercial launch that favors competing therapies or otherwise alters prescribing practices.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number of patients who have the cancers we are targeting, including those with the necessary mutations, may turn out to be lower than expected. Additionally, the potentially addressable patient population for our current programs or future product candidates may be limited, if and when approved. Even if we obtain significant market share for any product candidate, if and when approved, if the potential target populations are small, we may never achieve commercial success without obtaining marketing approval for additional indications, including to be used as first-line therapy. </w:t>
      </w:r>
    </w:p>
    <w:p>
      <w:pPr>
        <w:pStyle w:val="TextBody"/>
        <w:bidi w:val="0"/>
        <w:jc w:val="left"/>
        <w:rPr>
          <w:rFonts w:ascii="Times New Roman" w:hAnsi="Times New Roman"/>
          <w:sz w:val="20"/>
        </w:rPr>
      </w:pPr>
      <w:r>
        <w:rPr>
          <w:rFonts w:ascii="Times New Roman" w:hAnsi="Times New Roman"/>
          <w:b/>
          <w:i/>
          <w:color w:val="000000"/>
          <w:sz w:val="20"/>
        </w:rPr>
        <w:t>Even if we are able to commercialize any product candidates, such products may become subject to unfavorable pricing regulations or third-party coverage and reimbursement policies.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 control even after initial approval is granted. As a result, we or our potential future collaboration partners might obtain marketing approval for a product candidate in a particular country, but then be subject to price regulations that delay the commercial launch of the product candidate, possibly for lengthy time periods, and negatively impact the revenues we are able to generate from the sale of the product candidate in that country. Adverse pricing limitations may hinder our ability to recoup our investment in one or more product candidates, even if our product candidates obtain marketing approval. </w:t>
      </w:r>
    </w:p>
    <w:p>
      <w:pPr>
        <w:pStyle w:val="TextBody"/>
        <w:bidi w:val="0"/>
        <w:jc w:val="left"/>
        <w:rPr>
          <w:rFonts w:ascii="Times New Roman" w:hAnsi="Times New Roman"/>
          <w:color w:val="000000"/>
          <w:sz w:val="20"/>
        </w:rPr>
      </w:pPr>
      <w:r>
        <w:rPr>
          <w:rFonts w:ascii="Times New Roman" w:hAnsi="Times New Roman"/>
          <w:color w:val="000000"/>
          <w:sz w:val="20"/>
        </w:rPr>
        <w:t xml:space="preserve">Our and our potential future collaboration partners’ ability to commercialize any product candidates, whether as a single agent or combination therapy, successfully will also depend in part on the extent to which coverage and reimbursement for these product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w:t>
      </w:r>
    </w:p>
    <w:p>
      <w:pPr>
        <w:pStyle w:val="TextBody"/>
        <w:bidi w:val="0"/>
        <w:jc w:val="left"/>
        <w:rPr>
          <w:rFonts w:ascii="Times New Roman" w:hAnsi="Times New Roman"/>
          <w:color w:val="000000"/>
          <w:sz w:val="20"/>
        </w:rPr>
      </w:pPr>
      <w:r>
        <w:rPr>
          <w:rFonts w:ascii="Times New Roman" w:hAnsi="Times New Roman"/>
          <w:color w:val="000000"/>
          <w:sz w:val="20"/>
        </w:rPr>
        <w:t xml:space="preserve">It is difficult to predict at this time what government authorities and third-party payors will decide with respect to coverage and reimbursement for our programs. </w:t>
      </w:r>
    </w:p>
    <w:p>
      <w:pPr>
        <w:pStyle w:val="TextBody"/>
        <w:bidi w:val="0"/>
        <w:jc w:val="left"/>
        <w:rPr>
          <w:rFonts w:ascii="Times New Roman" w:hAnsi="Times New Roman"/>
          <w:color w:val="000000"/>
          <w:sz w:val="20"/>
        </w:rPr>
      </w:pPr>
      <w:r>
        <w:rPr>
          <w:rFonts w:ascii="Times New Roman" w:hAnsi="Times New Roman"/>
          <w:color w:val="000000"/>
          <w:sz w:val="20"/>
        </w:rPr>
        <w:t xml:space="preserve">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can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existing laws that restrict imports of drugs from countries where they may be sold at lower prices than in the United States. Third-party payors often rely upon Medicare coverage policy and payment limitations in setting their own reimbursement policies.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Coverage and reimbursement may also be subject to restrictive utilization management requirements, including prior authorization, step therapy, formulary exclusions, quantity limits, specialty pharmacy requirements and periodic reauthorization. These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may delay or restrict the initiation or continuation of treatment. In addition, because orally administered oncology products are generally reimbursed under the pharmacy benefit, patients may be subject to significant cost-sharing obligations, which may result in prescription abandonment, delayed treatment initiation or treatment discontinuation. Our ability to offset such costs through patient assistance or copay support programs may be limited by applicable law, enforcement policy or third-party payor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net revenues may also be affected by rebates, discounts, administrative fees, price-protection obligations, outcomes-based arrangements and other concessions to government authorities and third-party payors, and the amount and timing of these adjustments may be difficult to estimate. For products used as part of a combination regimen, payors may evaluate the aggregate cost of the regimen, and coverage or reimbursement for our product may not ensure coverage or reimbursement for the other components of the regimen or for related diagnostics, monitoring or supportive care.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outside the United States, pricing and reimbursement for pharmaceutical products are subject to extensive government regulation and vary significantly by country. In many markets, national, regional, or local authorities determine or influence the price that may be charged for a product and the level of reimbursement available through public or private healthcare systems. Obtaining pricing approval and reimbursement may be a lengthy and uncertain process and may require us to demonstrate clinical benefit, comparative effectiveness, and cost-effectiveness relative to available therapies. Further, external reference pricing, price disclosure requirements and the use of prices established or negotiated in one jurisdiction to set or challenge prices in another jurisdiction may constrain our global pricing and launch sequencing strategies and reduce the revenues we are able to generate across multiple markets.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drugs. We cannot be sure that coverage will be available for any of our product candidates, even if approved, and, if coverage is available, the level of reimbursement. These third-party payors are also examining the cost-effectiveness of drugs in addition to their safety and efficacy. Reimbursement may impact the demand for, or the price of, any product candidate for which we obtain marketing approval. If reimbursement is not available or is available only to limited levels, we or our potential third party collaborators may not be able to successfully commercialize any product candidate even if approved.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U.S. presidential administration is pursuing a two-fold strategy to reduce drug costs in the U.S. These proposals are likely to have a negative impact on the pharmaceutical industry and on our ability to receive adequate revenues for any product candidate that we commercialize. On the one hand, the administration has threatened to impose significant tariffs on pharmaceutical manufacturers that do not adopt pricing policies such as most-favored-nation pricing, which would tie the price for drugs in the U.S. to the lowest price in a group of other countries. In response, multiple manufacturers have reportedly entered into confidential pricing agreements with the federal government. Subsequently, in April 2026, the U.S. presidential administration issued a proclamation imposing tariffs under Section 232 of the Trade Expansion Act of 1962 on imports of patented (brand) pharmaceutical products, including certain biologics, and their active pharmaceutical ingredients. The tariffs took effect on July 31, 2026 for a specific list of large pharmaceutical companies and are scheduled to take effect on September 29, 2026 for all other importers, subject to certain exemptions. This proclamation stated that companies that have executed or are negotiating agreements with the federal government regarding most-favored-nation pricing and onshoring of production and research and development, among others, are exempted from these tariffs. On the other hand, the administration is pursuing traditional regulatory pathways to impose drug pricing policies and, in December 2025, published two proposed rules referred to as Globe and Guard. If finalized, these rules would establish mandatory payment models under which manufacturers of eligible drugs would be required to pay rebates to the federal government on a portion of the units reimbursed by Medicare, with the rebate amounts based on most-favored-nation pricing. A rebate in the United States tied to drug prices outside the United States would represent a significant departure from historical U.S. pharmaceutical pricing practices and could reduce the revenues we receive for any products that we commercialize. Even if these initiatives are modified, delayed, not finalized or successfully challenged, the uncertainty surrounding them could adversely affect our ability to forecast revenues determine commercial launch timing and sequencing, and make investments in manufacturing capacity and commercialization infrastructure. </w:t>
      </w:r>
    </w:p>
    <w:p>
      <w:pPr>
        <w:pStyle w:val="TextBody"/>
        <w:bidi w:val="0"/>
        <w:jc w:val="left"/>
        <w:rPr>
          <w:rFonts w:ascii="Times New Roman" w:hAnsi="Times New Roman"/>
          <w:sz w:val="20"/>
        </w:rPr>
      </w:pPr>
      <w:r>
        <w:rPr>
          <w:rFonts w:ascii="Times New Roman" w:hAnsi="Times New Roman"/>
          <w:b/>
          <w:i/>
          <w:color w:val="000000"/>
          <w:sz w:val="20"/>
        </w:rPr>
        <w:t>We may fail to select or capitalize on the most scientifically, clinically and commercially promising or profitable drug candidates including mutant RAS(ON) targets.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limited technical, managerial and financial resources to determine which of our potential assets, including our RAS(ON) inhibitors, should be advanced into further preclinical development, initial clinical trials, later-stage clinical development and potential commercialization. From our RAS(ON) inhibitors, we have selected daraxonrasib, elironrasib, zoldonrasib and RMC-5127 for clinical evaluation. In making these prioritization decisions and selecting development candidates from our preclinical assets, we may make incorrect determinations. Our decisions to allocate our research and development, management and financial resources toward particular development candidates or therapeutic areas, including RASolute 302, RASolute 303, RASolute 304, RASolute 305, RASolute 309, RASolve 301, RASolve 307, RASolve 308 and other clinical trials, may not lead to the development of viable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commercial products and may divert resources from better opportunities. Similarly, our decisions to delay or terminate development programs may also be incorrect and could cause us to miss valuable opportunities.</w:t>
      </w:r>
    </w:p>
    <w:p>
      <w:pPr>
        <w:pStyle w:val="TextBody"/>
        <w:bidi w:val="0"/>
        <w:jc w:val="left"/>
        <w:rPr>
          <w:rFonts w:ascii="Times New Roman" w:hAnsi="Times New Roman"/>
          <w:sz w:val="20"/>
        </w:rPr>
      </w:pPr>
      <w:r>
        <w:rPr>
          <w:rFonts w:ascii="Times New Roman" w:hAnsi="Times New Roman"/>
          <w:b/>
          <w:i/>
          <w:color w:val="000000"/>
          <w:sz w:val="20"/>
        </w:rPr>
        <w:t>We may not be successful in our efforts to identify or discover other product candidates and may fail to capitalize on programs, product candidates or indications or lines of therapy for which there is a greater likelihood of success or that may present a greater commercial opportunity.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success of our business depends upon our ability to identify, develop and commercialize product candidates. Research programs to identify new product candidates require substantial technical, financial and human resources, and we may fail to identify potential product candidates for numerous reasons.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because we have limited resources and because of the decisions we make based on our observations from the results of earlier-stage clinical trials, we may forego or delay pursuit of opportunities with certain programs or product candidates or for indications or lines of therapy that later prove to have a greater likelihood of success or for which there is greater commercial potential. For example, we may design our clinical trials, including our pivotal clinical trials, based on our observations from earlier-stage clinical trials. In doing so, we may make decisions regarding our study design, including our selection of the inclusion and exclusion criteria and endpoints, as well as our selection of dose and dose schedule and other factors, for those trials, while other study designs and dosing regimens may have a greater likelihood of success. </w:t>
      </w:r>
    </w:p>
    <w:p>
      <w:pPr>
        <w:pStyle w:val="TextBody"/>
        <w:bidi w:val="0"/>
        <w:jc w:val="left"/>
        <w:rPr>
          <w:rFonts w:ascii="Times New Roman" w:hAnsi="Times New Roman"/>
          <w:color w:val="000000"/>
          <w:sz w:val="20"/>
        </w:rPr>
      </w:pPr>
      <w:r>
        <w:rPr>
          <w:rFonts w:ascii="Times New Roman" w:hAnsi="Times New Roman"/>
          <w:color w:val="000000"/>
          <w:sz w:val="20"/>
        </w:rPr>
        <w:t xml:space="preserve">However, the advancement of a particular product candidate may ultimately prove to be unsuccessful or less successful than another program in our pipeline that we might have chosen to pursue on a less aggressive basis. Our estimates regarding the potential market for our product candidates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any of these events occur, we may be forced to abandon or delay our development efforts with respect to a particular product candidate or fail to develop a potentially successful product candidate. </w:t>
      </w:r>
    </w:p>
    <w:p>
      <w:pPr>
        <w:pStyle w:val="TextBody"/>
        <w:bidi w:val="0"/>
        <w:jc w:val="left"/>
        <w:rPr>
          <w:rFonts w:ascii="Times New Roman" w:hAnsi="Times New Roman"/>
          <w:sz w:val="20"/>
        </w:rPr>
      </w:pPr>
      <w:r>
        <w:rPr>
          <w:rFonts w:ascii="Times New Roman" w:hAnsi="Times New Roman"/>
          <w:b/>
          <w:i/>
          <w:color w:val="000000"/>
          <w:sz w:val="20"/>
        </w:rPr>
        <w:t>We may need to use existing commercial diagnostic tests or develop, or enter into a collaboration or partnership to develop, novel complementary diagnostics and/or novel companion diagnostics for some of our current or future product candidates. If we or our partners are unable to successfully develop these companion diagnostics or complementary diagnostics, or experience significant delays in doing so, we may not realize the full commercial potential of our future product candidates.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As one of the key elements of our product development strategy, we seek to identify cancer patient populations that may derive meaningful benefit from our current or future product candidates. Because predictive biomarkers may be used to identify the right patients for our programs and our current or future product candidates, we believe that our success may depend, in part, on our ability to use existing diagnostic tests from third parties or develop novel complementary diagnostics and/or novel companion diagnostics in collaboration with partners.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event that novel tests will need to be developed, we have little experience in the development of diagnostics. We expect to rely on partners in developing appropriate diagnostics to pair with our current or future product candidates. We may be unsuccessful in entering into or maintaining collaborations for the development of companion diagnostics for use with our current or future product candidates in our markets of interest. </w:t>
      </w:r>
    </w:p>
    <w:p>
      <w:pPr>
        <w:pStyle w:val="TextBody"/>
        <w:bidi w:val="0"/>
        <w:jc w:val="left"/>
        <w:rPr>
          <w:rFonts w:ascii="Times New Roman" w:hAnsi="Times New Roman"/>
          <w:color w:val="000000"/>
          <w:sz w:val="20"/>
        </w:rPr>
      </w:pPr>
      <w:r>
        <w:rPr>
          <w:rFonts w:ascii="Times New Roman" w:hAnsi="Times New Roman"/>
          <w:color w:val="000000"/>
          <w:sz w:val="20"/>
        </w:rPr>
        <w:t>Complementary diagnostics and companion diagnostics are subject to regulation by the FDA and similar regulatory authorities outside the United States as medical devices and require separate regulatory approval, clearance or certification prior to commercialization. In addition, if the FDA or similar regulatory authorities outside the United States determines that a companion diagnostic device is essential to the safe and effective use of a novel therapeutic product or indication, they may not approve the therapeutic product or new therapeutic product indication if the companion diagnostic is not also approved or cleared for that indication. Companion diagnostics are developed in conjunction with clinical programs for the associated therapeutic product, and the FDA has generally required premarket approval of companion diagnostics for cancer therapies. The approval or clearance of a companion diagnostic as part of the therapeutic product’s further labeling limits the use of the therapeutic product to only those patients who express the specific characteristic, such as a biomarker, that the companion diagnostic was developed to detect.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our partners, or any third parties that we engage to assist us, are unable to successfully develop complementary diagnostics and/or companion diagnostics for our product candidates and any future product candidates, or we experience delays in doing so: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our product candidates and any other future product candidates may be adversely affected if we are unable to appropriately select patients for enrollment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obtain approval for any of our product candidates for which the FDA or foreign regulatory authority has determined a companion diagnostic is required;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realize the full commercial potential of our product candidates and any other future product candidates that receive marketing approval if, among other reasons, we are unable to appropriately identify, or it takes us longer to identify, patients who are likely to benefit from therapy with our products, if approved.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Even if we or our current or future partners are successful in the development of diagnostics for use with our current or future product candidates, there are also risks associated with the commercial supply of these diagnostics.</w:t>
      </w:r>
    </w:p>
    <w:p>
      <w:pPr>
        <w:pStyle w:val="TextBody"/>
        <w:bidi w:val="0"/>
        <w:jc w:val="left"/>
        <w:rPr>
          <w:rFonts w:ascii="Times New Roman" w:hAnsi="Times New Roman"/>
          <w:sz w:val="20"/>
        </w:rPr>
      </w:pPr>
      <w:r>
        <w:rPr>
          <w:rFonts w:ascii="Times New Roman" w:hAnsi="Times New Roman"/>
          <w:b/>
          <w:i/>
          <w:color w:val="000000"/>
          <w:sz w:val="20"/>
        </w:rPr>
        <w:t>We may seek and fail to obtain fast track or breakthrough therapy designations for our current or future product candidates. Even if we are successful, these programs may not lead to a faster development or regulatory review process, and they do not guarantee we will receive approval for any product candidate.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If a product is intended for the treatment of a serious or life-threatening condition, and preclinical or clinical data demonstrate the potential to address an unmet medical need for this condition, the product sponsor may apply for fast track designation. Specifically, drugs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application may be eligible for priority review. An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 </w:t>
      </w:r>
    </w:p>
    <w:p>
      <w:pPr>
        <w:pStyle w:val="TextBody"/>
        <w:bidi w:val="0"/>
        <w:jc w:val="left"/>
        <w:rPr>
          <w:rFonts w:ascii="Times New Roman" w:hAnsi="Times New Roman"/>
          <w:color w:val="000000"/>
          <w:sz w:val="20"/>
        </w:rPr>
      </w:pPr>
      <w:r>
        <w:rPr>
          <w:rFonts w:ascii="Times New Roman" w:hAnsi="Times New Roman"/>
          <w:color w:val="000000"/>
          <w:sz w:val="20"/>
        </w:rPr>
        <w:t>The FDA has broad discretion whether to grant fast track designation, so, even if we believe a particular product candidate is eligible for this designation, the FDA may reach a different conclusion and not grant it. Even if we do receive fast track designation, we may not experience a faster development process, review or approval compared to conventional FDA procedures. The FDA may rescind any fast track designation if it believes that the designation is no longer supported by data from our clinical development program.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may also seek breakthrough therapy designation for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existing therapies on one or more clinically significant endpoints, such as substantial treatment effects observed early in clinical development. For product candidates that have been designated as breakthrough therapies, increased interaction and communication between the FDA and the sponsor of the trial can help to identify the most efficient path for clinical development while minimizing the number of patients placed in ineffective control regimens. Drugs and biologics designated as breakthrough therapies also receive the same benefits associated with fast track designation, including eligibility for rolling review of a submitted NDA, if the relevant criteria are met. Like fast track designation, breakthrough therapy designation is within the discretion of the FDA. Accordingly, even if we believe one of our product candidates meets the criteria for designation as a breakthrough therapy, the FDA may disagree and instead determine not to make such designation. We have received multiple breakthrough therapy designations for our product candidates: daraxonrasib has been granted breakthrough therapy designation in previously treated, metastatic PDAC patients with KRAS G12 mutations and patients with NSCLC with KRAS mutations other than G12C who have received prior platinum-based chemotherapy and anti-PD-(L)1 therapy; zoldonrasib was granted breakthrough therapy designation for the treatment of adult patients with KRAS G12D-mutated locally advanced or metastatic NSCLC who have been previously treated with anti-PD-1/PD-L1 therapy and platinum-based chemotherapy; and elironrasib was granted breakthrough therapy designation for the treatment of adult patients with KRAS G12C-mutated locally advanced or metastatic NSCLC who have received prior chemotherapy and immunotherapy but have not been previously treated with a KRAS G12C inhibitor. The receipt of these breakthrough therapy designations (and any future designations we may receive for a product candidate) may not result in a faster development process, review or approval compared to drugs considered for approval under conventional FDA procedures and does not assure ultimate approval by the FDA. In addition, even if a product candidate qualifies as a breakthrough therapy, the FDA may later decide that the drug no longer meets the conditions for qualification and rescind the designation. </w:t>
      </w:r>
    </w:p>
    <w:p>
      <w:pPr>
        <w:pStyle w:val="TextBody"/>
        <w:bidi w:val="0"/>
        <w:jc w:val="left"/>
        <w:rPr>
          <w:rFonts w:ascii="Times New Roman" w:hAnsi="Times New Roman"/>
          <w:color w:val="000000"/>
          <w:sz w:val="20"/>
        </w:rPr>
      </w:pPr>
      <w:r>
        <w:rPr>
          <w:rFonts w:ascii="Times New Roman" w:hAnsi="Times New Roman"/>
          <w:color w:val="000000"/>
          <w:sz w:val="20"/>
        </w:rPr>
        <w:t xml:space="preserve">Jurisdictions where we may seek to pursue product candidates outside of the United States have processes similar to the breakthrough designation and fast track processes described above, and to the extent we or our collaborators desire to enter these markets, we will face similar risks and challenges as those described in the United States.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attempt tbo secure approval from the FDA through the use of the accelerated approval pathway. If we are unable to obtain this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may in the future seek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verify and describe the drug’s clinical benefit. If such post-approval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The omnibus bill included the Food and Drug Omnibus Reform Act of 2022, which, among other things, provided the FDA new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the conduct of further studies prior to considering our (or one of our potential future collaboration partners’) applications or granting approval of any type. A failure to obtain accelerated approval or any other form of expedited development, review or approval for our product candidate would result in a longer time period until commercialization of such product candidate, if at all, could increase the cost of development of such product candidate and could harm our competitive position in the marketplace.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seek orphan drug designation for our product candidates,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As part of our business strategy, we may seek orphan drug designation for our product candidates. Regulatory authorities in some jurisdictions, including the United States, may designate drugs for relatively small patient populations as orphan drugs or, in the EU, orphan medicinal products.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w:t>
      </w:r>
    </w:p>
    <w:p>
      <w:pPr>
        <w:pStyle w:val="TextBody"/>
        <w:bidi w:val="0"/>
        <w:jc w:val="left"/>
        <w:rPr>
          <w:rFonts w:ascii="Times New Roman" w:hAnsi="Times New Roman"/>
          <w:color w:val="000000"/>
          <w:sz w:val="20"/>
        </w:rPr>
      </w:pPr>
      <w:r>
        <w:rPr>
          <w:rFonts w:ascii="Times New Roman" w:hAnsi="Times New Roman"/>
          <w:color w:val="000000"/>
          <w:sz w:val="20"/>
        </w:rPr>
        <w:t xml:space="preserve">Similarly, in the EU, the European Commission grants orphan medicinal product designation after receiving the opinion of the EMA Committee for Orphan Medicinal Products on an orphan medicinal product designation application. Orphan medicinal product designation is intended to promote the development of medicines (1) that are intended for the diagnosis, prevention or treatment of life-threatening or chronically debilitating conditions where (2) either (a) such conditions affect no more than 5 in 10,000 persons in the EU when the application is made, or (b) the product, without the benefits derived from orphan status, would not generate sufficient return in the EU to justify the investment needed for its development; and (3) for which no satisfactory method of diagnosis, prevention, or treatment has been authorized (or if such method exists, the product would be a significant benefit to those affected). In the EU, orphan designation entitles a party to a number of incentives, such as protocol assistance and scientific advice specifically for designated orphan medicines, and potential fee reductions depending on the status of the sponsor.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Generally, if a drug with an orphan drug designation subsequently receives the first marketing approval for the disease or condition for which it has such designation, the drug is entitled to a period of marketing exclusivity, which precludes the FDA or foreign authorities from approving another marketing application for the same drug for the same approved use or indication within such disease or condition for that time period, except in limited circumstances. The applicable period is seven years in the United States and ten years in the EU. The European exclusivity period can be reduced to six years if a drug no longer meets the criteria for orphan drug designation or if the drug is sufficiently profitable such that market exclusivity is no longer justified. </w:t>
      </w:r>
    </w:p>
    <w:p>
      <w:pPr>
        <w:pStyle w:val="TextBody"/>
        <w:bidi w:val="0"/>
        <w:jc w:val="left"/>
        <w:rPr>
          <w:rFonts w:ascii="Times New Roman" w:hAnsi="Times New Roman"/>
          <w:color w:val="000000"/>
          <w:sz w:val="20"/>
        </w:rPr>
      </w:pPr>
      <w:r>
        <w:rPr>
          <w:rFonts w:ascii="Times New Roman" w:hAnsi="Times New Roman"/>
          <w:color w:val="000000"/>
          <w:sz w:val="20"/>
        </w:rPr>
        <w:t xml:space="preserve">We may be unsuccessful in obtaining orphan drug designation for our product candidates. In addition, while the FDA has granted orphan drug designation to daraxonrasib for the treatment of pancreatic cancer, the corresponding marketing exclusivity for such designation (and any future designations we may receive for a product candidate) may not effectively protect the product candidate from competition because different therapies can be approved for the same approved use or indication within the applicable disease or condition. Even after an orphan drug is approved, the FDA or comparable foreign authorities can subsequently approve the same drug for the same approved use or indication within the relevant disease or condition if the FDA or comparable foreign authorities conclude that the later drug is clinically superior in that it is shown to be safer, more effective or makes a major contribution to patient care. In addition, a designated orphan drug may not receive orphan drug exclusivity if it is approved for a use that is broader than the disease or condition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relating to the approved use or indication of patients with the relevant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 including marketing exclusivity. </w:t>
      </w:r>
    </w:p>
    <w:p>
      <w:pPr>
        <w:pStyle w:val="TextBody"/>
        <w:bidi w:val="0"/>
        <w:jc w:val="left"/>
        <w:rPr>
          <w:rFonts w:ascii="Times New Roman" w:hAnsi="Times New Roman"/>
          <w:b/>
          <w:i/>
          <w:color w:val="000000"/>
          <w:sz w:val="20"/>
        </w:rPr>
      </w:pPr>
      <w:r>
        <w:rPr>
          <w:rFonts w:ascii="Times New Roman" w:hAnsi="Times New Roman"/>
          <w:b/>
          <w:i/>
          <w:color w:val="000000"/>
          <w:sz w:val="20"/>
        </w:rPr>
        <w:t>We may participate in novel and expedited regulatory review programs that are new and evolving. We may not realize any benefit from our participation in these programs and any changes to, suspension of, or termination of these programs, or our inability to satisfy their requirements, could delay or adversely affect the development, review and approval of our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participating in, and may in the future seek to participate in, new and expedited review pathways and pilot programs intended to accelerate the assessment of drugs and biologics that address national priorities or areas of high unmet medical need. Because many of these programs are new, limited in scope and untested, there is limited precedent regarding how they will operate in practice, and our participation may not result in the benefits we anticipate.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June 2025, the FDA announced the CNPV Pilot Program to test an expedited review process for certain drugs and biologics that are designed to address certain national priorities identified by the FDA, including drugs or biologics that are intended to address a U.S. public health crisis, deliver more innovative cures for the American people, address a large unmet medical need, onshore drug development and manufacturing, or increase affordability. Drugs or biologics accepted into the CNPV Pilot Program will receive a CNPV, which according to the FDA, entitles the recipient to accelerated FDA review of a marketing application or supplement for a drug or biologic that aligns with the CNPV Pilot Program's goals, along with enhanced communication through the application review process, multidisciplinary team-based evaluation and potential for accelerated approval, if the relevant requirements are met. As described by the FDA, CNPVs may not be transferred, and must be applied within two years of being issued. Further, CNPVs do not change the FDA's standards for review and approval of a Biologics License Application, NDA or supplement, as applicable. In October 2025, the FDA included daraxonrasib in its initial group of CNPV recipients.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CNPV Pilot Program, however, is new, limited in scope, and subject to evolving guidance and available FDA resources. The FDA retains broad discretion to modify the criteria, processes, or benefits of the pilot and may rescind participation or alter timelines or the intended benefits at any time.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Similarly, in July 2026, the EMA's Committee for Medicinal Products for Human Use (CHMP) began evaluating daraxonrasib for the treatment of PDAC under a phased review process. The phased review process is intended to accelerate the assessment of a medicine by permitting the EMA to evaluate data in phases as they become available, ahead of the submission of a full marketing authorization application (MAA). Like the CNPV Pilot Program, the EMA's phased review process is a relatively new and evolving mechanism, and the EMA retains discretion over how the review is conducted and may modify, suspend or discontinue the phased review, or the initiatives under which it is offered, at any time.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Participation in the CNPV Pilot Program, the EMA's phased review process or any other new or expedited review program does not ensure that a product candidate will be accepted for filing or validation, reviewed on a shortened or accelerated timeline, or ultimately approved. These programs are subject to evolving guidance, agency resource constraints and significant regulatory discretion, and the FDA, EMA or other regulatory authorities may modify, narrow, suspend or terminate them, change their eligibility criteria or intended benefits, or rescind our participation, at any time and for any reason. Further, if we receive marketing approval on an accelerated timeline, we may be unable to market and sell an approved product candidate promptly or effectively, which could delay patient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access, limit product revenues, adversely affect the commercial success of the product candidate and adversely affect our reputation. If the FDA, EMA or another regulatory authority modifies or terminates any expedited review program in which we participate, or if we are unable to comply with the requirements of any such program, our current development plans and anticipated timelines, and market expectations regarding our programs, could be adversely affected.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any approved products.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product candidates, making product candidates available through pre-license patient access programs such as compassionate use, named patient, expanded access treatment protocols or similar programs, and will face an even greater risk if we commercialize any products. For example, we may be sued if any of our product candidates causes or is perceived to cause injury or is found to be otherwise unsuitable during clinical testing, use through a pre-license patient access program,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w:t>
      </w:r>
    </w:p>
    <w:p>
      <w:pPr>
        <w:pStyle w:val="TextBody"/>
        <w:bidi w:val="0"/>
        <w:jc w:val="left"/>
        <w:rPr>
          <w:rFonts w:ascii="Times New Roman" w:hAnsi="Times New Roman"/>
          <w:color w:val="000000"/>
          <w:sz w:val="20"/>
        </w:rPr>
      </w:pPr>
      <w:r>
        <w:rPr>
          <w:rFonts w:ascii="Times New Roman" w:hAnsi="Times New Roman"/>
          <w:color w:val="000000"/>
          <w:sz w:val="20"/>
        </w:rPr>
        <w:t xml:space="preserve">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approved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exhaustion of available insurance and our capital resources and potential increases in our insurance premiums and/or retention amounts;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or limitations on our ability, to commercialize any product.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if we provide access to any product candidate through a pre-license patient access program, we may be exposed to additional safety, operational, regulatory and reputational risks. Patients receiving a product candidate through these programs may have advanced disease, co-morbidities or other characteristics that increase the likelihood of serious adverse events, and such events may be attributed to our product candidate even if they are unrelated to treatment. We may be required to report adverse events or other safety information from these programs to regulatory authorities, and such information could affect regulatory review, labeling, approval conditions, physician or patient perception, or the willingness of investigators or patients to participate in our clinical trials. In addition, because these programs may occur outside the controls of our clinical trial protocols, the information generated may be more difficult to interpret and may adversely affect perceptions of the safety or efficacy of our product candidates.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inability to obtain sufficient product liability insurance at an acceptable cost to protect against potential product liability claims could prevent or inhibit the commercialization of products we develop, alone or with collaboration partners.</w:t>
      </w:r>
    </w:p>
    <w:p>
      <w:pPr>
        <w:pStyle w:val="TextBody"/>
        <w:bidi w:val="0"/>
        <w:jc w:val="left"/>
        <w:rPr>
          <w:rFonts w:ascii="Times New Roman" w:hAnsi="Times New Roman"/>
          <w:color w:val="000000"/>
          <w:sz w:val="20"/>
        </w:rPr>
      </w:pPr>
      <w:r>
        <w:rPr>
          <w:rFonts w:ascii="Times New Roman" w:hAnsi="Times New Roman"/>
          <w:color w:val="000000"/>
          <w:sz w:val="20"/>
        </w:rPr>
        <w:t xml:space="preserve">Insurance coverage is increasingly expensive. We may not be able to maintain insurance at a reasonable cost or in an amount adequate to satisfy any liability that may arise, if at all. Our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current or future collaborator entitle us to indemnification against losses, such indemnification is limited and may not be available or adequate should any claim arise.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Healthcare legislative reform measures may significantly impact our business and results of operations.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United States, there have been and continue to be a number of legislative initiatives to contain healthcare costs and reduce prescription drug spending. These initiatives may increase pricing pressure, reduce the amounts we are able to charge and receive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products we may commercialize, limit the availability and level of reimbursement from third-party payors (including government payors), require us to provide additional discounts or rebates, and otherwise adversely affect patient access and demand.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there has been increasing legislative and enforcement interest in the United States with respect to specialty drug pricing practices. Specifically, there have been several recent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example, in August 2022, the Inflation Reduction Act of 2022 (IRA) was signed into law. Among other things, the IRA requires manufacturers of certain drugs to engage in price negotiations with Medicare, with prices that can be negotiated subject to a cap; imposes rebates under Medicare Part D to penalize price increases that outpace inflation (first due in 2023); and replaces the Part D coverage gap discount program with a new manufacturer discounting program (which began in 2025). The IRA permits the Secretary of the Department of Health and Human Services (HHS) to implement many of these provisions through guidance, as opposed to regulation, for the initial years. HHS has and will continue to issue and update guidance as these programs are implemented. HHS announced the negotiated prices for the initial ten drugs, which became effective in 2026, and the subsequent 15 drugs, which will first be effective in 2027. CMS has also published the next set of 15 drugs that will be subject to negotiation. The impact of the IRA on our business and the pharmaceutical industry cannot yet be fully determined, but could be significant.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U.S. presidential administration is pursuing a two-fold strategy to reduce drug costs in the U.S. See “Even if we are able to commercialize any product candidates, such products may become subject to unfavorable pricing regulations or third-party coverage and reimbursement policies” above for more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Moreover, the individual states in the United States have become increasingly active in developing proposals, passing legislation and implementing regulations designed to control drug pricing, including price or patient reimbursement constraints, discounts, formulary flexibility, marketing cost disclosure, drug price increase reporting, and other transparency measures. Some states have enacted legislation creating so-called prescription drug affordability boards, with the goal of imposing price limits on certain drugs in these states, and at least one state board is imposing an upper payment limit. States are also seeking to implement general, across the board price caps for pharmaceuticals, or are seeking to regulate drug distribution. Some measures are designed to encourage importation from other countries. These types of initiatives may result in additional reductions in Medicare, Medicaid, and other healthcare funding, and may otherwise affect the prices we may obtain for any product candidate that we commercialize or the frequency with which any product candidate that we commercialize is prescribed or used.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complementary diagnostics or companion diagnostics, or impose additional pricing pressures.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FDA regulations and guidance may be revised or reinterpreted by the FDA in ways that may significantly affect our business. Any new regulations or guidance, or revisions or reinterpretations of existing regulations or guidance, may impose additional costs or lengthen FDA review times for our product candidates. We cannot determine how changes in regulations, statutes, policies, or interpretations when and if issued, enacted or adopted may affect our business in the future.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our reporting and payment obligations under the Medicaid Drug Rebate Program or other governmental pricing programs in which we may participate, we could be subject to additional reimbursement requirements, penalties, sanctions and fines, which could have a material adverse effect on our business, financial condition, results of operations and growth prospects.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Medicaid is a joint federal and state program administered by the states for low income and disabled beneficiaries. We intend to participate in Medicaid, and if we participate, will have certain price reporting obligations under the Medicaid Drug Rebate Program, or the MDRP, as a condition of having covered outpatient drugs payable under Medicaid. The MDRP requires participating manufacturers to pay a rebate to state Medicaid programs every quarter for each unit of their covered outpatient drugs dispensed to Medicaid beneficiaries and paid for by a state Medicaid program. The rebate is based on pricing data that the manufacturer must report on a monthly and quarterly basis to the Centers for Medicare &amp; Medicaid Services, or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United States in any pricing structure, calculated to include all sales and associated rebates, discounts and other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concessions. The Medicaid rebate consists of two components, the basic rebate and the additional rebate, which is due if the AMP for a drug increases faster than inflation. If we participate in Medicaid and become aware that our MDRP government price reporting submission for a prior quarter was incorrect or has changed as a result of recalculation of the pricing data, we must resubmit the corrected data for up to three years after those data originally were due. If we participate in Medicaid and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intend to participate in the MDRP, no federal payments would be available under Medicaid for our covered outpatient drugs for which we obtain approval. If we participate in Medicaid, our failure to comply with MDRP price reporting and rebate payment obligations could negatively impact our financial results.</w:t>
        <w:br/>
        <w:t> </w:t>
      </w:r>
    </w:p>
    <w:p>
      <w:pPr>
        <w:pStyle w:val="TextBody"/>
        <w:bidi w:val="0"/>
        <w:jc w:val="left"/>
        <w:rPr>
          <w:rFonts w:ascii="Times New Roman" w:hAnsi="Times New Roman"/>
          <w:color w:val="000000"/>
          <w:sz w:val="20"/>
        </w:rPr>
      </w:pPr>
      <w:r>
        <w:rPr>
          <w:rFonts w:ascii="Times New Roman" w:hAnsi="Times New Roman"/>
          <w:color w:val="000000"/>
          <w:sz w:val="20"/>
        </w:rPr>
        <w:t>Federal law requires that any company that participates in the MDRP also participate in the Public Health Service’s 340B drug pricing program in order for federal funds to be available for the manufacturer’s drugs under Medicaid. If we participate in Medicaid, we will also participate in the 340B program, which is administered by the Health Resources and Services Administration (HRSA), and would require us to charge statutorily defined covered entities no more than the 340B “ceiling price” for our covered outpatient drugs for which we obtain approval.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Participating manufacturers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340B-eligible drugs. HRSA has also finalized a revised regulation implementing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If we participate in the 340B program, our failure to comply with 340B program requirements could negatively impact our financial results. Any additional future changes to the definition of AMP and the Medicaid rebate amount under legislation or regulation could affect our 340B ceiling price calculations and also negatively impact our financial results if we participate in the 340B program.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order for any product candidates, if approved, to be paid for with federal funds under the Medicaid programs and purchased by certain federal agencies and grantees, we also intend to participate in the U.S. Department of Veterans Affairs, or VA, Federal Supply Schedule, or FSS, pricing program. As part of this program, we would be required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would be required to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plan to participate in the Tricare Retail Pharmacy program, under which we would be required to pay quarterly rebates on utilization of innovator products for which we obtain approval that are dispensed through the Tricare Retail Pharmacy network to Tricare beneficiaries. The rebates are calculated as the difference between the annual Non-FAMP and FCP. We would be required to list our innovator products for which we obtain approval on a Tricare Agreement in order for them to be eligible for DOD formulary inclusion. If we participate in the program and overcharge the government in connection with our FSS contract or Tricare Agreement, whether due to a misstated FCP or otherwise, we will be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 agencies may also make changes in program interpretations, requirements or conditions of participation, some of which may have implications for amounts previously estimated or paid. If we participate in these programs, we cannot assure you that any submissions we are required to make under the MDRP, the 340B program, the VA/FSS program, the Tricare Retail Pharmacy Program, and other governmental drug pricing programs will not be found to be incomplete or incorrect.</w:t>
      </w:r>
    </w:p>
    <w:p>
      <w:pPr>
        <w:pStyle w:val="TextBody"/>
        <w:bidi w:val="0"/>
        <w:jc w:val="left"/>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staffing limitations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jc w:val="left"/>
        <w:rPr>
          <w:rFonts w:ascii="Times New Roman" w:hAnsi="Times New Roman"/>
          <w:color w:val="000000"/>
          <w:sz w:val="20"/>
        </w:rPr>
      </w:pPr>
      <w:r>
        <w:rPr>
          <w:rFonts w:ascii="Times New Roman" w:hAnsi="Times New Roman"/>
          <w:color w:val="000000"/>
          <w:sz w:val="20"/>
        </w:rPr>
        <w:t>The ability of the FDA and foreign regulatory agencies to review and approve new products can be affected by a variety of factors, including government budget and funding levels, ability to hire and retain key personnel and accept the payment of user fees, and statutory, regulatory, and policy changes. Average review times at the FDA and foreign regulatory agencies have fluctuated in recent years as a result.</w:t>
      </w:r>
    </w:p>
    <w:p>
      <w:pPr>
        <w:pStyle w:val="TextBody"/>
        <w:bidi w:val="0"/>
        <w:jc w:val="left"/>
        <w:rPr>
          <w:rFonts w:ascii="Times New Roman" w:hAnsi="Times New Roman"/>
          <w:color w:val="000000"/>
          <w:sz w:val="20"/>
        </w:rPr>
      </w:pPr>
      <w:r>
        <w:rPr>
          <w:rFonts w:ascii="Times New Roman" w:hAnsi="Times New Roman"/>
          <w:color w:val="000000"/>
          <w:sz w:val="20"/>
        </w:rPr>
        <w:t xml:space="preserve">Disruptions at the FDA and other agencies may also slow the time necessary for new drugs to be reviewed and/or approved by necessary government agencies, which would adversely affect our business. For example, in recent years, including in 2025, the U.S. government has shut down several times and certain regulatory agencies, such as the FDA, have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which have led to substantial personnel changes, and it remains unclear the degree to which these efforts may limit or otherwise adversely affect the FDA’s ability to conduct routine activities. If a prolonged government shutdown occurs or the FDA or other agencies experience other delays due to funding shortages, staffing shortages or otherwise, it could significantly impact the ability of those agencies to timely review and process our regulatory submissions.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stringent privacy laws, information security policies and contractual obligations governing the use, processing and transfer of personal information.</w:t>
      </w:r>
    </w:p>
    <w:p>
      <w:pPr>
        <w:pStyle w:val="TextBody"/>
        <w:bidi w:val="0"/>
        <w:jc w:val="left"/>
        <w:rPr>
          <w:rFonts w:ascii="Times New Roman" w:hAnsi="Times New Roman"/>
          <w:color w:val="000000"/>
          <w:sz w:val="20"/>
        </w:rPr>
      </w:pPr>
      <w:r>
        <w:rPr>
          <w:rFonts w:ascii="Times New Roman" w:hAnsi="Times New Roman"/>
          <w:color w:val="000000"/>
          <w:sz w:val="20"/>
        </w:rPr>
        <w:t>The global data protection landscape is rapidly evolving, and we are or may become subject to numerous federal, state and foreign laws, requirements and regulations governing the collection, use, disclosure, retention and security of personal information,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w:t>
      </w:r>
    </w:p>
    <w:p>
      <w:pPr>
        <w:pStyle w:val="TextBody"/>
        <w:bidi w:val="0"/>
        <w:jc w:val="left"/>
        <w:rPr>
          <w:rFonts w:ascii="Times New Roman" w:hAnsi="Times New Roman"/>
          <w:color w:val="000000"/>
          <w:sz w:val="20"/>
        </w:rPr>
      </w:pPr>
      <w:r>
        <w:rPr>
          <w:rFonts w:ascii="Times New Roman" w:hAnsi="Times New Roman"/>
          <w:color w:val="000000"/>
          <w:sz w:val="20"/>
        </w:rPr>
        <w:t xml:space="preserve">As our operations and business grow, we may become subject to or affected by new or additional data protection laws and regulations and face increased scrutiny or attention from regulatory authorities. In the United States, the Health Insurance Portability and Accountability Act of 1996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While we do not believe that we are currently acting as a covered entity or business associate under HIPAA and thus are not directly regulated under HIPAA,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Additionally in the U.S., the Federal Trade Commission (FTC) and many state Attorneys General continue to enforce federal and state consumer protection laws against companies for online collection, use, dissemination and security practices that appear to be unfair or deceptive. Further, in 2024, the National Security Division of the U.S. Department of Justice (DOJ) issued a rule—referred to as the “Data Security Program” (DSP)—to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2025, and fully enforceable as of July 2025,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Compliance with the DSP may require us to invest heavily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various states have implemented certain data privacy and security laws and regulations that impose restrictive requirements regulating the use and disclosure of health-related and other personal information. For example, the California Consumer Privacy Act, as amended by the California Privacy Rights Act (collectively, the CCPA) requires certain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opt-out of certain disclosures of their personal information; and enter into specific contractual provisions with service providers that process California resident personal information on the business’s behalf. Similar laws have been passed in other states, and are continuing to be proposed at the state and the federal level, reflecting a trend toward more stringent privacy legislation in the United States. The enactment of such laws could have potentially conflicting requirements that would make compliance challenging. In the event that we are subject to or affected by HIPAA or the CCPA or other domestic privacy and data protection laws, any liability from failure to comply with the requirements of these laws could adversely affect our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State laws and regulations are not necessarily preempted by federal laws and regulations, such as HIPAA, particularly if a state affords greater protection to individuals than federal law. Where state laws are more protective, we must comply with the stricter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data we receive, use and share, potentially exposing us to additional expense, adverse publicity and liability. Legal requirements relating to the collection, storage, handling, and transfer of personal information and personal data continue to evolve and may result in increased public scrutiny and escalating levels of enforcement, sanctions and increased costs of compliance.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processing of personal data in the European Economic Area (EEA) is governed by the General Data Protection Regulation (the GDPR). The GDPR imposes stringent requirements for controllers and processors of personal data. The GDPR applies extraterritorially, and we may be subject to the GDPR because of our data processing activities that involve the personal data of individuals located in the EEA, or in the context of our activities within the EEA, such as in connection with any EEA clinical trials. The GDPR imposes comprehensive data privacy compliance obligations in relation to our collection and use of personal data, including a principle of accountability and the obligation to demonstrate compliance through policies, procedures, training and audit. If we or our vendors fail to comply with the GDPR and the applicable national data protection laws of the EEA member states, or if regulators assert we have failed to comply with these laws, it may lead to regulatory enforcement actions, which can result in, among other things, monetary penalties of up to €20,000,000 or up to 4% of the total worldwide annual turnover of the noncompliant undertaking for the preceding financial year, whichever is higher, and other administrative penalties. The GDPR also imposes strict rules on the transfer of personal data out of the EEA to the United States and other third countries that have not been found to provide adequate protection to such personal data, and the efficacy and longevity of current transfer mechanisms between the EEA and the United States remains uncertain. Case law from the Court of Justice of the European Union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European Commission adopted its Adequacy Decision in relation to the EU-U.S. Data Privacy Framework (the DPF) in July 2023, rendering the DPF effective as a GDPR transfer mechanism to U.S. entities self-certified under the DPF. We currently rely in part on the EU standard contractual clauses and the UK Addendum to the EU standard contractual clauses, as relevant, to transfer personal data outside the EEA and the UK, including to the United States. We expect the existing legal complexity and uncertainty regarding international personal data transfers to continue and international transfers to the U.S. and to other jurisdictions more generally to continue to be subject to enhanced scrutiny by regulators. As the regulatory guidance and enforcement landscape in relation to data transfers continue to develop, we could suffer additional costs, we may have to make operational changes and/or it could adversely affect our business, operations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must also comply with the UK General Data Protection Regulation, which, together with the UK Data Protection Act 2018, retains the GDPR in UK national law (collectively, the UK GDPR). The UK GDPR mirrors the fines under the GDPR, i.e., fines up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greater of £17.5 million or 4% of global turnover of a noncompliant undertaking’s global annual revenue for the preceding financial year. On October 12, 2023, the UK Extension to the DPF came into effect (as approved by the UK Government), as a data transfer mechanism from the UK to U.S. entities self-certified under the DPF. We may incur liabilities, expenses, costs and other operational losses under the GDPR and privacy laws of the applicable EU and EEA Member States and the UK in connection with any measures we take to comply with them. As we continue to expand into other foreign countries and jurisdictions, we may also be subject to additional laws and regulations that may affect how we conduct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Compliance with U.S. and international data protection laws and regulations could cause us to incur substantial costs or require us to change our business practices and compliance procedures in a manner adverse to our business. Penalties for violations of these laws vary and may be significant. Moreover, complying with these various laws could require us to take on more onerous obligations in our contracts, restrict our ability to collect, use and disclose data, or in some cases, impact our ability to operate in certain jurisdictions. In addition, we rely on third-party vendors to collect, process and store data on our behalf and we cannot guarantee that such vendors are in compliance with all applicable data protection laws and regulations. Our or our vendors’ failure to comply with U.S. and international data protection laws and regulations could result in government investigations and enforcement actions (which could include civil or criminal penalties), private litigation and adverse publicity. Claims that we have violated individuals’ privacy rights, failed to comply with data protection laws, or breached our contractual obligations, even if we are not found liable, could be expensive and time consuming to defend and could result in adverse publicity.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may be affected by the evolving regulatory framework for artificial intelligence, machine learning, and automated decision-making technologies, as well as the operational, cybersecurity and confidentiality risks associated with our use of such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use artificial intelligence (AI), machine learning, and automated decision-making technologies (collectively, AI Technologies) throughout our business, and are making investments in this area. We expect that increased investment will be required in the future to continuously improve our use of AI Technologies. As with many technological innovations, there are significant risks involved in developing, maintaining and deploying these technologies,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In addition, the use of certain AI Technologies, including third-party solutions, may involve the input, processing or storage of proprietary, confidential or personal information, and any failure to appropriately protect such information, or any unauthorized disclosure or use of such information, could adversely affect our business, harm our reputation and subject us to liability. There can be no assurance that the usage of or our investments in such technologies will always enhance our products or services or be beneficial to our business, including our efficiency or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on which we rely, including vendors, service providers, collaborators and contractors, may also use AI Technologies in providing products or services to us, in some cases without our knowledge or control. We may have limited ability to evaluate or monitor the design, training data, performance, security or regulatory compliance of such technologies, and outputs generated through their use may be inaccurate, incomplete, biased or otherwise unreliable. Such use could also result in intellectual property infringement, cybersecurity incidents, violations of applicable laws or contractual obligations, or the unauthorized use or disclosure of confidential, proprietary or personal information. Any of these events could disrupt our operations or development activities, require costly remediation, expose us to liability or regulatory scrutiny and harm our reputation.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if the models underlying our or third party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could suffer or we could incur liability resulting from the violation of laws or contracts to which we are a party or civil claims. We are in varying stages of development in relation to our products and internal business processes involving AI Technologies. The continuous development, maintenance and operation of our AI Technologies is expensive and complex, and may involve unforeseen difficulties including material performance problems, undetected defects or errors. For instance, the models underlying AI Technologies can experience decay (also known as “model drift”) in which their performance and accuracy decreases over time without further human intervention to correct such decay.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successful in our ongoing development and maintenance of these technologies in the face of novel and evolving technical, reputational and market factors. Our efforts to develop proprietary AI models could increase our operating costs. Our ability to develop proprietary AI models may be limited by our access to processing infrastructure or training data, and we may be dependent on third-party providers for such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Failure to appropriately respond to this evolving landscape may result in reputational, competitive and business harm as well as litigation and regulatory action and fines, penalties and expenses related thereto.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jc w:val="left"/>
        <w:rPr>
          <w:rFonts w:ascii="Times New Roman" w:hAnsi="Times New Roman"/>
          <w:sz w:val="20"/>
        </w:rPr>
      </w:pPr>
      <w:r>
        <w:rPr>
          <w:rFonts w:ascii="Times New Roman" w:hAnsi="Times New Roman"/>
          <w:b/>
          <w:i/>
          <w:color w:val="000000"/>
          <w:sz w:val="20"/>
        </w:rPr>
        <w:t>Our business and operations, or those of our CROs or other third parties, may suffer in the event of information technology system failures, cyberattacks or deficiencies in our cybersecurity, which could materially affect our business, financial condition and results of operations.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receive, generate and store significant and increasing volumes of sensitive information, such as health-related information, clinical trial data, proprietary business information and the personal information of our employees and contractors (collectively, Confidential Information). We face a number of risks related to protecting the information technology systems we rely on and this Confidential Information, including loss of access risk, inappropriate use or disclosure, inappropriate modification and the risk of our being unable to adequately monitor, audit and modify our controls over our Confidential Information. This risk extends to the information technology systems and information of any collaboration partners, medical institutions, clinical investigators, CROs, contract laboratories and other third parties involved in our business. There can be no assurance that our cybersecurity risk management program and processes, including our policies, controls or procedures, will be fully implemented, complied with or effective in protecting our systems and Confidential Information. </w:t>
      </w:r>
    </w:p>
    <w:p>
      <w:pPr>
        <w:pStyle w:val="TextBody"/>
        <w:bidi w:val="0"/>
        <w:jc w:val="left"/>
        <w:rPr>
          <w:rFonts w:ascii="Times New Roman" w:hAnsi="Times New Roman"/>
          <w:color w:val="000000"/>
          <w:sz w:val="20"/>
        </w:rPr>
      </w:pPr>
      <w:r>
        <w:rPr>
          <w:rFonts w:ascii="Times New Roman" w:hAnsi="Times New Roman"/>
          <w:color w:val="000000"/>
          <w:sz w:val="20"/>
        </w:rPr>
        <w:t>Despite the implementation of security measures, our information technology systems, as well as those of CROs or other third parties with which we have relationships, are vulnerable to attack, interruption and damage from computer viruses and malware (e.g., ransomware), malicious code, misconfigurations, “bugs” or other vulnerabilities, unauthorized access, natural and manmade disasters, terrorism, war and telecommunication and electrical failures, malfeasance by external or internal parties, fraud, denial or degradation of service attacks, sophisticated nation-state and nation-state-supported actors and human error (e.g., social engineering and phishing). Attacks upon information technology systems are increasing in their frequency, levels of persistence, sophistication and intensity, and are being conducted by sophisticated and organized groups and individuals with a wide range of motives and expertise. Furthermore, because technologies (such as AI) that are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We may not be able to anticipate all types of security threats, and, even if identified, we may be unable to adequately investigate or remediate incidents or breaches due to attackers increasingly using tools and techniques that are designed to circumvent controls, to avoid detection, and to remove or obfuscate forensic evidence. We may also face increased cybersecurity risks due to our reliance on internet technology and the number of our and our service providers’ employees who are (and may continue to be) working remotely, which may create additional opportunities for cybercriminals to exploit vulnerabilities. The White House, the Securities and Exchange Commission (the SEC) and other regulators have also increased their focus on companies’ cybersecurity vulnerabilities and risks. Further, any integration of AI in our or any third party’s operations, products or services is expected to pose new or unknown cybersecurity risks and challenges. Although we have implemented policies regarding limited permitted use of generative AI by our employees, Confidential Information could be leaked, disclosed or revealed as a result of or in connection with our employees’ use of generative AI Technologies.</w:t>
      </w:r>
    </w:p>
    <w:p>
      <w:pPr>
        <w:pStyle w:val="TextBody"/>
        <w:bidi w:val="0"/>
        <w:jc w:val="left"/>
        <w:rPr>
          <w:rFonts w:ascii="Times New Roman" w:hAnsi="Times New Roman"/>
          <w:color w:val="000000"/>
          <w:sz w:val="20"/>
        </w:rPr>
      </w:pPr>
      <w:r>
        <w:rPr>
          <w:rFonts w:ascii="Times New Roman" w:hAnsi="Times New Roman"/>
          <w:color w:val="000000"/>
          <w:sz w:val="20"/>
        </w:rPr>
        <w:t xml:space="preserve">We, our CROs and certain of our service providers are, from time to time, subject to cyberattacks and security incidents that threaten the confidentiality, integrity and availability of information technology systems and Confidential Information. While we have not to our knowledge experienced any significant system failure, accident or security breach to date, if such an event were to occur and cause interruptions in our or our critical third parties’ operations, it could result in delays and/or material disruptions of our research and development programs, our operations and ultimately, our financial results. For example, the loss of clinical trial data from completed, ongoing or planned clinical trials could result in delays in our regulatory approval efforts and significantly increase our costs to recover or reproduce the data. Likewise, we rely on third parties for the manufacture of our product candidates and to conduct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trials, and similar events relating to their information technology systems could also adversely impact our business. Further, due to the current global political uncertainty, including the conflicts involving Russia and Ukraine and in the Middle East, there is an increased likelihood that the tensions could result in cyberattacks or cybersecurity incidents that could either directly or indirectly impact our or our critical third parties’ operations. To the extent that any disruption or security breach were to result in a loss of or damage to data or applications, or inappropriate disclosure of Confidential Information, the costs associated with the investigation, remediation and potential notification of the breach to counterparties and data subjects could be material, we could incur liability due to delays in the development and commercialization of our product candidates or other business activities, and we may be exposed to reputational harm, litigation (including class actions) regulatory investigations and enforcement, fines and penalties, or increased costs of compliance and system remediation.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If the information technology systems of our CROs or other service providers were to fail, or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w:t>
      </w:r>
    </w:p>
    <w:p>
      <w:pPr>
        <w:pStyle w:val="TextBody"/>
        <w:bidi w:val="0"/>
        <w:jc w:val="left"/>
        <w:rPr>
          <w:rFonts w:ascii="Times New Roman" w:hAnsi="Times New Roman"/>
          <w:sz w:val="20"/>
        </w:rPr>
      </w:pPr>
      <w:r>
        <w:rPr>
          <w:rFonts w:ascii="Times New Roman" w:hAnsi="Times New Roman"/>
          <w:b/>
          <w:color w:val="000000"/>
          <w:sz w:val="20"/>
        </w:rPr>
        <w:t>Risks related to reliance on third parties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may depend on collaborations with other third parties for the development and commercialization of our product candidates in the future. If our collaborations are not successful, we may not be able to capitalize on the market potential of these product candidates.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future, we may form or seek other strategic alliances, joint ventures or collaborations, or enter into additional licensing arrangements with third parties that we believe will complement or augment our development and commercialization efforts with respect to our product candidates. </w:t>
      </w:r>
    </w:p>
    <w:p>
      <w:pPr>
        <w:pStyle w:val="TextBody"/>
        <w:bidi w:val="0"/>
        <w:jc w:val="left"/>
        <w:rPr>
          <w:rFonts w:ascii="Times New Roman" w:hAnsi="Times New Roman"/>
          <w:color w:val="000000"/>
          <w:sz w:val="20"/>
        </w:rPr>
      </w:pPr>
      <w:r>
        <w:rPr>
          <w:rFonts w:ascii="Times New Roman" w:hAnsi="Times New Roman"/>
          <w:color w:val="000000"/>
          <w:sz w:val="20"/>
        </w:rPr>
        <w:t xml:space="preserve">Collaborations involving our current and future product candidates may pose the following risks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and may have incentives that are different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with marketing, manufacturing or distribution rights to one or more products may not commit sufficient resources to or otherwise not perform satisfactorily in carrying out these activities as it relates to our product candidates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prosecute, maintain, enforce or defend our intellectual property rights, or they may use our proprietary information in a way that gives rise to actual or threatened litigation that could jeopardize or invalidate our intellectual property or proprietary information or expose us to potential litigation, or other intellectual property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products that result from our collaboration with them, and in such cases, we may not have the exclusive right to develop, license or commercialize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with respect to ownership of any intellectual property developed pursuant to our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a collaborator and us that cause the delay or termination of the research, development or commercialization of the product candidate, or that result in costly litigation or arbitration that diverts management attention and resources;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current or future collaborator of ours were to be involved in a business combination, the continued pursuit and emphasis on our product development or commercialization program under our collaboration could be delayed, diminished or terminated, including if the partner in such a business combination has products that compete with ours.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result, if we enter into additional collaboration agreements and strategic partnerships or license intellectual property, products or businesses, we may not be able to realize the benefit of such transactions, including if we are unable to successfully integrate them with our or their existing operations, which could delay our timelines or otherwise adversely affect our business. We also cannot be certain that, following entry into a strategic transaction or license, we will achieve the revenue, specific net income or other objectives that justify such transaction. Any delays in entering into new collaborations or strategic partnership agreements related to our current or future product candidates could delay the development and commercialization of our product candidates, which would harm our business prospects, financial condition and results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where a collaborator has responsibility for, or decision-making authority over, development, regulatory, commercialization, pricing, reimbursement or launch activities in a particular territory, our ability to realize the anticipated benefits of the collaboration, including milestone and royalty payments, may depend substantially on the collaborator’s performance, and any breach, termination, competing priorities or failure to obtain regulatory approval or successfully commercialize the applicable products could disrupt our development and supply activities, reduce or delay payments or revenues and require us to assume additional activities, costs and responsibilities.</w:t>
      </w:r>
    </w:p>
    <w:p>
      <w:pPr>
        <w:pStyle w:val="TextBody"/>
        <w:bidi w:val="0"/>
        <w:jc w:val="left"/>
        <w:rPr>
          <w:rFonts w:ascii="Times New Roman" w:hAnsi="Times New Roman"/>
          <w:sz w:val="20"/>
        </w:rPr>
      </w:pPr>
      <w:r>
        <w:rPr>
          <w:rFonts w:ascii="Times New Roman" w:hAnsi="Times New Roman"/>
          <w:b/>
          <w:i/>
          <w:color w:val="000000"/>
          <w:sz w:val="20"/>
        </w:rPr>
        <w:t>We may seek to establish additional collaborations, and, if we are not able to establish them on commercially reasonable terms, we may have to alter our development and commercialization plans.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advancement of our product candidates and development programs and the potential commercialization of our current and future product candidates will require substantial additional cash to fund expenses. For some of our programs, we may decide to collaborate with additional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or disrupt our management and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one or more strategic partnerships or other alternative arrangements for future product candidates because they may be deemed to be at too early of a stage of development for collaborative effort, and third parties may not view them as having the requisite potential to demonstrate safety and efficacy. </w:t>
      </w:r>
    </w:p>
    <w:p>
      <w:pPr>
        <w:pStyle w:val="TextBody"/>
        <w:bidi w:val="0"/>
        <w:jc w:val="left"/>
        <w:rPr>
          <w:rFonts w:ascii="Times New Roman" w:hAnsi="Times New Roman"/>
          <w:color w:val="000000"/>
          <w:sz w:val="20"/>
        </w:rPr>
      </w:pPr>
      <w:r>
        <w:rPr>
          <w:rFonts w:ascii="Times New Roman" w:hAnsi="Times New Roman"/>
          <w:color w:val="000000"/>
          <w:sz w:val="20"/>
        </w:rPr>
        <w:t xml:space="preserve">The terms of any collaboration agreement we enter into may restrict us from entering into future agreements on certain terms with potential collaborators, which may limit our ability to find additional collaborators in the future or adversely impact the terms of these future collaborations.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business combinations among pharmaceutical and biotechnology companies have in the past and may in the future result in a reduced number of potential future collaborators. </w:t>
      </w:r>
    </w:p>
    <w:p>
      <w:pPr>
        <w:pStyle w:val="TextBody"/>
        <w:bidi w:val="0"/>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jc w:val="left"/>
        <w:rPr>
          <w:rFonts w:ascii="Times New Roman" w:hAnsi="Times New Roman"/>
          <w:sz w:val="20"/>
        </w:rPr>
      </w:pPr>
      <w:r>
        <w:rPr>
          <w:rFonts w:ascii="Times New Roman" w:hAnsi="Times New Roman"/>
          <w:b/>
          <w:i/>
          <w:color w:val="000000"/>
          <w:sz w:val="20"/>
        </w:rPr>
        <w:t>If conflicts arise between us and our collaborators or strategic partners, these parties may act in a manner adverse to us and could limit our ability to implement our strategies.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If conflicts arise between our corporate or academic collaborators or strategic partners and us, the other party may act in a manner adverse to us and could limit our ability to implement our strategies. Our current or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collaborators or strategic partners have rights, may result in the withdrawal of partner support for our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 </w:t>
      </w:r>
    </w:p>
    <w:p>
      <w:pPr>
        <w:pStyle w:val="TextBody"/>
        <w:bidi w:val="0"/>
        <w:jc w:val="left"/>
        <w:rPr>
          <w:rFonts w:ascii="Times New Roman" w:hAnsi="Times New Roman"/>
          <w:sz w:val="20"/>
        </w:rPr>
      </w:pPr>
      <w:r>
        <w:rPr>
          <w:rFonts w:ascii="Times New Roman" w:hAnsi="Times New Roman"/>
          <w:b/>
          <w:i/>
          <w:color w:val="000000"/>
          <w:sz w:val="20"/>
        </w:rPr>
        <w:t>We rely on third parties to conduct the clinical trials for our product candidates. If these third parties do not successfully carry out their contractual duties, comply with regulatory requirements or meet expected deadlines, we may not be able to obtain marketing approval for or commercialize our product candidates.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do not have the ability to independently conduct clinical trials. We and any collaboration partners who may conduct clinical trials involving our product candidates rely on medical institutions, clinical investigators, CROs, contract laboratories, and other third parties to conduct or otherwise support these clinical trials, all of which we refer to herein as our clinical trials. We and our collaborators rely heavily on these parties for execution of clinical trials and control only certain aspects of their activities. In addition, we have limited control over the activities of our collaborators who may conduct clinical trials involving our product candidates. Nevertheless, we are responsible for ensuring that each of our clinical trials is conducted in accordance with the applicable protocol, legal and regulatory requirements and scientific standards, and our reliance on third parties does not relieve us of these responsibilities. For any violations of laws and regulations during the conduct of our clinical trials, we could be subject to untitled and warning letters or enforcement actions that may include civil penalties or criminal prosecution. </w:t>
      </w:r>
    </w:p>
    <w:p>
      <w:pPr>
        <w:pStyle w:val="TextBody"/>
        <w:bidi w:val="0"/>
        <w:jc w:val="left"/>
        <w:rPr>
          <w:rFonts w:ascii="Times New Roman" w:hAnsi="Times New Roman"/>
          <w:color w:val="000000"/>
          <w:sz w:val="20"/>
        </w:rPr>
      </w:pPr>
      <w:r>
        <w:rPr>
          <w:rFonts w:ascii="Times New Roman" w:hAnsi="Times New Roman"/>
          <w:color w:val="000000"/>
          <w:sz w:val="20"/>
        </w:rPr>
        <w:t xml:space="preserve">We, our collaborators and the other third parties involved in our clinical trials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 member states and comparable foreign regulatory authorities for any drugs in clinical development. The FDA and comparable foreign regulatory authorities enforce GCP requirements through periodic inspections of clinical trial sponsors, principal investigators and trial sites. If we, our collaborators or other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Upon inspection, the FDA or comparable foreign authorities may determine that any of our current or future clinical trials do not comply with GCP. In addition, our clinical trials must be conducted with product candidates produced under cGMP regulations and similar regulatory requirements outside the United States. Our failure or the failure of third parties to comply with these regulations may require us to repeat clinical trials, which would delay the marketing approval process and could also subject us to enforcement action. We also are required to register certain ongoing clinical trials and provide certain information, including information relating to the trial’s protocol, on a United States government-sponsored database, ClinicalTrials.gov, within specific timeframes. Similar disclosure requirements may exist in foreign jurisdictions. Failure to do so can result in fines, adverse publicity and civil and criminal sanctions.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participated and in the future may participate in clinical collaborations where a partner is responsible for conducting a clinical trial involving our product candidates. These collaborators may be commercial entities or investigator-sponsored or initiated studies that use our product candidates. Although we intend to design the clinical trials for our product candidates, or be involved in the design when other parties sponsor the trials, because these collaborators will have primary responsibility for the conduct of these trials, many important aspects of our clinical development for these trials, including their conduct and timing, are outside of our direct control.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reliance on third parties to conduct future clinical trials will also result in less direct control over the management of data developed through clinical trials than would be the case if we were relying entirely upon our own staff. Communicating with third parties can also be challenging, potentially leading to mistakes as well as difficulties in coordinating activities. Third parties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staffing difficulties;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 to comply with contractual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regulatory compliance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incentives that are different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undergo changes in priorities or become financially distressed;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jc w:val="left"/>
        <w:rPr>
          <w:rFonts w:ascii="Times New Roman" w:hAnsi="Times New Roman"/>
          <w:color w:val="000000"/>
          <w:sz w:val="20"/>
        </w:rPr>
      </w:pPr>
      <w:r>
        <w:rPr>
          <w:rFonts w:ascii="Times New Roman" w:hAnsi="Times New Roman"/>
          <w:color w:val="000000"/>
          <w:sz w:val="20"/>
        </w:rPr>
        <w:t xml:space="preserve">These factors may materially adversely affect the willingness or ability of third parties to conduct our clinical trials and may subject us to unexpected cost increases that are beyond our control. If the CROs or other third parties involved in our clinical trials do not perform these trials in a satisfactory manner, breach their obligations to us, or fail to comply with regulatory requirements,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development, marketing approval and commercialization of our product candidates may be delayed, we may not be able to obtain marketing approval and commercialize our product candidates, or our development program may be materially and irreversibly harmed. If we are unable to rely on clinical data collected by third parties involved in our clinical trials, we could be required to repeat, extend the duration of, or increase the size of our clinical trials and this could significantly delay commercialization and require significantly greater expenditures. </w:t>
      </w:r>
    </w:p>
    <w:p>
      <w:pPr>
        <w:pStyle w:val="TextBody"/>
        <w:bidi w:val="0"/>
        <w:jc w:val="left"/>
        <w:rPr>
          <w:rFonts w:ascii="Times New Roman" w:hAnsi="Times New Roman"/>
          <w:color w:val="000000"/>
          <w:sz w:val="20"/>
        </w:rPr>
      </w:pPr>
      <w:r>
        <w:rPr>
          <w:rFonts w:ascii="Times New Roman" w:hAnsi="Times New Roman"/>
          <w:color w:val="000000"/>
          <w:sz w:val="20"/>
        </w:rPr>
        <w:t xml:space="preserve">If any of our relationships with our CROs or other third parties involved in our clinical trials terminate, we may not be able to enter into arrangements with alternative CROs or other third parties on commercially reasonable terms, or at all. If CROs or other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or other third parties are associated with may be extended, delayed or terminated, and we may not be able to obtain marketing approval for or successfully commercialize our product candidates. </w:t>
      </w:r>
    </w:p>
    <w:p>
      <w:pPr>
        <w:pStyle w:val="TextBody"/>
        <w:bidi w:val="0"/>
        <w:jc w:val="left"/>
        <w:rPr>
          <w:rFonts w:ascii="Times New Roman" w:hAnsi="Times New Roman"/>
          <w:sz w:val="20"/>
        </w:rPr>
      </w:pPr>
      <w:r>
        <w:rPr>
          <w:rFonts w:ascii="Times New Roman" w:hAnsi="Times New Roman"/>
          <w:b/>
          <w:i/>
          <w:color w:val="000000"/>
          <w:sz w:val="20"/>
        </w:rPr>
        <w:t>We rely on third parties to manufacture preclinical and clinical drug supplies, and we intend to rely on third parties to produce commercial supplies of any approved product, which increases the risk that we will not have sufficient quantities of these product candidates or products or such quantities at an acceptable cost, which could delay, prevent or impair our development or commercialization efforts.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do not own or operate manufacturing facilities for the production of preclinical, clinical or commercial supplies of the product candidates that we are developing or evaluating in our development programs. We have limited personnel with experience in drug manufacturing and lack the resources and the capabilities to manufacture any of our product candidates on a preclinical, clinical or commercial scale. We rely on third parties for supply of our preclinical and clinical drug supplies (including key starting and intermediate materials), and our strategy is to outsource all manufacturing of our product candidates and products to third parties. </w:t>
      </w:r>
    </w:p>
    <w:p>
      <w:pPr>
        <w:pStyle w:val="TextBody"/>
        <w:bidi w:val="0"/>
        <w:jc w:val="left"/>
        <w:rPr>
          <w:rFonts w:ascii="Times New Roman" w:hAnsi="Times New Roman"/>
          <w:color w:val="000000"/>
          <w:sz w:val="20"/>
        </w:rPr>
      </w:pPr>
      <w:r>
        <w:rPr>
          <w:rFonts w:ascii="Times New Roman" w:hAnsi="Times New Roman"/>
          <w:color w:val="000000"/>
          <w:sz w:val="20"/>
        </w:rPr>
        <w:t xml:space="preserve">In order to conduct clinical trials of product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product candidates may shorten the expiry of our product candidates and lead to clinical trial material supply shortages, and potentially clinical trial delays. Further, the current U.S. Presidential administration has announced significant tariffs on imports from other countries on a wide range of goods. Any such tariffs that apply to drug supplies that we or our third-party suppliers import would result in our clinical trials being more costly to run than anticipated, and could have a substantial impact on our financial projections as well as timelines and plans for our clinical trials and commercialization efforts. If these third-party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t>
      </w:r>
    </w:p>
    <w:p>
      <w:pPr>
        <w:pStyle w:val="TextBody"/>
        <w:bidi w:val="0"/>
        <w:jc w:val="left"/>
        <w:rPr>
          <w:rFonts w:ascii="Times New Roman" w:hAnsi="Times New Roman"/>
          <w:color w:val="000000"/>
          <w:sz w:val="20"/>
        </w:rPr>
      </w:pPr>
      <w:r>
        <w:rPr>
          <w:rFonts w:ascii="Times New Roman" w:hAnsi="Times New Roman"/>
          <w:color w:val="000000"/>
          <w:sz w:val="20"/>
        </w:rPr>
        <w:t xml:space="preserve">Some of our third-party suppliers are currently our sole source of drug supplies (including key starting and intermediate materials) and, as a result, an issue with one of these suppliers may impact our development or commercial plans. Our use of new third-party manufacturers or suppliers increases the risk of delays in production or insufficient supplies of our product candidates (and the key starting and intermediate materials for such product candidates) as we transfer our manufacturing technology to these manufacturers or suppliers and as they gain experience manufacturing or producing our product candidates (and the key starting and intermediate materials for these product candidates). </w:t>
      </w:r>
    </w:p>
    <w:p>
      <w:pPr>
        <w:pStyle w:val="TextBody"/>
        <w:bidi w:val="0"/>
        <w:jc w:val="left"/>
        <w:rPr>
          <w:rFonts w:ascii="Times New Roman" w:hAnsi="Times New Roman"/>
          <w:color w:val="000000"/>
          <w:sz w:val="20"/>
        </w:rPr>
      </w:pPr>
      <w:r>
        <w:rPr>
          <w:rFonts w:ascii="Times New Roman" w:hAnsi="Times New Roman"/>
          <w:color w:val="000000"/>
          <w:sz w:val="20"/>
        </w:rPr>
        <w:t xml:space="preserve">Even after a third-party manufacturer has gained significant experience in manufacturing our product candidates (or the key starting and intermediate materials for such product candidates), or even if we believe we have succeeded in optimizing the manufacturing process, there can be no assurance that such manufacturer will produce sufficient quantities of our product candidates (or the key starting and intermediate materials for such product candidates) in a timely manner or continuously over time, or at all. We may be delayed if we need to change the manufacturing process used by a third party. Further, if we change an approved manufacturing process, then we may be delayed if the FDA or a comparable foreign authority needs to review the new manufacturing process before it may be used.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Reliance on third-party manufacturers for preclinical, clinical and commercial supplies entails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intend to use third-party manufacturers for long-term commercial supply. Reliance on third-party manufacturers entails risks,</w:t>
        <w:br/>
        <w:t>including those described above.</w:t>
      </w:r>
    </w:p>
    <w:p>
      <w:pPr>
        <w:pStyle w:val="TextBody"/>
        <w:bidi w:val="0"/>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 </w:t>
      </w:r>
    </w:p>
    <w:p>
      <w:pPr>
        <w:pStyle w:val="TextBody"/>
        <w:bidi w:val="0"/>
        <w:jc w:val="left"/>
        <w:rPr>
          <w:rFonts w:ascii="Times New Roman" w:hAnsi="Times New Roman"/>
          <w:color w:val="000000"/>
          <w:sz w:val="20"/>
        </w:rPr>
      </w:pPr>
      <w:r>
        <w:rPr>
          <w:rFonts w:ascii="Times New Roman" w:hAnsi="Times New Roman"/>
          <w:color w:val="000000"/>
          <w:sz w:val="20"/>
        </w:rPr>
        <w:t xml:space="preserve">Our future product candidates and any products that we may develop may compete with other product candidates and products for access to manufacturing facilities. There are a limited number of manufacturers that operate under cGMP, particularly those with the specialized capabilities required to manufacture our product candidates and their key starting and intermediate materials. </w:t>
      </w:r>
    </w:p>
    <w:p>
      <w:pPr>
        <w:pStyle w:val="TextBody"/>
        <w:bidi w:val="0"/>
        <w:jc w:val="left"/>
        <w:rPr>
          <w:rFonts w:ascii="Times New Roman" w:hAnsi="Times New Roman"/>
          <w:color w:val="000000"/>
          <w:sz w:val="20"/>
        </w:rPr>
      </w:pPr>
      <w:r>
        <w:rPr>
          <w:rFonts w:ascii="Times New Roman" w:hAnsi="Times New Roman"/>
          <w:color w:val="000000"/>
          <w:sz w:val="20"/>
        </w:rPr>
        <w:t>Additionally, in recent years, U.S. legislative and policy initiatives have increasingly focused on the national security implications of foreign involvement in biotechnology, particularly with respect to China. For example, in January 2024, there was Congressional activity, including the introduction of the BIOSECURE Act in the House of Representatives and a substantially similar Senate bill. In September 2024, the House of Representatives of the prior Congress (the 118th Congress) passed the BIOSECURE Act, but the Senate never voted on it. In 2025, Congress revisited the BIOSECURE Act concept. A revised version of the legislation was proposed as an amendment to the National Defense Authorization Act (NDAA) for fiscal year 2026. This updated draft removed specific company names previously targeted and instead would rely on an existing Department of Defense list of companies with national security concerns. Congress ultimately included the BIOSECURE provisions in the finalized NDAA, effectively making the restrictions part of law as of December 2025, subject to further regulatory implementation and designation processes.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enacted provisions, agencies are prohibited from procuring biotechnology equipment or services from entities designated as “biotechnology companies of concern” and may impose limitations on recipients of federal funding that engage such entities. The statute authorizes the Office of Management and Budget to identify companies of concern based on existing Department of Defense lists of military-linked firms and other criteria tied to national security risk, including ties to foreign adversaries and sensitive data risks.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currently do business with companies in China, including some that have been referenced in earlier versions of the BIOSECURE Act and related policy discussions, and certain counterparties could be impacted by these legislative actions or regulatory lists. Changes in laws, regulations, or executive orders — or the issuance of lists identifying covered entities — could materially affect our collaborations, supply chains, research partnerships, manufacturing relationships, and access to certain services or technologies.</w:t>
      </w:r>
    </w:p>
    <w:p>
      <w:pPr>
        <w:pStyle w:val="TextBody"/>
        <w:bidi w:val="0"/>
        <w:jc w:val="left"/>
        <w:rPr>
          <w:rFonts w:ascii="Times New Roman" w:hAnsi="Times New Roman"/>
          <w:color w:val="000000"/>
          <w:sz w:val="20"/>
        </w:rPr>
      </w:pPr>
      <w:r>
        <w:rPr>
          <w:rFonts w:ascii="Times New Roman" w:hAnsi="Times New Roman"/>
          <w:color w:val="000000"/>
          <w:sz w:val="20"/>
        </w:rPr>
        <w:t>If the third parties that we engage to supply any materials or manufacture product for our preclinical tests and clinical trials should cease to continue to do so for any reason, we likely would experience delays in advancing these tests and trials while we identify and qualify replacement suppliers or manufacturers, and we may be unable to obtain replacement supplies on terms that are favorable to us or at all. In addition, if we are not able to obtain adequate supplies of our product candidates or the substances used to manufacture them, it will be more difficult for us to develop our product candidates and compete effectively.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our product candidates (or the key starting and intermediate materials for such product candidates) may adversely affect our future profit margins and our ability to develop product candidates and commercialize any products that receive marketing approval on a timely and competitive basis. </w:t>
      </w:r>
    </w:p>
    <w:p>
      <w:pPr>
        <w:pStyle w:val="TextBody"/>
        <w:bidi w:val="0"/>
        <w:jc w:val="left"/>
        <w:rPr>
          <w:rFonts w:ascii="Times New Roman" w:hAnsi="Times New Roman"/>
          <w:sz w:val="20"/>
        </w:rPr>
      </w:pPr>
      <w:r>
        <w:rPr>
          <w:rFonts w:ascii="Times New Roman" w:hAnsi="Times New Roman"/>
          <w:b/>
          <w:i/>
          <w:color w:val="000000"/>
          <w:sz w:val="20"/>
        </w:rPr>
        <w:t>Our future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Healthcare providers, physicians and third-party payors in the United States and elsewhere will play a primary role in the recommendation and prescription of any product candidates for which we obtain marketing approval. In addition, before any product candidate is approved, healthcare providers, patients, patient advocacy organizations, payors, government authorities and other third parties may seek access to our product candidates through one or more pre-license patient access programs. Our future arrangements with third-party payors and customers, and our operation or support of any such pre-license patient access programs, may expose us to broadly applicable fraud and abuse and other healthcare laws and regulations, including, without limitation, the federal Anti-Kickback Statute and the federal False Claims Act (FCA), which may constrain the business or financial arrangements and relationships through which we sell, market and distribute any products for which we obtain marketing approval. The applicable federal, state and foreign healthcare laws and regulations that may affect our ability to operate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knowingly and willfully soliciting, receiving, offering or paying any remuneration (including any kickback, bribe or rebate), directly or indirectly, overtly or covertly,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and criminal false claims laws, including the FCA, and civil monetary penalty laws,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non-physician practitioners (defined to include physician assistants, nurse practitioners, clinical nurse specialists, certified nurse anesthetists, anesthesiologist assistants and certified nurse midwives), and teaching hospitals,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or related foreign, state or local laws and regulations, including anti-kickback and false claims laws, which may apply to sales or marketing arrangements and claims involving healthcare items or services reimbursed by non-government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state laws that require drug manufacturers to report information related to payments and other transfers of value to physicians and other healthcare providers or marketing expenditures. </w:t>
      </w:r>
    </w:p>
    <w:p>
      <w:pPr>
        <w:pStyle w:val="TextBody"/>
        <w:bidi w:val="0"/>
        <w:jc w:val="left"/>
        <w:rPr>
          <w:rFonts w:ascii="Times New Roman" w:hAnsi="Times New Roman"/>
          <w:color w:val="000000"/>
          <w:sz w:val="20"/>
        </w:rPr>
      </w:pPr>
      <w:r>
        <w:rPr>
          <w:rFonts w:ascii="Times New Roman" w:hAnsi="Times New Roman"/>
          <w:color w:val="000000"/>
          <w:sz w:val="20"/>
        </w:rPr>
        <w:t xml:space="preserve">Because of the breadth of the laws described above and the narrowness of the statutory exceptions and regulatory safe harbors available under them, it is possible that some of our business activities could be subject to challenge under one or more of these laws. </w:t>
      </w:r>
    </w:p>
    <w:p>
      <w:pPr>
        <w:pStyle w:val="TextBody"/>
        <w:bidi w:val="0"/>
        <w:jc w:val="left"/>
        <w:rPr>
          <w:rFonts w:ascii="Times New Roman" w:hAnsi="Times New Roman"/>
          <w:color w:val="000000"/>
          <w:sz w:val="20"/>
        </w:rPr>
      </w:pPr>
      <w:r>
        <w:rPr>
          <w:rFonts w:ascii="Times New Roman" w:hAnsi="Times New Roman"/>
          <w:color w:val="000000"/>
          <w:sz w:val="20"/>
        </w:rPr>
        <w:t>Pre-license patient access programs, including compassionate use, named patient programs and expanded access treatment protocols, may also be subject to complex and evolving requirements in the United States and foreign jurisdictions. These requirements may include rules governing eligibility criteria, physician requests, informed consent, institutional review board or ethics committee review, regulatory authorization or notification, pharmacovigilance and adverse event reporting, import/export, product quality, charging or cost recovery, data privacy, transparency and interactions with healthcare professionals, patients and patient advocacy organizations. If we establish, support or make product candidates available through any such programs, we may incur substantial costs and operational burdens, and we may be subject to heightened scrutiny by regulators, healthcare professionals, patient groups, investors and the public regarding the design, scope, timing, consistency and fairness of those programs. Any actual or perceived failure to comply with applicable requirements or to administer such programs appropriately could result in regulatory enforcement, civil or criminal penalties, negative publicity, reputational harm, disruption to our clinical development or commercialization plans, or other adverse effects on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parties comply with applicable healthcare laws, as well as responding to investigations by government authorities, can be time- and resource-consuming and can divert management’s attention from the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of our product candidates outside the United States will also likely subject us to foreign equivalents of the healthcare laws mentioned above, among other foreign laws. </w:t>
      </w:r>
    </w:p>
    <w:p>
      <w:pPr>
        <w:pStyle w:val="TextBody"/>
        <w:bidi w:val="0"/>
        <w:jc w:val="left"/>
        <w:rPr>
          <w:rFonts w:ascii="Times New Roman" w:hAnsi="Times New Roman"/>
          <w:sz w:val="20"/>
        </w:rPr>
      </w:pPr>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If we and our collaborators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of our current or future product candidates.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success depends in significant part on our ability and the ability of our collaborators to obtain, maintain, enforce and defend patents and other intellectual property rights with respect to our product candidates and technology and to operate our business without infringing, misappropriating, or otherwise violating the intellectual property rights of others. If we and our collaborators are unable to obtain and maintain sufficient intellectual property protection for our product candidates or the product candidates that we may identify, or if the scope of the intellectual property protection obtained is not sufficiently broad, our competitors and other third parties could develop and commercialize product candidates similar or identical to ours, and our ability (and the ability of our collaborators) to successfully commercialize our product candidates may be impaired. Our patent coverage with respect to our clinical and preclinical programs is limited, and we can provide no assurance that any of our current or future patent applications will result in issued patents or that any issued patents will provide us with any competitive advantage. Failure to obtain such issued patents could negatively impact our and our collaborators’ ability to develop or commercialize any of our product candidates or technology. </w:t>
      </w:r>
    </w:p>
    <w:p>
      <w:pPr>
        <w:pStyle w:val="TextBody"/>
        <w:bidi w:val="0"/>
        <w:jc w:val="left"/>
        <w:rPr>
          <w:rFonts w:ascii="Times New Roman" w:hAnsi="Times New Roman"/>
          <w:color w:val="000000"/>
          <w:sz w:val="20"/>
        </w:rPr>
      </w:pPr>
      <w:r>
        <w:rPr>
          <w:rFonts w:ascii="Times New Roman" w:hAnsi="Times New Roman"/>
          <w:color w:val="000000"/>
          <w:sz w:val="20"/>
        </w:rPr>
        <w:t xml:space="preserve">We seek to protect our proprietary positions by, among other things, filing patent applications in the United States and abroad related to our current product candidates and the product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have failed or will fail to identify patentable aspects of our research and development output before it is too late to obtain patent protection. We may not have the right to control the preparation, filing, prosecution and maintenance of patent applications, or to maintain the rights to patents licensed to or from third parties.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filed, thereby jeopardizing our ability to seek patent protection. Further, we may not be aware of all third-party intellectual property rights potentially relating to our product candidates. Publications of discoveries in the scientific literature often lag behind the actual discoveries, and patent applications in the United States and other jurisdictions are typically not published until approximately 18 months after filing or, in some cases, not at all. Therefore, we cannot know with certainty whether we were the first to make the inventions claimed in our patents or pending patent applications, or that we were the first to file for patent protection of such inventions. </w:t>
      </w:r>
    </w:p>
    <w:p>
      <w:pPr>
        <w:pStyle w:val="TextBody"/>
        <w:bidi w:val="0"/>
        <w:jc w:val="left"/>
        <w:rPr>
          <w:rFonts w:ascii="Times New Roman" w:hAnsi="Times New Roman"/>
          <w:color w:val="000000"/>
          <w:sz w:val="20"/>
        </w:rPr>
      </w:pPr>
      <w:r>
        <w:rPr>
          <w:rFonts w:ascii="Times New Roman" w:hAnsi="Times New Roman"/>
          <w:color w:val="000000"/>
          <w:sz w:val="20"/>
        </w:rPr>
        <w:t xml:space="preserve">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before the patent is issued, and its scope can be reinterpreted after issuance. Therefore, our pending and future patent applications may not result in patents being issued in relevant jurisdictions that protect our product candidates, in whole or in part, or which effectively prevent others from commercializing competitive product candidates, and, even if our patent applications issue as patents in relevant jurisdictions, they may not issue in a form that will provide us with any meaningful protection for our product candidates or technology, prevent competitors from competing with us or otherwise provide us with any competitive advantage. Additionally, our competitors may be able to circumvent our patents by developing similar or alternative product candidates or technologies in a non-infringing manner.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applicable foreign offices or become involved in opposition, derivation, revocation,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freedom to operate, patent claims being narrowed, invalidated or held unenforceable, in whole or in part, or limits on the scope or duration of the patent protection of our product candidates, all of which could limit our ability to stop others from using or commercializing similar or identical product candidates or technology to compete directly with us, without payment to us, or result in our inability to manufacture or commercialize products without infringing third-party patent rights. In addition, if the breadth or strength of protection provided by our patents and patent applications were threatened, regardless of the outcome, it could dissuade companies from collaborating with us to license, develop or commercialize current or future product candidates, or could negatively impact our ability to raise funds necessary to continue our research programs or clinical trials. Such proceedings could also result in substantial cost and require significant time from our scientists and management, even if the eventual outcome is favorable to us.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owned or licensed patents and patent applications are, and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 </w:t>
      </w:r>
    </w:p>
    <w:p>
      <w:pPr>
        <w:pStyle w:val="TextBody"/>
        <w:bidi w:val="0"/>
        <w:jc w:val="left"/>
        <w:rPr>
          <w:rFonts w:ascii="Times New Roman" w:hAnsi="Times New Roman"/>
          <w:sz w:val="20"/>
        </w:rPr>
      </w:pPr>
      <w:r>
        <w:rPr>
          <w:rFonts w:ascii="Times New Roman" w:hAnsi="Times New Roman"/>
          <w:b/>
          <w:i/>
          <w:color w:val="000000"/>
          <w:sz w:val="20"/>
        </w:rPr>
        <w:t>We have entered into license agreements with third parties. If we or a third party fail to comply with the obligations in the agreements under which we license intellectual property rights to or from third parties, or these agreements are terminated, or we otherwise experience disruptions to business relationships with our licensors or licensees, our competitive position, business, financial condition, results of operations and prospects could be harmed.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patent and other intellectual property rights we own or co-own, we have licensed, and may in the future license, patent and other intellectual property rights to and from other parties. Licenses may not provide us with exclusive rights to use the applicable intellectual property and technology in all relevant fields of use and in all territories in which we may wish to develop or commercialize our products and technology in the future. As a result, we may not be able to prevent competitors from developing and commercializing competitive products or technologies.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w:t>
      </w:r>
    </w:p>
    <w:p>
      <w:pPr>
        <w:pStyle w:val="TextBody"/>
        <w:bidi w:val="0"/>
        <w:jc w:val="left"/>
        <w:rPr>
          <w:rFonts w:ascii="Times New Roman" w:hAnsi="Times New Roman"/>
          <w:color w:val="000000"/>
          <w:sz w:val="20"/>
        </w:rPr>
      </w:pPr>
      <w:r>
        <w:rPr>
          <w:rFonts w:ascii="Times New Roman" w:hAnsi="Times New Roman"/>
          <w:color w:val="000000"/>
          <w:sz w:val="20"/>
        </w:rPr>
        <w:t xml:space="preserve">If we fail to comply with our obligations in the agreements under which we license intellectual property rights from third parties, the licensor may have the right to terminate the license. If these agreements are terminated, the underlying patents fail to provide the intended exclusivity or we otherwise experience disruptions to our business relationships with our licensors, we could lose intellectual property rights that are important to our business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having to negotiate new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some of the intellectual property rights we have in-licensed, including certain rights licensed in the agreements described above, may have been generated through the use of U.S. government funding. If any of the research resulting in certain of our owned and/or in-licensed patent rights and technology were funded in part by the U.S. federal or state governments, the government would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confidential information to third parties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a failure to comply with specific administrative requirements and deadlines under the Bayh-Dole Act can result in government taking title to the invention. In addition, our rights in such inventions may be subject to certain requirements to manufacture products embodying such inventions in the United States. Any of the foregoing could harm our competitive position, business, financial condition, results of operations and prospects. </w:t>
      </w:r>
    </w:p>
    <w:p>
      <w:pPr>
        <w:pStyle w:val="TextBody"/>
        <w:bidi w:val="0"/>
        <w:jc w:val="left"/>
        <w:rPr>
          <w:rFonts w:ascii="Times New Roman" w:hAnsi="Times New Roman"/>
          <w:color w:val="000000"/>
          <w:sz w:val="20"/>
        </w:rPr>
      </w:pPr>
      <w:r>
        <w:rPr>
          <w:rFonts w:ascii="Times New Roman" w:hAnsi="Times New Roman"/>
          <w:color w:val="000000"/>
          <w:sz w:val="20"/>
        </w:rPr>
        <w:t xml:space="preserve">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technology and processes of one party infringe on intellectual property of the other party that are not subject to the license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rights to sublicense patent and other rights to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rights to transfer or assign the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diligence obligations with respect to the use of the licensed technology in relation to development and commercialization of our product candidates,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ownership of inventions and know-how resulting from the joint creation or use of intellectual property;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effects of termination. </w:t>
      </w:r>
    </w:p>
    <w:p>
      <w:pPr>
        <w:pStyle w:val="TextBody"/>
        <w:bidi w:val="0"/>
        <w:jc w:val="left"/>
        <w:rPr>
          <w:rFonts w:ascii="Times New Roman" w:hAnsi="Times New Roman"/>
          <w:color w:val="000000"/>
          <w:sz w:val="20"/>
        </w:rPr>
      </w:pPr>
      <w:r>
        <w:rPr>
          <w:rFonts w:ascii="Times New Roman" w:hAnsi="Times New Roman"/>
          <w:color w:val="000000"/>
          <w:sz w:val="20"/>
        </w:rPr>
        <w:t xml:space="preserve">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Moreover, if disputes over intellectual property that we have licensed prevent or impair our ability to maintain our current licensing arrangements on acceptable terms, we may be unable to successfully develop and commercialize the affected product candidates.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if our licensors or licensees failed to abide by the terms of the license or failed to prevent infringement by third parties or if the licensed patents or other rights were found to be invalid or unenforceable, our business, competitive position, financial condition, results of operations and prospects could be materially harmed. </w:t>
      </w:r>
    </w:p>
    <w:p>
      <w:pPr>
        <w:pStyle w:val="TextBody"/>
        <w:bidi w:val="0"/>
        <w:jc w:val="left"/>
        <w:rPr>
          <w:rFonts w:ascii="Times New Roman" w:hAnsi="Times New Roman"/>
          <w:sz w:val="20"/>
        </w:rPr>
      </w:pPr>
      <w:r>
        <w:rPr>
          <w:rFonts w:ascii="Times New Roman" w:hAnsi="Times New Roman"/>
          <w:b/>
          <w:i/>
          <w:color w:val="000000"/>
          <w:sz w:val="20"/>
        </w:rPr>
        <w:t>If we are unable to obtain licenses from third parties on commercially reasonable terms or at all, our business could be harmed.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obtain a necessary license, we may be unable to develop or commercialize the affected product candidates,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If we are unable to license needed technology, or if we are forced to license this technology on unfavorable terms, our business could be materially harmed. </w:t>
      </w:r>
    </w:p>
    <w:p>
      <w:pPr>
        <w:pStyle w:val="TextBody"/>
        <w:bidi w:val="0"/>
        <w:jc w:val="left"/>
        <w:rPr>
          <w:rFonts w:ascii="Times New Roman" w:hAnsi="Times New Roman"/>
          <w:sz w:val="20"/>
        </w:rPr>
      </w:pPr>
      <w:r>
        <w:rPr>
          <w:rFonts w:ascii="Times New Roman" w:hAnsi="Times New Roman"/>
          <w:b/>
          <w:i/>
          <w:color w:val="000000"/>
          <w:sz w:val="20"/>
        </w:rPr>
        <w:t>We may not identify relevant third-party patents or may incorrectly interpret the relevance, scope or expiration of a third-party patent, which might subject us to infringement claims or adversely affect our ability to develop and market our product candidates.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product candidates in any jurisdiction. For example, U.S. patent applications filed before November 29, 2000 and certain U.S. patent applications filed after that date that will not be filed outside the United States remain confidential until patents issue. Patent applications in the United States and elsewhere are published approximately 18 months after the earliest filing for which priority is claimed, with the earliest filing date being commonly referred to as the priority date. Therefore, patent applications covering our product candidates could have been filed by third parties without our knowledge. Additionally, pending patent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applications that have been published can, subject to certain limitations, be later amended in a manner that could cover our product candidates or the use of our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 candidates. </w:t>
      </w:r>
    </w:p>
    <w:p>
      <w:pPr>
        <w:pStyle w:val="TextBody"/>
        <w:bidi w:val="0"/>
        <w:jc w:val="left"/>
        <w:rPr>
          <w:rFonts w:ascii="Times New Roman" w:hAnsi="Times New Roman"/>
          <w:color w:val="000000"/>
          <w:sz w:val="20"/>
        </w:rPr>
      </w:pPr>
      <w:r>
        <w:rPr>
          <w:rFonts w:ascii="Times New Roman" w:hAnsi="Times New Roman"/>
          <w:color w:val="000000"/>
          <w:sz w:val="20"/>
        </w:rPr>
        <w:t>If we fail to identify and correctly interpret relevant patents, we may be subject to infringement claims. We cannot guarantee that we will be able to successfully settle or otherwise resolve any infringement claims. If we fail in any of these disputes, in addition to being forced to pay damages, which may be significant,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Patents have a limited lifespan. If all maintenance fees are timely paid, the natural expiration of a patent is generally 20 years from its earliest U.S. non-provisional filing date. Various extensions may be available, but the life of a patent, and the protection it affords, is limited. Even if patents covering our current and future product candidates are obtained, once the patent life has expired for a product candidate, we may be open to competition from competitive medications, including generic medications and biosimilars.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 for a meaningful amount of time, or at all. </w:t>
      </w:r>
    </w:p>
    <w:p>
      <w:pPr>
        <w:pStyle w:val="TextBody"/>
        <w:bidi w:val="0"/>
        <w:jc w:val="left"/>
        <w:rPr>
          <w:rFonts w:ascii="Times New Roman" w:hAnsi="Times New Roman"/>
          <w:color w:val="000000"/>
          <w:sz w:val="20"/>
        </w:rPr>
      </w:pPr>
      <w:r>
        <w:rPr>
          <w:rFonts w:ascii="Times New Roman" w:hAnsi="Times New Roman"/>
          <w:color w:val="000000"/>
          <w:sz w:val="20"/>
        </w:rPr>
        <w:t xml:space="preserve">Depending upon the timing, duration and conditions of any FDA marketing approval of our product candidates, one or more of our owned or licensed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w:t>
      </w:r>
    </w:p>
    <w:p>
      <w:pPr>
        <w:pStyle w:val="TextBody"/>
        <w:bidi w:val="0"/>
        <w:jc w:val="left"/>
        <w:rPr>
          <w:rFonts w:ascii="Times New Roman" w:hAnsi="Times New Roman"/>
          <w:sz w:val="20"/>
        </w:rPr>
      </w:pPr>
      <w:r>
        <w:rPr>
          <w:rFonts w:ascii="Times New Roman" w:hAnsi="Times New Roman"/>
          <w:color w:val="000000"/>
          <w:sz w:val="20"/>
        </w:rPr>
        <w:t xml:space="preserve">In addition, there are detailed rules and requirements regarding the patents that may be submitted to the FDA or comparable foreign regulatory authority for listing in the Approved Drug Products with Therapeutic Equivalence Evaluations (the Orange Book) or foreign equivalent. We may be unable to obtain patents covering our product candidates that contain one or more claims that satisfy the requirements for listing in the Orange Book or foreign equivalent. Even if we submit a patent for listing in the Orange Book </w:t>
      </w:r>
      <w:r>
        <w:rPr>
          <w:rFonts w:ascii="Times New Roman" w:hAnsi="Times New Roman"/>
          <w:color w:val="000000"/>
          <w:sz w:val="20"/>
          <w:u w:val="single"/>
        </w:rPr>
        <w:t xml:space="preserve">or </w:t>
      </w:r>
      <w:r>
        <w:rPr>
          <w:rFonts w:ascii="Times New Roman" w:hAnsi="Times New Roman"/>
          <w:color w:val="000000"/>
          <w:sz w:val="20"/>
        </w:rPr>
        <w:t xml:space="preserve">foreign equivalent, the FDA or relevant foreign regulatory authority may decline to list the patent, or a manufacturer of generic drugs may challenge the listing. If one of our product candidates is approved and a patent covering that product candidate is not listed in the Orange Book or foreign equivalent, a manufacturer of generic drugs would not have to provide advance notice to us of any abbreviated NDA filed with the FDA or relevant foreign regulatory authority to obtain permission to sell a generic version of such product candidate. </w:t>
      </w:r>
    </w:p>
    <w:p>
      <w:pPr>
        <w:pStyle w:val="TextBody"/>
        <w:bidi w:val="0"/>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 United States. In addition, the laws and enforcement practices of some foreign countries do not protect intellectual property rights to the same extent as federal and state laws in the United States. The ongoing conflict between Russia and Ukraine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may also make it difficult or impossible to continue to prosecute patent applications or maintain patents in those countries or other affected territories. For example, in March 2022, a decree was adopted by the Russian government allowing Russian companies and individuals to exploit inventions owned by patentees from the United States without consent or compensation.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 </w:t>
      </w:r>
    </w:p>
    <w:p>
      <w:pPr>
        <w:pStyle w:val="TextBody"/>
        <w:bidi w:val="0"/>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t>
      </w:r>
    </w:p>
    <w:p>
      <w:pPr>
        <w:pStyle w:val="TextBody"/>
        <w:bidi w:val="0"/>
        <w:jc w:val="left"/>
        <w:rPr>
          <w:rFonts w:ascii="Times New Roman" w:hAnsi="Times New Roman"/>
          <w:color w:val="000000"/>
          <w:sz w:val="20"/>
        </w:rPr>
      </w:pPr>
      <w:r>
        <w:rPr>
          <w:rFonts w:ascii="Times New Roman" w:hAnsi="Times New Roman"/>
          <w:color w:val="000000"/>
          <w:sz w:val="20"/>
        </w:rPr>
        <w:t xml:space="preserve">Many foreign countries, including some European Union countries, India, Russia,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(or one of our collaborators) are compelled to grant a license (or sublicense) to a third party, which could materially diminish the value of the applicable patents. This could limit our potential revenue opportunities. Accordingly, our efforts to enforce our intellectual property rights around the world may be inadequate to obtain a significant commercial advantage from the intellectual property that we develop or license. </w:t>
      </w:r>
    </w:p>
    <w:p>
      <w:pPr>
        <w:pStyle w:val="TextBody"/>
        <w:bidi w:val="0"/>
        <w:jc w:val="left"/>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ways that could weaken our and our licensors’ or collaborators’ ability to obtain new patents or to enforce existing or future patents, or that affect the term of our or our licensors’ or collaborators’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licensors’ or collaborators’ ability to obtain patents in the future, as well as uncertainty with respect to the value of patents once obtained. </w:t>
      </w:r>
    </w:p>
    <w:p>
      <w:pPr>
        <w:pStyle w:val="TextBody"/>
        <w:bidi w:val="0"/>
        <w:jc w:val="left"/>
        <w:rPr>
          <w:rFonts w:ascii="Times New Roman" w:hAnsi="Times New Roman"/>
          <w:sz w:val="20"/>
        </w:rPr>
      </w:pPr>
      <w:r>
        <w:rPr>
          <w:rFonts w:ascii="Times New Roman" w:hAnsi="Times New Roman"/>
          <w:color w:val="000000"/>
          <w:sz w:val="20"/>
        </w:rPr>
        <w:t xml:space="preserve">Patent reform legislation could increase the uncertainties and costs surrounding the prosecution of our and our licensors’ or collaborators’ patent applications and the enforcement or defense of our or our licensors’ or collaborators’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The USPTO has developed regulations and procedures to govern administration of the Leahy-Smith Act. Many of the substantive changes to patent law associated with the Leahy-Smith Act, particularly the first inventor-to-file provisions, became effective on March 16, 2013.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1, 2023, the European Patent Package (the EU Patent Package) regulations were implemented with the goal of providing a single pan-European Unitary Patent and a new European Unified Patent Court (the UPC), for litigation involving European patents. Under the UPC, all European patents, including those issued prior to ratification of the European Patent Package, will by default automatically fall under the jurisdiction of the UPC. The UPC provides our competitors with a new forum to centrally revoke our European patents, and allows for the possibility of a competitor to obtain pan-European injunctions. It will be several years before we will understand the scope of patent rights that will be recognized and the strength of patent remedies provided by the UPC. As the UPC is a relatively new court system, there is limited precedent for the court, increasing the uncertainty of any litigation. We will have the right to opt our patents out of the UPC over the first seven years of the court’s existence, but doing so may preclude us from realizing the benefits, if any, of the new unified court.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if we fail to comply with these requirements.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fees are required to be paid to the USPTO and foreign patent agencies in several stages over the lifetime of a patent. In certain circumstances, we rely on our licensors and collaborators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or collaborators fail to maintain the patents and patent applications covering our product candidates, our competitors might be able to enter the relevant market(s) with similar or identical products or technology, which would harm our business, financial condition, results of operations and prospects. </w:t>
      </w:r>
    </w:p>
    <w:p>
      <w:pPr>
        <w:pStyle w:val="TextBody"/>
        <w:bidi w:val="0"/>
        <w:jc w:val="left"/>
        <w:rPr>
          <w:rFonts w:ascii="Times New Roman" w:hAnsi="Times New Roman"/>
          <w:sz w:val="20"/>
        </w:rPr>
      </w:pPr>
      <w:r>
        <w:rPr>
          <w:rFonts w:ascii="Times New Roman" w:hAnsi="Times New Roman"/>
          <w:b/>
          <w:i/>
          <w:color w:val="000000"/>
          <w:sz w:val="20"/>
        </w:rPr>
        <w:t>We may become involved in lawsuits to protect or enforce our patents or other intellectual property, which could be expensive, time-consuming and unsuccessful, and issued patents covering our technology and product candidates could be found invalid or unenforceable if challenged.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Competitors and other third parties may infringe or otherwise violate our issued patents or other intellectual property or the patents or other intellectual property of our licensors. In addition, our patents or the patents of our licensors may become involved in inventorship or priority disputes. Our pending patent applications cannot be enforced against third parties practicing the technology claimed in such applications unless and until a patent issues from such applications. To counter infringement or other unauthorized use, we may be required to file infringement claims, which can be expensive and time-consuming.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Additionally, we may determine it is impractical or undesirable to enforce our intellectual property against some third parties. </w:t>
      </w:r>
    </w:p>
    <w:p>
      <w:pPr>
        <w:pStyle w:val="TextBody"/>
        <w:bidi w:val="0"/>
        <w:jc w:val="left"/>
        <w:rPr>
          <w:rFonts w:ascii="Times New Roman" w:hAnsi="Times New Roman"/>
          <w:color w:val="000000"/>
          <w:sz w:val="20"/>
        </w:rPr>
      </w:pPr>
      <w:r>
        <w:rPr>
          <w:rFonts w:ascii="Times New Roman" w:hAnsi="Times New Roman"/>
          <w:color w:val="000000"/>
          <w:sz w:val="20"/>
        </w:rPr>
        <w:t>For example, in April 2026, we delivered a letter to Erasca, Inc. alleging, among other things, certain intellectual property matters. Any dispute relating to these or similar allegations, whether or not it results in litigation, could be expensive and time-consuming, divert the attention of our management, scientific and legal personnel, result in counterclaims challenging the scope, validity, enforceability or ownership of our intellectual property rights, lead to adverse publicity or investor perceptions, and may not result in remedies that adequately protect our competitive position.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If we were to initiate legal proceedings against a third party to enforce a patent directed to our product candidates, or one of our future product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w:t>
      </w:r>
      <w:r>
        <w:rPr>
          <w:rFonts w:ascii="Times New Roman" w:hAnsi="Times New Roman"/>
          <w:i/>
          <w:color w:val="000000"/>
          <w:sz w:val="20"/>
        </w:rPr>
        <w:t xml:space="preserve">inter partes </w:t>
      </w:r>
      <w:r>
        <w:rPr>
          <w:rFonts w:ascii="Times New Roman" w:hAnsi="Times New Roman"/>
          <w:color w:val="000000"/>
          <w:sz w:val="20"/>
        </w:rPr>
        <w:t xml:space="preserve">review, interference proceedings, derivation proceedings and equivalent proceedings in foreign jurisdictions (e.g., opposition proceedings). Such proceedings could result in the revocation of, cancellation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or amendment to our patents in such a way that they no longer cover our technology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the applicable product candidates or technology covered by the patent rendered invalid or unenforceable. </w:t>
      </w:r>
    </w:p>
    <w:p>
      <w:pPr>
        <w:pStyle w:val="TextBody"/>
        <w:bidi w:val="0"/>
        <w:jc w:val="left"/>
        <w:rPr>
          <w:rFonts w:ascii="Times New Roman" w:hAnsi="Times New Roman"/>
          <w:color w:val="000000"/>
          <w:sz w:val="20"/>
        </w:rPr>
      </w:pPr>
      <w:r>
        <w:rPr>
          <w:rFonts w:ascii="Times New Roman" w:hAnsi="Times New Roman"/>
          <w:color w:val="000000"/>
          <w:sz w:val="20"/>
        </w:rPr>
        <w:t xml:space="preserve">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 or at all.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jc w:val="left"/>
        <w:rPr>
          <w:rFonts w:ascii="Times New Roman" w:hAnsi="Times New Roman"/>
          <w:color w:val="000000"/>
          <w:sz w:val="20"/>
        </w:rPr>
      </w:pPr>
      <w:r>
        <w:rPr>
          <w:rFonts w:ascii="Times New Roman" w:hAnsi="Times New Roman"/>
          <w:color w:val="000000"/>
          <w:sz w:val="20"/>
        </w:rPr>
        <w:t xml:space="preserve">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our intellectual property. Even if resolved in our favor, litigation or other legal proceedings relating to intellectual property claims could result in substantial costs and diversion of management attention and other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shares of our common stock to decline. </w:t>
      </w:r>
    </w:p>
    <w:p>
      <w:pPr>
        <w:pStyle w:val="TextBody"/>
        <w:bidi w:val="0"/>
        <w:jc w:val="left"/>
        <w:rPr>
          <w:rFonts w:ascii="Times New Roman" w:hAnsi="Times New Roman"/>
          <w:sz w:val="20"/>
        </w:rPr>
      </w:pPr>
      <w:r>
        <w:rPr>
          <w:rFonts w:ascii="Times New Roman" w:hAnsi="Times New Roman"/>
          <w:b/>
          <w:i/>
          <w:color w:val="000000"/>
          <w:sz w:val="20"/>
        </w:rPr>
        <w:t>Third parties may initiate legal proceedings alleging that we are infringing, misappropriating or otherwise violating their intellectual property rights, the outcome of which would be uncertain and could negatively impact the success of our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commercial success depends upon our ability to develop, manufacture, market and sell our product candidates and use our proprietary technologies without infringing, misappropriating or otherwise violating the intellectual property and other proprietary rights of third parties. There is considerable intellectual property litigation in the pharmaceutical industry. </w:t>
      </w:r>
    </w:p>
    <w:p>
      <w:pPr>
        <w:pStyle w:val="TextBody"/>
        <w:bidi w:val="0"/>
        <w:jc w:val="left"/>
        <w:rPr>
          <w:rFonts w:ascii="Times New Roman" w:hAnsi="Times New Roman"/>
          <w:sz w:val="20"/>
        </w:rPr>
      </w:pPr>
      <w:r>
        <w:rPr>
          <w:rFonts w:ascii="Times New Roman" w:hAnsi="Times New Roman"/>
          <w:color w:val="000000"/>
          <w:sz w:val="20"/>
        </w:rPr>
        <w:t xml:space="preserve">We may become party to, or threatened with, future adversarial proceedings or litigation regarding intellectual property rights with respect to our product candidates and their manufacture and our other technology, including re-examination, interference, post-grant review, </w:t>
      </w:r>
      <w:r>
        <w:rPr>
          <w:rFonts w:ascii="Times New Roman" w:hAnsi="Times New Roman"/>
          <w:i/>
          <w:color w:val="000000"/>
          <w:sz w:val="20"/>
        </w:rPr>
        <w:t xml:space="preserve">inter partes </w:t>
      </w:r>
      <w:r>
        <w:rPr>
          <w:rFonts w:ascii="Times New Roman" w:hAnsi="Times New Roman"/>
          <w:color w:val="000000"/>
          <w:sz w:val="20"/>
        </w:rPr>
        <w:t xml:space="preserve">review or derivation proceedings before the USPTO or an equivalent foreign body. Numerous U.S. and foreign issued patents and pending patent applications owned by third parties exist in the fields in which we are developing our product candidates. Third parties may assert infringement claims against us based on existing patents or patents that may be granted in the future, regardless of their merit. </w:t>
      </w:r>
    </w:p>
    <w:p>
      <w:pPr>
        <w:pStyle w:val="TextBody"/>
        <w:bidi w:val="0"/>
        <w:jc w:val="left"/>
        <w:rPr>
          <w:rFonts w:ascii="Times New Roman" w:hAnsi="Times New Roman"/>
          <w:color w:val="000000"/>
          <w:sz w:val="20"/>
        </w:rPr>
      </w:pPr>
      <w:r>
        <w:rPr>
          <w:rFonts w:ascii="Times New Roman" w:hAnsi="Times New Roman"/>
          <w:color w:val="000000"/>
          <w:sz w:val="20"/>
        </w:rPr>
        <w:t xml:space="preserve">Even if we believe third-party intellectual property claims are without merit, there is no assurance that a court would find in our favor on questions of infringement, validity, enforceability or priority. A court of competent jurisdiction could hold that third-party patents asserted against us are valid, enforceable and infringed, which could materially and adversely affect our ability to commercialize any of our product candidates and any other product candidates or technologies covered by the asserted third-party patents. In order to successfully challenge the validity of a U.S. patent in federal court, we would need to overcome a presumption of validity. As this burden is a high one requiring us to present clear and convincing evidence as to the invalidity of a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these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A finding of infringement could prevent us from commercializing our product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product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subject to claims by third parties asserting that we or our employees have infringed upon, misappropriated or otherwise violated their intellectual property rights, or claiming ownership of what we regard as our own intellectual property.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Many of our employees were previously employed at other biotechnology or pharmaceutical companies, and our consultants and advisors may work for other biotechnology or pharmaceutical companies in addition to us.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of these individuals’ former or concurrent employers or clients. We may also be subject to claims that patents and applications we have filed to protect inventions of our employees, consultants and advisors, even those related to one or more of our product candidates, are rightfully owned by their former or concurrent employer. Litigation may be necessary to defend against these claims. </w:t>
      </w:r>
    </w:p>
    <w:p>
      <w:pPr>
        <w:pStyle w:val="TextBody"/>
        <w:bidi w:val="0"/>
        <w:jc w:val="left"/>
        <w:rPr>
          <w:rFonts w:ascii="Times New Roman" w:hAnsi="Times New Roman"/>
          <w:color w:val="000000"/>
          <w:sz w:val="20"/>
        </w:rPr>
      </w:pPr>
      <w:r>
        <w:rPr>
          <w:rFonts w:ascii="Times New Roman" w:hAnsi="Times New Roman"/>
          <w:color w:val="000000"/>
          <w:sz w:val="20"/>
        </w:rPr>
        <w:t xml:space="preserve">If we fail in prosecuting or defending any such claims, in addition to paying monetary damages, we may lose valuable intellectual property rights or personnel. Even if we are successful in prosecuting or defending against these claims, litigation could result in substantial costs, delay development of our product candidates and be a distraction to management. </w:t>
      </w:r>
    </w:p>
    <w:p>
      <w:pPr>
        <w:pStyle w:val="TextBody"/>
        <w:bidi w:val="0"/>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that arise from conflicting obligations of employees, consultants or others who are involved in developing our product candidates. While it is our policy to require our employees and contractors who may be involved in the development of intellectual property to execute agreements assigning this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w:t>
      </w:r>
    </w:p>
    <w:p>
      <w:pPr>
        <w:pStyle w:val="TextBody"/>
        <w:bidi w:val="0"/>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rely on trade secrets and confidentiality agreements to protect our unpatented know-how, technology and other proprietary information (including unpatented know-how associated with Warp Drive Bio, Inc.)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collaborators, CROs, contract manufacturers, consultants, advisors and other third parties. We also enter into confidentiality and invention or patent assignment agreements with our employees and consultants. We cannot guarantee that we have entered into these agreements with each party that may have or has had access to our trade secrets or proprietary technology and processes. Despite our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products that we consider proprietary. Monitoring unauthorized uses and disclosures is difficult, and we do not know whether the steps we have taken to protect our proprietary information will be effective.</w:t>
      </w:r>
    </w:p>
    <w:p>
      <w:pPr>
        <w:pStyle w:val="TextBody"/>
        <w:bidi w:val="0"/>
        <w:jc w:val="left"/>
        <w:rPr>
          <w:rFonts w:ascii="Times New Roman" w:hAnsi="Times New Roman"/>
          <w:color w:val="000000"/>
          <w:sz w:val="20"/>
        </w:rPr>
      </w:pPr>
      <w:r>
        <w:rPr>
          <w:rFonts w:ascii="Times New Roman" w:hAnsi="Times New Roman"/>
          <w:color w:val="000000"/>
          <w:sz w:val="20"/>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pStyle w:val="TextBody"/>
        <w:bidi w:val="0"/>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registered and unregistered trademarks and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or licensees. Although these license agreements may provide conditions and guidelines for how our trademarks and trade names may be used, a breach of these agreements or misuse of our trademarks and tradenames by these third parties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w:t>
      </w:r>
    </w:p>
    <w:p>
      <w:pPr>
        <w:pStyle w:val="TextBody"/>
        <w:bidi w:val="0"/>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 current or future product candidates or utilize similar technology but that are not covered by the claims of our patents or the patents that we license or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collaborators might not have been the first to make the inventions covered by an issued patent or pending patent application that we license or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generative AI Technologies are a relatively novel development with evolving regulatory regimes that may not offer intellectual property protections;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pending owned or licensed patent applications or those that we may own or license in the future may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jc w:val="left"/>
        <w:rPr>
          <w:rFonts w:ascii="Times New Roman" w:hAnsi="Times New Roman"/>
          <w:sz w:val="20"/>
        </w:rPr>
      </w:pPr>
      <w:r>
        <w:rPr>
          <w:rFonts w:ascii="Times New Roman" w:hAnsi="Times New Roman"/>
          <w:b/>
          <w:color w:val="000000"/>
          <w:sz w:val="20"/>
        </w:rPr>
        <w:t>Risks related to employee matters and managing our growth</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highly dependent on members of our executive team. The loss of the services of any of them may adversely impact the achievement of our objectives. Any of our executive officers could leave our employment at any time, as all of our employees are “at-will” employees. We currently do not have “key person” insurance on any of our employees. The loss of the services of one or more of our key personnel might impede the achievement of our research, development and commercialization objectives. </w:t>
      </w:r>
    </w:p>
    <w:p>
      <w:pPr>
        <w:pStyle w:val="TextBody"/>
        <w:bidi w:val="0"/>
        <w:jc w:val="left"/>
        <w:rPr>
          <w:rFonts w:ascii="Times New Roman" w:hAnsi="Times New Roman"/>
          <w:color w:val="000000"/>
          <w:sz w:val="20"/>
        </w:rPr>
      </w:pPr>
      <w:r>
        <w:rPr>
          <w:rFonts w:ascii="Times New Roman" w:hAnsi="Times New Roman"/>
          <w:color w:val="000000"/>
          <w:sz w:val="20"/>
        </w:rPr>
        <w:t xml:space="preserve">Recruiting and retaining qualified employees, consultants and advisors for our business, including scientific and technical personnel, is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will need to increase the size of our organization, and we may experience difficulties in managing this growth.</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our development and commercialization plans and strategies develop, and as we continue to operate as a public company with expanding global operations, we expect to need additional personnel across our organization and in multiple jurisdictions. Future growth would impose significant added responsibilities on members of management,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retaining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regulatory review process for our product candidates, while complying with our contractual obligations to contractors and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complying with the laws and regulations of multiple jurisdictions;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enhancing and scaling our operational, financial and management controls, reporting systems and procedures.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future financial performance and our ability to advance development of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certain independent organizations, advisors and consultants to provide certain services, including with respect to marketing approval, clinical management and manufacturing. The services of these independent organizations, advisors and consultants may not continue to be available to us on a timely basis when needed, on economically reasonable terms, or at all, and we may be unable to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are not able to effectively expand our organization by hiring new employees and expanding our groups of consultants and contractors, we may not be able to successfully implement the tasks necessary to further develop and commercialize any of our product candidates and, accordingly, may not achieve our research, development and commercialization goals.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are currently building out our commercial organization. If we are unable to establish sufficient sales and marketing capabilities on our own or through third parties, we may not be able to market and sell any products effectively, if approved, or generate product revenue.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currently building out our global commercial organization. In order to commercialize any product, if approved, in the United States and foreign jurisdictions, we must build our marketing, sales, distribution, market access, analytics, managerial and other non-technical capabilities or make arrangements with third parties to perform these services, and we may not be successful in doing so. We expect to establish a sales organization with technical expertise as well as supporting distribution capabilities to commercialize each such product candidate, which will be expensive and time-consuming. Our Company has no prior experience in the marketing, sale and distribution of pharmaceutical products.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 </w:t>
      </w:r>
    </w:p>
    <w:p>
      <w:pPr>
        <w:pStyle w:val="TextBody"/>
        <w:bidi w:val="0"/>
        <w:jc w:val="left"/>
        <w:rPr>
          <w:rFonts w:ascii="Times New Roman" w:hAnsi="Times New Roman"/>
          <w:b/>
          <w:i/>
          <w:color w:val="000000"/>
          <w:sz w:val="20"/>
        </w:rPr>
      </w:pPr>
      <w:r>
        <w:rPr>
          <w:rFonts w:ascii="Times New Roman" w:hAnsi="Times New Roman"/>
          <w:b/>
          <w:i/>
          <w:color w:val="000000"/>
          <w:sz w:val="20"/>
        </w:rPr>
        <w:t>Our expansion of operations outside the United States exposes us to additional business, regulatory, operational, tax, compliance, political and economic risks, and we may not be successful in establishing or managing international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have limited operations outside of the United States. We have formed operating subsidiaries in Europe and Japan, and we expect to form additional operating subsidiaries and expand our operations in additional jurisdictions over the next several years. In addition, we conduct clinical trials, engage vendors, suppliers and other third parties, and may in the future commercialize products, if approved, in jurisdictions outside the United States. Consequently, we are and will continue to be subject to risks related to operating in foreign countries, including: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difficulties and costs associated with establishing, staffing, managing and integrating foreign operations;</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an inability to achieve optimal pricing and reimbursement for our product candidates,</w:t>
      </w:r>
      <w:r>
        <w:rPr>
          <w:color w:val="000000"/>
        </w:rPr>
        <w:t xml:space="preserve"> </w:t>
      </w:r>
      <w:r>
        <w:rPr>
          <w:rFonts w:ascii="Times New Roman" w:hAnsi="Times New Roman"/>
          <w:color w:val="000000"/>
          <w:sz w:val="20"/>
        </w:rPr>
        <w:t>if approved in another jurisdiction, or subsequent changes in reimbursement, pricing and other regulatory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implementation of, or changes to, tariffs, trade barriers and other import-export regulations in the U.S. or other countries in which we, or our third-party partners, operate;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difficulties implementing and maintaining effective financial reporting, internal controls, compliance policies, training, oversight and books-and-records processes across multiple jurisdictions and time zones;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complexities associated with foreign tax regimes, transfer pricing, intercompany arrangements, indirect taxes, customs duties and potential disputes with foreign tax authorities;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foreign currency exchange rate fluctuations, longer payment cycles, difficulties collecting accounts receivable, inflation, tariffs, trade barriers or other restrictions on cross-border transactions;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political, regulatory, economic or social instability, geopolitical conflicts, changes in government policy, public health crises, natural disasters or other events that could disrupt our operations, supply chain, clinical development or commercial activities;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multiple, conflicting and changing laws and regulations, including those relating to pharmaceutical promotion and advertising, medical affairs activities, pharmacovigilance, patient support programs, data privacy, cybersecurity, tax, transfer pricing, tariffs, export and import restrictions, sanctions and other trade controls, employment, immigration, labor, competition, anti-bribery and anti-corruption, transparency reporting and other governmental approvals, permits and licenses;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difficulties protecting confidential information, trade secrets and intellectual property rights in foreign jurisdictions.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of these factors could increase our costs, divert management attention, delay or impair our ability to obtain regulatory approval or commercialize our product candidates, subject us to investigations, enforcement actions, penalties or reputational harm.</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have in the past engaged and may in the future engage in strategic transactions; these transactions could affect our liquidity, dilute our existing stockholders, increase our expenses and present significant challenges in focus and energy to our management or prove not to be successful.</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we may consider strategic transactions, such as acquisitions of companies, asset purchases and out-licensing or in-licensing of intellectual property, products or technologies. For example, in October 2018, we acquired all of the outstanding shares of Warp Drive Bio, Inc., which became our direct wholly owned subsidiary, and in November 2023, we completed the EQRx Acquisition.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 potential transactions that we may consider in the future include a variety of business arrangements, including spin-offs, strategic partnerships, joint ventures, restructurings, divestitures, business combinations and investments.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negatively impact our business.</w:t>
      </w:r>
    </w:p>
    <w:p>
      <w:pPr>
        <w:pStyle w:val="TextBody"/>
        <w:bidi w:val="0"/>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or the third parties upon whom we depend are subject to risk from earthquakes, outbreak of disease, other natural disasters and catastrophic events and may be subject to disruption as a result of war, terrorism, political unrest and other causes.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corporate headquarters and other facilities are located in the San Francisco Bay Area, which in the past has experienced severe earthquakes, wildfires and flooding. We do not carry earthquake insurance. Earthquakes, wildfires or other natural disasters could severely disrupt our operations, and negatively impact our business. </w:t>
      </w:r>
    </w:p>
    <w:p>
      <w:pPr>
        <w:pStyle w:val="TextBody"/>
        <w:bidi w:val="0"/>
        <w:jc w:val="left"/>
        <w:rPr>
          <w:rFonts w:ascii="Times New Roman" w:hAnsi="Times New Roman"/>
          <w:color w:val="000000"/>
          <w:sz w:val="20"/>
        </w:rPr>
      </w:pPr>
      <w:r>
        <w:rPr>
          <w:rFonts w:ascii="Times New Roman" w:hAnsi="Times New Roman"/>
          <w:color w:val="000000"/>
          <w:sz w:val="20"/>
        </w:rPr>
        <w:t>A significant natural disaster, power outage, or other catastrophic event, such as telecommunications failure, cyberattack, war, terrorist attack, sabotage, geopolitical event, pandemic, or other public health crisis or other catastrophic occurrence that prevented us from using all or a significant portion of our headquarters, that damaged critical infrastructure, such as our enterprise financial systems or manufacturing resource planning and enterprise quality systems, or that otherwise disrupted operations, may make it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negatively impact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Furthermore, escalation of geopolitical tensions, including as a result of the ongoing conflicts in Russia and Ukraine and in the Middle East, could impact our current or planned clinical operations and our business partners and suppliers, which could adversely affect our business, partners, suppliers or the economy as a whole. The extent and duration of the military action, sanctions and resulting market disruptions could be significant and have substantial impact on the global economy and our business for an unknown period of time, including limiting our ability to include European or Middle Eastern sites as clinical trial locations in the future, as a result of which we may have to delay, reduce the scope of or suspend one or more of our clinical trials. </w:t>
      </w:r>
    </w:p>
    <w:p>
      <w:pPr>
        <w:pStyle w:val="TextBody"/>
        <w:bidi w:val="0"/>
        <w:jc w:val="left"/>
        <w:rPr>
          <w:rFonts w:ascii="Times New Roman" w:hAnsi="Times New Roman"/>
          <w:color w:val="000000"/>
          <w:sz w:val="20"/>
        </w:rPr>
      </w:pPr>
      <w:r>
        <w:rPr>
          <w:rFonts w:ascii="Times New Roman" w:hAnsi="Times New Roman"/>
          <w:color w:val="000000"/>
          <w:sz w:val="20"/>
        </w:rPr>
        <w:t xml:space="preserve">Despite any precautions we may take, the occurrence of a natural disaster or other unanticipated problems could result in lengthy interruptions to our business or disruptions in our activities or the activities of our partners, suppliers or the economy as a whole. All of the aforementioned risks may be further increased if our disaster recovery plans prove to be inadequate. </w:t>
      </w:r>
    </w:p>
    <w:p>
      <w:pPr>
        <w:pStyle w:val="TextBody"/>
        <w:bidi w:val="0"/>
        <w:jc w:val="left"/>
        <w:rPr>
          <w:rFonts w:ascii="Times New Roman" w:hAnsi="Times New Roman"/>
          <w:sz w:val="20"/>
        </w:rPr>
      </w:pPr>
      <w:r>
        <w:rPr>
          <w:rFonts w:ascii="Times New Roman" w:hAnsi="Times New Roman"/>
          <w:b/>
          <w:i/>
          <w:color w:val="000000"/>
          <w:sz w:val="20"/>
        </w:rPr>
        <w:t>Our employees, independent contractors, vendors, principal investigators, CROs and consultants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vendors, principal investigators, CROs and consultants may engage in fraudulent conduct or other illegal activity. Misconduct by these parties could include intentional, reckless or negligent conduct or disclosure of unauthorized activities to us that violate the regulations of the FDA or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and curtailment of our operations.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common stock and warrants</w:t>
      </w:r>
    </w:p>
    <w:p>
      <w:pPr>
        <w:pStyle w:val="TextBody"/>
        <w:bidi w:val="0"/>
        <w:jc w:val="left"/>
        <w:rPr>
          <w:rFonts w:ascii="Times New Roman" w:hAnsi="Times New Roman"/>
          <w:sz w:val="20"/>
        </w:rPr>
      </w:pPr>
      <w:r>
        <w:rPr>
          <w:rFonts w:ascii="Times New Roman" w:hAnsi="Times New Roman"/>
          <w:b/>
          <w:i/>
          <w:color w:val="000000"/>
          <w:sz w:val="20"/>
        </w:rPr>
        <w:t>The price of our common stock is volatile and fluctuates substantially, which could result in substantial losses for investors.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stock price is highly volatile. The stock market in general, and the market for biopharmaceutical companies in particular, have experienced extreme volatility that has often been unrelated to the operating performance of particular companies. </w:t>
      </w:r>
    </w:p>
    <w:p>
      <w:pPr>
        <w:pStyle w:val="TextBody"/>
        <w:bidi w:val="0"/>
        <w:jc w:val="left"/>
        <w:rPr>
          <w:rFonts w:ascii="Times New Roman" w:hAnsi="Times New Roman"/>
          <w:color w:val="000000"/>
          <w:sz w:val="20"/>
        </w:rPr>
      </w:pPr>
      <w:r>
        <w:rPr>
          <w:rFonts w:ascii="Times New Roman" w:hAnsi="Times New Roman"/>
          <w:color w:val="000000"/>
          <w:sz w:val="20"/>
        </w:rPr>
        <w:t xml:space="preserve">The market price for our common stock may be influenced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efforts and our ability to discover and develop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our clinical trials and preclinical studies or those of our competitors;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our product candidates or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efforts to discover, develop, acquire or in-license product candidates or companion diagnostics;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adverse developments or disagreements or perceived adverse developments or disagreements with our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industry and market conditions. </w:t>
      </w:r>
    </w:p>
    <w:p>
      <w:pPr>
        <w:pStyle w:val="TextBody"/>
        <w:bidi w:val="0"/>
        <w:jc w:val="left"/>
        <w:rPr>
          <w:rFonts w:ascii="Times New Roman" w:hAnsi="Times New Roman"/>
          <w:color w:val="000000"/>
          <w:sz w:val="20"/>
        </w:rPr>
      </w:pPr>
      <w:r>
        <w:rPr>
          <w:rFonts w:ascii="Times New Roman" w:hAnsi="Times New Roman"/>
          <w:color w:val="000000"/>
          <w:sz w:val="20"/>
        </w:rPr>
        <w:t>In addition, stock markets with respect to public companies, particularly companies in the biotechnology industry, have experienced significant price and volume fluctuations that have affected, and continue to affect, the stock prices of these companies. Stock prices of many companies, including biotechnology companies, have fluctuated in a manner often unrelated to the operating performance of those companies. In the past, companies that have experienced volatility in the trading price of their securities have been subject to securities class action litigation. Securities class action litigation against us could result in substantial costs and divert the attention of our management from other business concerns.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An active and liquid market for our common stock may not be sustained.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common stock is currently listed on the Nasdaq Global Select Market under the symbol “RVMD”. The price for our common stock may vary, and an active and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capital by selling our common stock and our ability to acquire other companies, products or technologies by using our common stock as consideration. </w:t>
      </w:r>
    </w:p>
    <w:p>
      <w:pPr>
        <w:pStyle w:val="TextBody"/>
        <w:bidi w:val="0"/>
        <w:jc w:val="left"/>
        <w:rPr>
          <w:rFonts w:ascii="Times New Roman" w:hAnsi="Times New Roman"/>
          <w:sz w:val="20"/>
        </w:rPr>
      </w:pPr>
      <w:r>
        <w:rPr>
          <w:rFonts w:ascii="Times New Roman" w:hAnsi="Times New Roman"/>
          <w:b/>
          <w:i/>
          <w:color w:val="000000"/>
          <w:sz w:val="20"/>
        </w:rPr>
        <w:t>We do not intend to pay dividends on our common stock so any returns will be limited to the value of our stock.</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do not currently intend to pay any cash dividends on our common stock for the foreseeable future. We currently intend to invest our future earnings, if any, to fund our growth. Additionally, the terms of our Loan Agreement restrict our ability to pay dividends, except for certain customary exceptions. Therefore, stockholders are not likely to receive any dividends on their common stock for the foreseeable future. Since we do not intend to pay dividends, stockholders’ ability to receive a return on their investment will depend on any future appreciation in the market value of our common stock. There is no guarantee that our common stock will appreciate or even maintain the price at which our holders have purchased it. </w:t>
      </w:r>
    </w:p>
    <w:p>
      <w:pPr>
        <w:pStyle w:val="TextBody"/>
        <w:bidi w:val="0"/>
        <w:jc w:val="left"/>
        <w:rPr>
          <w:rFonts w:ascii="Times New Roman" w:hAnsi="Times New Roman"/>
          <w:sz w:val="20"/>
        </w:rPr>
      </w:pPr>
      <w:r>
        <w:rPr>
          <w:rFonts w:ascii="Times New Roman" w:hAnsi="Times New Roman"/>
          <w:b/>
          <w:i/>
          <w:color w:val="000000"/>
          <w:sz w:val="20"/>
        </w:rPr>
        <w:t>Sales of a substantial number of shares of our common stock in the public market could cause our stock price to fall.</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If our existing stockholders sell, or indicate an intention to sell, substantial amounts of our common stock in the public market, the market price of our common stock could decline.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23.4 million shares of common stock were subject to outstanding options or restricted stock units and were eligible, or expected to become eligible, for sale in the public market to the extent permitted by the provisions of various vesting schedules and Rule 144 and Rule 701 under the Securities Act of 1933, as amended (the Securities Act). In addition, in April 2026, we issued 12,147,887 shares of our common stock in an underwritten public offering, which are freely tradable without restriction, and up to 2,515,100 shares may become issuable upon conversion of the 2033 Notes based on the initial conversion rate. If these additional shares of common stock are sold, or if it is perceived that they will be sold, in the public market, the market price of our common stock could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outstanding warrants may expire worthless or result in dilution, and may be redeemed on terms that are disadvantageous to warrant holders.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warrants entitle registered holders to purchase 0.1112 shares of our common stock at an exercise price of $11.50 per whole warrant. Although our common stock recently has traded above the implied per-share exercise price, there is no guarantee that the warrants will remain in the money prior to their expiration, and the warrants could expire worthless if the market price of our common stock declines below the implied per-share exercise price. The warrants expire in December 2026.</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amend the terms of the warrants in a manner that may be adverse to holders with the approval by the holders of at least 50% of the then-outstanding warrants. As a result, the exercise price of a holder’s warrants could be increased, the exercise period could be shortened and the number of shares of our common stock purchasable upon exercise of a warrant could be decreased, all without the approval of that warrant holder.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warrants were issued in registered form under a Warrant Agreement between Continental Stock Transfer &amp; Trust Company, as warrant agent, and EQRx, Inc. Following the EQRx Acquisition, the warrants became exercisable for shares of our common stock, and we appointed Equiniti Trust Company, LLC as the warrant agent. The Warrant Agreement provides that the terms of the warrants may be amended without the consent of any holder to cure any ambiguity or correct any defective provision, but requires the approval by the holders of at least 50% of the then-outstanding warrants to make any change that adversely affects the interests of the registered holders. Accordingly, we may only amend the terms of the warrants in a manner adverse to a holder if holders of at least 50% of the then-outstanding warrants approve of the amendment, including to, among other things, increase the exercise price of the warrants, convert the warrants into cash or stock, shorten the exercise period or decrease the number of shares of common stock purchasable upon exercise of a warrant.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redeem unexpired warrants prior to their exercise at a time that is disadvantageous to warrant holders, which could result in warrant holders receiving less than they otherwise would have received upon exercise or sale of their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the ability to redeem our outstanding public warrants at any time prior to their expiration in December 2026 (A) at a price of $0.01 per public warrant; provided that the last reported sales price of our common stock equals or exceeds $161.87 per share (as adjusted for stock splits, stock dividends, reorganizations, recapitalizations and the like) for any 20 trading days within a 30 trading-day period ending on the third trading day prior to the date on which we give notice of such redemption to the public warrant holders and provided certain other conditions are met, and (B) at a price of $0.10 per public warrant; provided that (i) holders will be able to exercise their public warrants on a cashless basis prior to redemption and receive that number of shares determined by reference to an agreed table based on the redemption date and the “fair market value” of the common stock, (ii) if the last reported sales price of common stock equals or exceeds $89.93 per share (as adjusted for adjustments to the number of shares issuable upon exercise or the exercise price of a public warrant as described in the “Description of Securities” filed as Exhibit 4.3 to the 2024 Form 10-K under the heading “Public warrants — Anti-dilution Adjustments”) for any 20 trading days within the 30-trading day period ending three trading days before we send the notice of redemption to the public warrant holders, (iii) if the closing price of our common stock for any 20 trading days within a 30-trading day period ending three trading days before we send the notice of redemption to the public warrant holders is less than $161.87 per share (as adjusted), the private warrants must also be concurrently called for redemption on the same terms as the outstanding public warrants and (iv) provided certain other conditions are met. A redemption in accordance with (B) above may result in public warrant holders having to exercise the public warrants at a time when they are out-of-the-money or receive nominal consideration from the Company for them.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the filing of this report, the last reported sales price of our common stock has exceeded $161.87 per share for at least 20 trading days within a 30-trading day period, satisfying the conditions that would permit us to redeem outstanding public and private warrants at a price of $0.01 per warrant as described in clause (A) above. As of the filing of this report, the last reported sales price of our common stock has exceeded $89.93 per share for at least 20 trading days within a 30-trading day period, satisfying the conditions that would permit us to redeem outstanding public and private warrants at a price of $0.10 per warrant as described in clause (B) above. We may elect to exercise our redemption right, as applicable, at any time that it remains available to us, in our sole discretion, subject to the notice and other procedural requirements set forth in the warrant agreement, including at a time and under circumstances that we believe are in the best interests of the Company and its stockholders, even if doing so is disadvantageous to warrant holders.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terms of the private warrants are substantially the same as the public warrants; provided, that, except as described above in the discussion of the redemption of public warrants when the price per share of our common stock equals or exceeds $89.93, the private warrants are exercisable on a cashless basis and are non-redeemable for cash so long as they are held by the initial purchasers or their permitted transferees. If the private warrants are held by someone other than the initial purchasers or their permitted transferees, the private warrants are redeemable by the Company and exercisable by such holders on the same basis as the public warrants. Please see Exhibit 4.3 “Description of Securities — Warrants — Public Warrants” filed with the 2024 Form 10-K for additional information.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and when the warrants become redeemable by us, we may exercise our redemption right even if we are unable to register or qualify the underlying securities for sale under all applicable state securities laws. Redemption of the outstanding warrants could force the warrant holders: (i) to exercise their warrants and pay the exercise price therefor at a time when it may be disadvantageous for them to do so; (ii) to sell their warrants at the then-current market price when they might otherwise wish to hold their warrants; or (iii) to accept the nominal redemption price which, at the time the outstanding warrants are called for redemption, is likely to be substantially less than the market value of their warrants.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ability to utilize our net operating loss carryforwards and certain other tax attributes has been limited by “ownership changes” and may be further limited.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carryforwards and other pre-change tax attributes (such as research and development tax credits) to offset its post-change income or taxes may be limited. We have experienced ownership changes in the past, and we may experience ownership changes in the future as a result of our public offerings or other changes in our stock ownership (some of which are not in our control). Use of our federal and state net operating loss carryforwards has been limited as a result of ownership changes and could be further limited if we experience additional ownership changes. </w:t>
      </w:r>
    </w:p>
    <w:p>
      <w:pPr>
        <w:pStyle w:val="TextBody"/>
        <w:bidi w:val="0"/>
        <w:jc w:val="left"/>
        <w:rPr>
          <w:rFonts w:ascii="Times New Roman" w:hAnsi="Times New Roman"/>
          <w:sz w:val="20"/>
        </w:rPr>
      </w:pPr>
      <w:r>
        <w:rPr>
          <w:rFonts w:ascii="Times New Roman" w:hAnsi="Times New Roman"/>
          <w:b/>
          <w:i/>
          <w:color w:val="000000"/>
          <w:sz w:val="20"/>
        </w:rPr>
        <w:t>Provisions in our charter documents and under Delaware law could discourage a takeover that stockholders may consider favorable and may lead to entrenchment of management.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delay or prevent changes in control or changes in our management without the consent of our board of directors. These provisions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classified board of directors with three-year staggered terms, which may delay the ability of stockholders to change the membership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cumulative voting in the election of directors, which limits the ability of minority stockholders to elect director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exclusive right of our board of directors to appoint a director to fill a vacancy created by the expansion of the board of directors or the resignation, death or removal of a director, which prevents stockholders from being able to fill vacancies on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board of directors to alter our amended and restated bylaws without obtaining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that a special meeting of stockholders may be called only by our chief executive officer or president or by our board of directors, which may delay the ability of our stockholders to force consideration of a proposal or to take action, including the removal of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p>
      <w:pPr>
        <w:pStyle w:val="TextBody"/>
        <w:bidi w:val="0"/>
        <w:jc w:val="left"/>
        <w:rPr>
          <w:rFonts w:ascii="Times New Roman" w:hAnsi="Times New Roman"/>
          <w:color w:val="000000"/>
          <w:sz w:val="20"/>
        </w:rPr>
      </w:pPr>
      <w:r>
        <w:rPr>
          <w:rFonts w:ascii="Times New Roman" w:hAnsi="Times New Roman"/>
          <w:color w:val="000000"/>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Claims for indemnification by our directors and officers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we will indemnify our directors and officers, in each case, to the fullest extent permitted by Delaware law.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as permitted by Section 145 of the Delaware General Corporation Law, our amended and restated bylaws and our indemnification agreements that we have entered into with our directors and officers provide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our best interests and, with respect to any criminal proceeding, had no reasonable cause to believe such person’s conduct was unlawful;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our discretion, indemnify employees and agents in those circumstances where indemnification is permitted by applicable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not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rights conferred in our amended and restated bylaws are not exclusive, and we are authorized to enter into indemnification agreements with our directors, officers, employees and agents and to obtain insurance to indemnify such persons;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retroactively amend our amended and restated bylaws to reduce our indemnification obligations to our directors, officers, employees and agents. </w:t>
      </w:r>
    </w:p>
    <w:p>
      <w:pPr>
        <w:pStyle w:val="TextBody"/>
        <w:bidi w:val="0"/>
        <w:jc w:val="left"/>
        <w:rPr>
          <w:rFonts w:ascii="Times New Roman" w:hAnsi="Times New Roman"/>
          <w:sz w:val="20"/>
        </w:rPr>
      </w:pPr>
      <w:r>
        <w:rPr>
          <w:rFonts w:ascii="Times New Roman" w:hAnsi="Times New Roman"/>
          <w:b/>
          <w:i/>
          <w:color w:val="000000"/>
          <w:sz w:val="20"/>
        </w:rPr>
        <w:t>Our amended and restated certificate of incorporation and amended and restated bylaws provide for an exclusive forum in the Court of Chancery of the State of Delaware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the Court of Chancery of the State of Delaware is the exclusive forum for any state law derivative action or proceeding brought on our behalf, any action asserting a breach of fiduciary duty, any action asserting a claim against us arising pursuant to the Delaware General Corporation Law, any action to interpret, apply, enforce, or determine the validity of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Securities Exchange Act of 1934, as amended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bylaws also provide that the federal district courts of the United States of America will be the exclusive forum for the resolution of any complaint asserting a cause or causes of action under the Securities Act. Such provision is intended to benefit and may be enforced by us, our officers and directors, by the underwriters to any offering giving rise to such complaint and any other professional or entity whose profession gives authority to a statement made by that person or entity and who has prepared or certified any part of the documents underlying the offering. Nothing in our amended and restated certificate of incorporation or amended and restated bylaws precludes stockholders that assert claims under the Exchange Act from bringing such claims in state or federal court, subject to applicable law.</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forum provision in our amended and restated certificate of incorporation or amended and restated bylaws to be inapplicable or unenforceable in an action, we may incur additional costs associated with resolving such action in other jurisdictions, which could adversely affect our business, financial condition, results of operations and prospects. </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To date, we have primarily financed our operations through the sale of preferred stock, common stock, our issuance of the 2033 Notes, the Royalty Purchase Agreement, and upfront payments and research and development cost reimbursement received in connection with our prior collaboration with Sanofi and our acquisition of EQRx (the EQRx Acquisition). We will be required to seek additional funding in the future to achieve our goals and may do so through a combination of public or private equity offerings, debt financings, credit or loan facilities, collaborations, strategic alliances, licensing arrangements and other marketing or distribution arrangements.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If we raise additional funds by issuing equity securities, our stockholders may suffer dilution and the terms of any financing may adversely affect the rights of our stockholders. For example, the EQRx Acquisition, an all-stock transaction pursuant to which we issued shares of our common stock according to a blended formula, resulted in substantial dilution to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would receive any distribution of our corporate assets. Attempting to secure additional financing may also divert our management from our day-to-day activities, which may adversely affect our ability to develop our product candidates.</w:t>
      </w:r>
    </w:p>
    <w:p>
      <w:pPr>
        <w:pStyle w:val="TextBody"/>
        <w:bidi w:val="0"/>
        <w:jc w:val="left"/>
        <w:rPr>
          <w:rFonts w:ascii="Times New Roman" w:hAnsi="Times New Roman"/>
          <w:b/>
          <w:i/>
          <w:color w:val="000000"/>
          <w:sz w:val="20"/>
        </w:rPr>
      </w:pPr>
      <w:r>
        <w:rPr>
          <w:rFonts w:ascii="Times New Roman" w:hAnsi="Times New Roman"/>
          <w:b/>
          <w:i/>
          <w:color w:val="000000"/>
          <w:sz w:val="20"/>
        </w:rPr>
        <w:t>Litigation or other legal proceedings, including proceedings related to intellectual property and securities class action lawsuits and derivative lawsuits, could cause us to spend substantial resources and distract our personnel from their normal responsibilities.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Even if resolved in our favor, litigation or other legal proceedings may cause us to incur significant expenses, and could distract our technical and management personnel from their normal responsibilities. There is considerable intellectual property litigation in the pharmaceutical industry. Additionally, securities class action lawsuits and derivative lawsuits are often brought against public companies that have entered into merger agreements or as a result of stock price volatility.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result in substantial costs and monetary damages and thus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product candidates, if approved.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Among other matters, U.S. and foreign anti-corruption, anti-money laundering, export control, sanctions, and other trade laws and regulations (collectively,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We can be held liable for the corrupt or other illegal activities of our personnel, agents, or partners, even if we do not explicitly authorize or have prior knowledge of such activities.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adversely affected by events in the global economy and events adversely affecting the financial services industry.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be adversely affected by general conditions in the global economy and in the global financial markets, including the current inflationary environment and the imposition of tariffs and other trade protection measures. Increased inflation and costs of production may result in decreased demand for our products (if approved), increased operating costs (including our labor costs), reduced liquidity and limitations on our ability to access credit or otherwise raise debt and equity capital. In addition, the U.S. Federal Reserve has adjusted, and may continue to adjust, interest rates in response to inflation, employment, and other macroeconomic conditions, and changes in interest rates may adversely affect our cost of capital, the value of our investments, and the broader economy. Increases in interest rates, especially if coupled with reduced government spending and volatility in financial markets, could have the effect of further increasing economic uncertainty and heightening these risks.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Adverse developments that affect financial institutions or concerns or rumors about these events have in the past and may in the future lead to market-wide liquidity problems. For example, in March 2023, Silicon Valley Bank was closed by the California Department of Financial Protection and Innovation, which appointed the U.S. Federal Deposit Insurance Corporation (FDIC) as receiver. Similarly, other institutions have been and may continue to be swept into receivership. Uncertainty may remain over liquidity concerns in the broader financial services industry, and there may be unpredictable impacts to our business and our industry. We cannot anticipate all the ways in which the global financial market conditions could adversely impact our business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Although we assess our banking relationships as we believe necessary or appropriate, our access to deposits or other financial assets on a timely basis or in adequate amounts could be significantly impaired by factors that affect the financial institutions with which we have banking relationships or the financial markets or financial services industry generally.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maintain our cash at financial institutions, in balances that may exceed federally insured limits.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maintain the majority of our cash and cash equivalents in accounts at banking institutions in the United States that we believe are of high quality. Cash held in these accounts may exceed the FDIC insurance limits. If these banking institutions were to fail, we could lose all or a portion of amounts held in excess of these insurance limitations. In the event of failure of any of the financial institutions where we maintain our cash and cash equivalents, there can be no assurance that we would be able to access uninsured funds in a timely manner or at all.</w:t>
      </w:r>
    </w:p>
    <w:p>
      <w:pPr>
        <w:pStyle w:val="TextBody"/>
        <w:bidi w:val="0"/>
        <w:jc w:val="left"/>
        <w:rPr>
          <w:rFonts w:ascii="Times New Roman" w:hAnsi="Times New Roman"/>
          <w:sz w:val="20"/>
        </w:rPr>
      </w:pPr>
      <w:r>
        <w:rPr>
          <w:rFonts w:ascii="Times New Roman" w:hAnsi="Times New Roman"/>
          <w:b/>
          <w:i/>
          <w:color w:val="000000"/>
          <w:sz w:val="20"/>
        </w:rPr>
        <w:t>We incur significantly increased costs as a result of operating as a public company, and our management devotes substantial time to new compliance initiatives. If we fail to comply with the rules that apply to public companies, we could face sanctions or other penalties that would harm our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incur significant legal, accounting and other expenses as a public company, including costs resulting from public company reporting obligations under the Exchange Act, and regulations regarding corporate governance practices. The listing requirements of the Nasdaq Global Select Market and the rules of the SEC require that we satisfy certain corporate governance requirements relating to director independence, filing annual and interim reports, stockholder meetings, approvals and voting, soliciting proxies, conflicts of interest and a code of conduct. Our management and other personnel devote a substantial amount of time to comply with all of these requirements. Moreover, the reporting requirements, rules and regulations will increase our legal and financial compliance costs and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w:t>
      </w:r>
    </w:p>
    <w:p>
      <w:pPr>
        <w:pStyle w:val="TextBody"/>
        <w:bidi w:val="0"/>
        <w:jc w:val="left"/>
        <w:rPr>
          <w:rFonts w:ascii="Times New Roman" w:hAnsi="Times New Roman"/>
          <w:sz w:val="20"/>
        </w:rPr>
      </w:pPr>
      <w:r>
        <w:rPr>
          <w:rFonts w:ascii="Times New Roman" w:hAnsi="Times New Roman"/>
          <w:b/>
          <w:i/>
          <w:color w:val="000000"/>
          <w:sz w:val="20"/>
        </w:rPr>
        <w:t>If securities analysts do not continue to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trading market for our common stock relies, in part, on the research and reports that industry or financial analysts publish about us or our business. If few analysts publish research or reports about us, the trading price of our stock would likely decrease. If one or more of the analysts covering our business downgrades their evaluations of our stock, the price of our stock could decline. If one or more of these analysts ceases to cover our stock, we could lose visibility in the market for our stock, which, in turn, could cause our stock price to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maintain proper and effective internal controls over financial reporting, our ability to produce accurate and timely financial statements could be impaired, investors may lose confidence in our financial reporting and the trading price of our common stock may decline.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As a public company, we are subject to Section 404 of the Sarbanes-Oxley Act of 2002 and the related rules of the SEC, which generally require our management and independent registered public accounting firm to report on the effectiveness of our internal control over financial reporting.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order to provide the reports required by these rules, we must conduct reviews and testing of our internal controls.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Further, failure to remedy any material weakness in our internal control over financial reporting, or to implement or maintain other effective control systems required of public companies, could also restrict our future access to the capital markets.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In order to report our results of operations and financial statements on an accurate and timely basis, we will depend on third-party vendors to provide timely and accurate notice of their costs to us. Any failure to report our financial results on an accurate and timely basis could result in sanctions, lawsuits, delisting of our shares and public warrants from the Nasdaq Global Select Market or other adverse consequences.</w:t>
      </w:r>
    </w:p>
    <w:p>
      <w:pPr>
        <w:pStyle w:val="TextBody"/>
        <w:bidi w:val="0"/>
        <w:spacing w:before="200" w:after="283"/>
        <w:jc w:val="left"/>
        <w:rPr>
          <w:rFonts w:ascii="Times New Roman" w:hAnsi="Times New Roman"/>
          <w:b/>
          <w:color w:val="000000"/>
          <w:sz w:val="20"/>
        </w:rPr>
      </w:pPr>
      <w:bookmarkStart w:id="18" w:name="item_2_unregistered_sales_equity_securit"/>
      <w:bookmarkEnd w:id="18"/>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Unregistered Sales of Equity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Use of Proceeds from the Sale of Registered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b/>
          <w:color w:val="000000"/>
          <w:sz w:val="20"/>
        </w:rPr>
      </w:pPr>
      <w:bookmarkStart w:id="19" w:name="item_3_defaults_upon_senior_securities"/>
      <w:bookmarkEnd w:id="19"/>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b/>
          <w:color w:val="000000"/>
          <w:sz w:val="20"/>
        </w:rPr>
      </w:pPr>
      <w:bookmarkStart w:id="20" w:name="item_4_mine_safety_disclosures"/>
      <w:bookmarkEnd w:id="2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b/>
          <w:color w:val="000000"/>
          <w:sz w:val="20"/>
        </w:rPr>
      </w:pPr>
      <w:bookmarkStart w:id="21" w:name="item_5_or_information"/>
      <w:bookmarkEnd w:id="21"/>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quarterly period ended June 30, 2026, the following directors and officers of the Company adopted Rule 10b5-1 trading arrangements that are each intended to satisfy the affirmative defense of Rule 10b5-1(c) promulgated under the Exchange Act. The details of these arrangements are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22, 2026, Mark A. Goldsmith, M.D., Ph.D., our President and Chief Executive Officer and Chair of the Board of Directors, adopted a Rule 10b5-1 trading plan. Dr. Goldsmith’s Rule 10b5-1 trading plan is intended to satisfy the affirmative defense conditions of Rule 10b5-1(c) promulgated under the Exchange Act, and provides for (i) the potential exercise and sale of up to 150,000 shares of our common stock subject to a stock option held by Dr. Goldsmith, (ii) the potential sale of up to 12,000 shares of our common stock by a trust for which Dr. Goldsmith is a trustee and (iii) the potential sale of up to 12,000 shares of our common stock by another trust for which Dr. Goldsmith is a trustee. The trading plan will terminate at the earlier of the execution of all trading orders pursuant to the plan and September 30,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22, 2026, Jeff Cislini, Senior Vice President, General Counsel and Secretary, adopted a Rule 10b5-1 trading plan intended to satisfy the affirmative defense conditions of Rule 10b5-1(c) promulgated under the Exchange Act, which provides for (i) the potential exercise and sale of up to 78,966 shares of our common stock subject to stock options held by Mr. Cislini and (ii) the potential sale of shares of our common stock issued upon the settlement of 21,000 restricted stock units, less the number of shares sold to cover tax withholding obligations in connection with the vesting and settlement of such restricted stock units. The trading plan will terminate at the earlier of the execution of all trading orders pursuant to the plan and April 30,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11, 2026, Anthony Mancini, our Chief Global Commercialization Officer, adopted a Rule 10b5-1 trading plan intended to satisfy the affirmative defense conditions of Rule 10b5-1(c) promulgated under the Exchange Act, which provides for (i) the potential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exercise and sale of up to 24,968 shares of our common stock subject to stock options held by Mr. Mancini and (ii) the potential sale of shares of our common stock issued upon the settlement of 18,950 restricted stock units, less the number of shares sold to cover tax withholding obligations in connection with the vesting and settlement of such restricted stock units. The trading plan will terminate at the earlier of the execution of all trading orders pursuant to the plan and March 3, 2027.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12, 2026, Steve Kelsey, M.D., FRCP, FRCPath, who served as our President, Research and Development until June 30, 2026 and currently serves as Senior Advisor to the Chief Executive Officer, adopted a Rule 10b5-1 trading plan intended to satisfy the affirmative defense conditions of Rule 10b5-1(c) promulgated under the Exchange Act, which provides for the potential exercise and sale of up to 92,531 shares of our common stock subject to a stock option held by Dr. Kelsey. The trading plan will terminate at the earlier of the execution of all trading orders pursuant to the plan and March 31, 2027.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14, 2026, Alan Sandler, M.D., our Chief Development Officer, adopted a Rule 10b5-1 trading arrangement intended to satisfy the affirmative defense conditions of Rule 10b5-1(c) promulgated under the Exchange Act. Dr. Sandler’s trading arrangement covers the sale of the number of shares of our common stock required to be sold to cover tax withholding obligations for restricted stock unit awards that vest after June 15, 2026. The aggregate number of shares to be sold pursuant to this trading arrangement is dependent on the number of restricted stock unit awards that may be granted to Dr. Sandler from time to time and the taxes on these restricted stock unit awards, and, therefore, is indeterminable at this time.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15, 2026, Anthony Mancini, our Chief Global Commercialization Officer, adopted a Rule 10b5-1 trading arrangement intended to satisfy the affirmative defense conditions of Rule 10b5-1(c) promulgated under the Exchange Act. Mr. Mancini’s trading arrangement covers the sale of the number of shares of our common stock required to be sold to cover tax withholding obligations for restricted stock unit awards that vest after June 15, 2026. The aggregate number of shares to be sold pursuant to this trading arrangement is dependent on the number of restricted stock unit awards that may be granted to Mr. Mancini from time to time and the taxes on these restricted stock unit awards, and, therefore, is indeterminable at this time.</w:t>
      </w:r>
    </w:p>
    <w:p>
      <w:pPr>
        <w:pStyle w:val="TextBody"/>
        <w:bidi w:val="0"/>
        <w:jc w:val="left"/>
        <w:rPr/>
      </w:pPr>
      <w:r>
        <w:rPr/>
        <w:t> </w:t>
      </w:r>
    </w:p>
    <w:p>
      <w:pPr>
        <w:pStyle w:val="TextBody"/>
        <w:bidi w:val="0"/>
        <w:spacing w:before="12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2" w:name="item_6_exhibits"/>
      <w:bookmarkEnd w:id="22"/>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7"/>
        <w:gridCol w:w="6396"/>
        <w:gridCol w:w="526"/>
        <w:gridCol w:w="146"/>
        <w:gridCol w:w="605"/>
        <w:gridCol w:w="146"/>
        <w:gridCol w:w="751"/>
        <w:gridCol w:w="858"/>
      </w:tblGrid>
      <w:tr>
        <w:trPr/>
        <w:tc>
          <w:tcPr>
            <w:tcW w:w="777" w:type="dxa"/>
            <w:tcBorders/>
            <w:vAlign w:val="center"/>
          </w:tcPr>
          <w:p>
            <w:pPr>
              <w:pStyle w:val="TableContents"/>
              <w:bidi w:val="0"/>
              <w:spacing w:before="0" w:after="283"/>
              <w:jc w:val="left"/>
              <w:rPr>
                <w:sz w:val="4"/>
                <w:szCs w:val="4"/>
              </w:rPr>
            </w:pPr>
            <w:r>
              <w:rPr>
                <w:sz w:val="4"/>
                <w:szCs w:val="4"/>
              </w:rPr>
            </w:r>
          </w:p>
        </w:tc>
        <w:tc>
          <w:tcPr>
            <w:tcW w:w="639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777" w:type="dxa"/>
            <w:vMerge w:val="restart"/>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639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Description</w:t>
            </w:r>
          </w:p>
        </w:tc>
        <w:tc>
          <w:tcPr>
            <w:tcW w:w="2174"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Incorporated by Reference</w:t>
            </w:r>
          </w:p>
        </w:tc>
        <w:tc>
          <w:tcPr>
            <w:tcW w:w="858" w:type="dxa"/>
            <w:vMerge w:val="restart"/>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Provided</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Herewith</w:t>
            </w:r>
          </w:p>
        </w:tc>
      </w:tr>
      <w:tr>
        <w:trPr/>
        <w:tc>
          <w:tcPr>
            <w:tcW w:w="777" w:type="dxa"/>
            <w:vMerge w:val="continue"/>
            <w:tcBorders/>
            <w:tcMar>
              <w:top w:w="0" w:type="dxa"/>
              <w:left w:w="0" w:type="dxa"/>
              <w:bottom w:w="0" w:type="dxa"/>
              <w:right w:w="0" w:type="dxa"/>
            </w:tcMar>
            <w:vAlign w:val="center"/>
          </w:tcPr>
          <w:p>
            <w:pPr>
              <w:pStyle w:val="Normal"/>
              <w:bidi w:val="0"/>
              <w:jc w:val="left"/>
              <w:rPr/>
            </w:pPr>
            <w:r>
              <w:rPr/>
            </w:r>
          </w:p>
        </w:tc>
        <w:tc>
          <w:tcPr>
            <w:tcW w:w="6396" w:type="dxa"/>
            <w:vMerge w:val="continue"/>
            <w:tcBorders/>
            <w:tcMar>
              <w:top w:w="0" w:type="dxa"/>
              <w:left w:w="0" w:type="dxa"/>
              <w:bottom w:w="0" w:type="dxa"/>
              <w:right w:w="0" w:type="dxa"/>
            </w:tcMar>
            <w:vAlign w:val="center"/>
          </w:tcPr>
          <w:p>
            <w:pPr>
              <w:pStyle w:val="Normal"/>
              <w:bidi w:val="0"/>
              <w:jc w:val="left"/>
              <w:rPr/>
            </w:pPr>
            <w:r>
              <w:rPr/>
            </w:r>
          </w:p>
        </w:tc>
        <w:tc>
          <w:tcPr>
            <w:tcW w:w="5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858" w:type="dxa"/>
            <w:vMerge w:val="continue"/>
            <w:tcBorders>
              <w:bottom w:val="single" w:sz="4" w:space="0" w:color="000000"/>
            </w:tcBorders>
            <w:tcMar>
              <w:top w:w="0" w:type="dxa"/>
              <w:left w:w="0" w:type="dxa"/>
              <w:right w:w="0" w:type="dxa"/>
            </w:tcMar>
            <w:vAlign w:val="center"/>
          </w:tcPr>
          <w:p>
            <w:pPr>
              <w:pStyle w:val="Normal"/>
              <w:bidi w:val="0"/>
              <w:jc w:val="left"/>
              <w:rPr/>
            </w:pPr>
            <w:r>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639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8"/>
                  <w:u w:val="single"/>
                </w:rPr>
                <w:t>Amended and Restated Certificate of Incorporation.</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2/18/2020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639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8"/>
                  <w:u w:val="single"/>
                </w:rPr>
                <w:t>Amended and Restated Bylaws.</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3/8/2021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4.1</w:t>
            </w:r>
          </w:p>
        </w:tc>
        <w:tc>
          <w:tcPr>
            <w:tcW w:w="639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8"/>
                  <w:u w:val="single"/>
                </w:rPr>
                <w:t>Indenture, dated as of April 17, 2026, between Revolution Medicines, Inc. and U.S. Bank Trust Company, National Association, as trustee.</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4/17/2026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85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4.2</w:t>
            </w:r>
          </w:p>
        </w:tc>
        <w:tc>
          <w:tcPr>
            <w:tcW w:w="639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18"/>
                  <w:u w:val="single"/>
                </w:rPr>
                <w:t>First Supplemental Indenture, dated as of April 17, 2026, between Revolution Medicines, Inc. and U.S. Bank Trust Company, National Association, as trustee.</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4/17/2026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c>
          <w:tcPr>
            <w:tcW w:w="85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4.3</w:t>
            </w:r>
          </w:p>
        </w:tc>
        <w:tc>
          <w:tcPr>
            <w:tcW w:w="6396"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18"/>
                  <w:u w:val="single"/>
                </w:rPr>
                <w:t>Form of certificate representing the 0.50% Convertible Senior Notes due 2033 (included as Exhibit A to Exhibit 4.2).</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4/17/2026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c>
          <w:tcPr>
            <w:tcW w:w="85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6396" w:type="dxa"/>
            <w:tcBorders/>
            <w:tcMar>
              <w:top w:w="0" w:type="dxa"/>
              <w:left w:w="0" w:type="dxa"/>
              <w:bottom w:w="0" w:type="dxa"/>
              <w:right w:w="0" w:type="dxa"/>
            </w:tcMar>
            <w:vAlign w:val="center"/>
          </w:tcPr>
          <w:p>
            <w:pPr>
              <w:pStyle w:val="TableContents"/>
              <w:bidi w:val="0"/>
              <w:spacing w:before="0" w:after="283"/>
              <w:jc w:val="left"/>
              <w:rPr/>
            </w:pPr>
            <w:hyperlink w:anchor="rvmd-ex31_1.htm">
              <w:r>
                <w:rPr>
                  <w:rStyle w:val="InternetLink"/>
                  <w:rFonts w:ascii="Times New Roman" w:hAnsi="Times New Roman"/>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6396" w:type="dxa"/>
            <w:tcBorders/>
            <w:tcMar>
              <w:top w:w="0" w:type="dxa"/>
              <w:left w:w="0" w:type="dxa"/>
              <w:bottom w:w="0" w:type="dxa"/>
              <w:right w:w="0" w:type="dxa"/>
            </w:tcMar>
            <w:vAlign w:val="center"/>
          </w:tcPr>
          <w:p>
            <w:pPr>
              <w:pStyle w:val="TableContents"/>
              <w:bidi w:val="0"/>
              <w:spacing w:before="0" w:after="283"/>
              <w:jc w:val="left"/>
              <w:rPr/>
            </w:pPr>
            <w:hyperlink w:anchor="rvmd-ex31_2.htm">
              <w:r>
                <w:rPr>
                  <w:rStyle w:val="InternetLink"/>
                  <w:rFonts w:ascii="Times New Roman" w:hAnsi="Times New Roman"/>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32.1*</w:t>
            </w:r>
          </w:p>
        </w:tc>
        <w:tc>
          <w:tcPr>
            <w:tcW w:w="6396" w:type="dxa"/>
            <w:tcBorders/>
            <w:tcMar>
              <w:top w:w="0" w:type="dxa"/>
              <w:left w:w="0" w:type="dxa"/>
              <w:bottom w:w="0" w:type="dxa"/>
              <w:right w:w="0" w:type="dxa"/>
            </w:tcMar>
            <w:vAlign w:val="center"/>
          </w:tcPr>
          <w:p>
            <w:pPr>
              <w:pStyle w:val="TableContents"/>
              <w:bidi w:val="0"/>
              <w:spacing w:before="0" w:after="283"/>
              <w:jc w:val="left"/>
              <w:rPr/>
            </w:pPr>
            <w:hyperlink w:anchor="rvmd-ex32_1.htm">
              <w:r>
                <w:rPr>
                  <w:rStyle w:val="InternetLink"/>
                  <w:rFonts w:ascii="Times New Roman" w:hAnsi="Times New Roman"/>
                  <w:color w:val="0000FF"/>
                  <w:sz w:val="18"/>
                  <w:u w:val="single"/>
                </w:rPr>
                <w:t>Certification of Principal Executive Officer Pursuant to 18 U.S.C. Section 1350, as Adopted Pursuant to Section 906 of the Sarbanes-Oxley Act of 2002.</w:t>
              </w:r>
            </w:hyperlink>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32.2*</w:t>
            </w:r>
          </w:p>
        </w:tc>
        <w:tc>
          <w:tcPr>
            <w:tcW w:w="6396" w:type="dxa"/>
            <w:tcBorders/>
            <w:tcMar>
              <w:top w:w="0" w:type="dxa"/>
              <w:left w:w="0" w:type="dxa"/>
              <w:bottom w:w="0" w:type="dxa"/>
              <w:right w:w="0" w:type="dxa"/>
            </w:tcMar>
            <w:vAlign w:val="center"/>
          </w:tcPr>
          <w:p>
            <w:pPr>
              <w:pStyle w:val="TableContents"/>
              <w:bidi w:val="0"/>
              <w:spacing w:before="0" w:after="283"/>
              <w:jc w:val="left"/>
              <w:rPr/>
            </w:pPr>
            <w:hyperlink w:anchor="rvmd-ex32_2.htm">
              <w:r>
                <w:rPr>
                  <w:rStyle w:val="InternetLink"/>
                  <w:rFonts w:ascii="Times New Roman" w:hAnsi="Times New Roman"/>
                  <w:color w:val="0000FF"/>
                  <w:sz w:val="18"/>
                  <w:u w:val="single"/>
                </w:rPr>
                <w:t>Certification of Principal Financial Officer Pursuant to 18 U.S.C. Section 1350, as Adopted Pursuant to Section 906 of the Sarbanes-Oxley Act of 2002.</w:t>
              </w:r>
            </w:hyperlink>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6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6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Document.</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101.CAL</w:t>
            </w:r>
          </w:p>
        </w:tc>
        <w:tc>
          <w:tcPr>
            <w:tcW w:w="6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Calculation Linkbase Document.</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101.DEF</w:t>
            </w:r>
          </w:p>
        </w:tc>
        <w:tc>
          <w:tcPr>
            <w:tcW w:w="6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Definition Linkbase Document.</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101.LAB</w:t>
            </w:r>
          </w:p>
        </w:tc>
        <w:tc>
          <w:tcPr>
            <w:tcW w:w="6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Label Linkbase Document.</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101.PRE</w:t>
            </w:r>
          </w:p>
        </w:tc>
        <w:tc>
          <w:tcPr>
            <w:tcW w:w="6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Presentation Linkbase Document.</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6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 cover page from the Company’s Quarterly Report on Form 10-Q for the quarterly period ended June 30, 2026 has been formatted in Inline XBRL.</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bl>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11"/>
        <w:gridCol w:w="9994"/>
      </w:tblGrid>
      <w:tr>
        <w:trPr/>
        <w:tc>
          <w:tcPr>
            <w:tcW w:w="211" w:type="dxa"/>
            <w:tcBorders/>
            <w:vAlign w:val="center"/>
          </w:tcPr>
          <w:p>
            <w:pPr>
              <w:pStyle w:val="TableContents"/>
              <w:bidi w:val="0"/>
              <w:spacing w:before="0" w:after="283"/>
              <w:jc w:val="left"/>
              <w:rPr>
                <w:sz w:val="4"/>
                <w:szCs w:val="4"/>
              </w:rPr>
            </w:pPr>
            <w:r>
              <w:rPr>
                <w:sz w:val="4"/>
                <w:szCs w:val="4"/>
              </w:rPr>
            </w:r>
          </w:p>
        </w:tc>
        <w:tc>
          <w:tcPr>
            <w:tcW w:w="9994" w:type="dxa"/>
            <w:tcBorders/>
            <w:vAlign w:val="center"/>
          </w:tcPr>
          <w:p>
            <w:pPr>
              <w:pStyle w:val="TableContents"/>
              <w:bidi w:val="0"/>
              <w:spacing w:before="0" w:after="283"/>
              <w:jc w:val="left"/>
              <w:rPr>
                <w:sz w:val="4"/>
                <w:szCs w:val="4"/>
              </w:rPr>
            </w:pPr>
            <w:r>
              <w:rPr>
                <w:sz w:val="4"/>
                <w:szCs w:val="4"/>
              </w:rPr>
            </w:r>
          </w:p>
        </w:tc>
      </w:tr>
      <w:tr>
        <w:trPr/>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 certifications attached as Exhibits 32.1 and 32.2 that accompany this Quarterly Report on Form 10-Q are deemed furnished and not filed with the Securities and Exchange Commission and are not to be incorporated by reference into any filing of Revolution Medicines,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983" w:type="dxa"/>
        <w:jc w:val="left"/>
        <w:tblInd w:w="0" w:type="dxa"/>
        <w:tblLayout w:type="fixed"/>
        <w:tblCellMar>
          <w:top w:w="28" w:type="dxa"/>
          <w:left w:w="28" w:type="dxa"/>
          <w:bottom w:w="28" w:type="dxa"/>
          <w:right w:w="28" w:type="dxa"/>
        </w:tblCellMar>
      </w:tblPr>
      <w:tblGrid>
        <w:gridCol w:w="1846"/>
        <w:gridCol w:w="406"/>
        <w:gridCol w:w="273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Revolution Medicines,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Mark A. Goldsmith</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Mark A. Goldsmith, M.D., Ph.D.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018" w:type="dxa"/>
        <w:jc w:val="left"/>
        <w:tblInd w:w="0" w:type="dxa"/>
        <w:tblLayout w:type="fixed"/>
        <w:tblCellMar>
          <w:top w:w="28" w:type="dxa"/>
          <w:left w:w="28" w:type="dxa"/>
          <w:bottom w:w="28" w:type="dxa"/>
          <w:right w:w="28" w:type="dxa"/>
        </w:tblCellMar>
      </w:tblPr>
      <w:tblGrid>
        <w:gridCol w:w="1846"/>
        <w:gridCol w:w="40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Revolution Medicines,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Jack Anders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Jack Anders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24" w:name="rvmd-ex31_1.htm"/>
      <w:bookmarkStart w:id="25" w:name="ksrvmdex31_1"/>
      <w:bookmarkEnd w:id="24"/>
      <w:bookmarkEnd w:id="25"/>
      <w:r>
        <w:rPr>
          <w:rFonts w:ascii="Times New Roman" w:hAnsi="Times New Roman"/>
          <w:b/>
          <w:color w:val="000000"/>
          <w:sz w:val="18"/>
        </w:rPr>
        <w:t>Exhibit 31.1</w:t>
      </w:r>
      <w:r>
        <w:br w:type="page"/>
      </w:r>
    </w:p>
    <w:p>
      <w:pPr>
        <w:pStyle w:val="TextBody"/>
        <w:bidi w:val="0"/>
        <w:spacing w:before="360" w:after="283"/>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RULES 13a-14(a) AND 15d-14(a) UNDER THE SECURITIES EXCHANGE ACT OF 1934,</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 SECTION 302 OF THE SARBANES-OXLEY ACT OF 2002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 Mark A. Goldsmith, certify that: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 have reviewed this Quarterly Report on Form 10-Q of Revolution Medicines, Inc.;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57" w:type="dxa"/>
        <w:jc w:val="left"/>
        <w:tblInd w:w="0" w:type="dxa"/>
        <w:tblLayout w:type="fixed"/>
        <w:tblCellMar>
          <w:top w:w="28" w:type="dxa"/>
          <w:left w:w="28" w:type="dxa"/>
          <w:bottom w:w="28" w:type="dxa"/>
          <w:right w:w="28" w:type="dxa"/>
        </w:tblCellMar>
      </w:tblPr>
      <w:tblGrid>
        <w:gridCol w:w="1651"/>
        <w:gridCol w:w="109"/>
        <w:gridCol w:w="361"/>
        <w:gridCol w:w="2836"/>
      </w:tblGrid>
      <w:tr>
        <w:trPr/>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Mark A. Goldsmith</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Mark A. Goldsmith, M.D., Ph.D.</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President and Chief Executive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26" w:name="rvmd-ex31_2.htm"/>
      <w:bookmarkStart w:id="27" w:name="ksrvmdex31_2"/>
      <w:bookmarkEnd w:id="26"/>
      <w:bookmarkEnd w:id="27"/>
      <w:r>
        <w:rPr>
          <w:rFonts w:ascii="Times New Roman" w:hAnsi="Times New Roman"/>
          <w:b/>
          <w:color w:val="000000"/>
          <w:sz w:val="18"/>
        </w:rPr>
        <w:t>Exhibit 31.2</w:t>
      </w:r>
      <w:r>
        <w:br w:type="page"/>
      </w:r>
    </w:p>
    <w:p>
      <w:pPr>
        <w:pStyle w:val="TextBody"/>
        <w:bidi w:val="0"/>
        <w:spacing w:before="360" w:after="283"/>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RULES 13a-14(a) AND 15d-14(a) UNDER THE SECURITIES EXCHANGE ACT OF 1934,</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 SECTION 302 OF THE SARBANES-OXLEY ACT OF 2002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 Jack Anders, certify that: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 have reviewed this Quarterly Report on Form 10-Q of Revolution Medicines, Inc.;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37" w:type="dxa"/>
        <w:jc w:val="left"/>
        <w:tblInd w:w="0" w:type="dxa"/>
        <w:tblLayout w:type="fixed"/>
        <w:tblCellMar>
          <w:top w:w="28" w:type="dxa"/>
          <w:left w:w="28" w:type="dxa"/>
          <w:bottom w:w="28" w:type="dxa"/>
          <w:right w:w="28" w:type="dxa"/>
        </w:tblCellMar>
      </w:tblPr>
      <w:tblGrid>
        <w:gridCol w:w="1651"/>
        <w:gridCol w:w="109"/>
        <w:gridCol w:w="361"/>
        <w:gridCol w:w="3316"/>
      </w:tblGrid>
      <w:tr>
        <w:trPr/>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3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Jack Anders</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Jack Anders</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Chief Financial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rvmd-ex32_1.htm"/>
      <w:bookmarkStart w:id="29" w:name="ksrvmdex32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Revolution Medicines,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983" w:type="dxa"/>
        <w:jc w:val="left"/>
        <w:tblInd w:w="0" w:type="dxa"/>
        <w:tblLayout w:type="fixed"/>
        <w:tblCellMar>
          <w:top w:w="28" w:type="dxa"/>
          <w:left w:w="28" w:type="dxa"/>
          <w:bottom w:w="28" w:type="dxa"/>
          <w:right w:w="28" w:type="dxa"/>
        </w:tblCellMar>
      </w:tblPr>
      <w:tblGrid>
        <w:gridCol w:w="1846"/>
        <w:gridCol w:w="406"/>
        <w:gridCol w:w="273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Mark A. Goldsmith</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Mark A. Goldsmith, M.D.,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rvmd-ex32_2.htm"/>
      <w:bookmarkStart w:id="31" w:name="ksrvmdex32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Revolution Medicines,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6018" w:type="dxa"/>
        <w:jc w:val="left"/>
        <w:tblInd w:w="0" w:type="dxa"/>
        <w:tblLayout w:type="fixed"/>
        <w:tblCellMar>
          <w:top w:w="28" w:type="dxa"/>
          <w:left w:w="28" w:type="dxa"/>
          <w:bottom w:w="28" w:type="dxa"/>
          <w:right w:w="28" w:type="dxa"/>
        </w:tblCellMar>
      </w:tblPr>
      <w:tblGrid>
        <w:gridCol w:w="1846"/>
        <w:gridCol w:w="40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Jack Anders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Jack Anders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8171/000119312520040328/d848154dex31.htm" TargetMode="External"/><Relationship Id="rId3" Type="http://schemas.openxmlformats.org/officeDocument/2006/relationships/hyperlink" Target="https://www.sec.gov/Archives/edgar/data/1628171/000119312521073330/d144671dex31.htm" TargetMode="External"/><Relationship Id="rId4" Type="http://schemas.openxmlformats.org/officeDocument/2006/relationships/hyperlink" Target="https://www.sec.gov/Archives/edgar/data/1628171/000119312526161800/d19920dex41.htm" TargetMode="External"/><Relationship Id="rId5" Type="http://schemas.openxmlformats.org/officeDocument/2006/relationships/hyperlink" Target="https://www.sec.gov/Archives/edgar/data/1628171/000119312526161800/d19920dex42.htm" TargetMode="External"/><Relationship Id="rId6" Type="http://schemas.openxmlformats.org/officeDocument/2006/relationships/hyperlink" Target="https://www.sec.gov/Archives/edgar/data/1628171/000119312526161800/d19920dex4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68603</Words>
  <Characters>386458</Characters>
  <CharactersWithSpaces>456086</CharactersWithSpaces>
  <Paragraphs>7313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