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vmd-20261008.htm"/>
      <w:bookmarkStart w:id="1" w:name="ksrvmd20261008"/>
      <w:bookmarkEnd w:id="0"/>
      <w:bookmarkEnd w:id="1"/>
      <w:r>
        <w:rPr/>
        <w:t> </w:t>
      </w:r>
    </w:p>
    <w:p>
      <w:pPr>
        <w:pStyle w:val="TextBody"/>
        <w:bidi w:val="0"/>
        <w:spacing w:before="115"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115" w:after="283"/>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115" w:after="283"/>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Revolution Medicines,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47-2029180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700 Saginaw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Redwood City,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94063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481-6801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596"/>
        <w:gridCol w:w="146"/>
        <w:gridCol w:w="934"/>
        <w:gridCol w:w="146"/>
        <w:gridCol w:w="3383"/>
      </w:tblGrid>
      <w:tr>
        <w:trPr/>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3" w:type="dxa"/>
            <w:tcBorders/>
            <w:vAlign w:val="center"/>
          </w:tcPr>
          <w:p>
            <w:pPr>
              <w:pStyle w:val="TableContents"/>
              <w:bidi w:val="0"/>
              <w:spacing w:before="0" w:after="283"/>
              <w:jc w:val="left"/>
              <w:rPr>
                <w:sz w:val="4"/>
                <w:szCs w:val="4"/>
              </w:rPr>
            </w:pPr>
            <w:r>
              <w:rPr>
                <w:sz w:val="4"/>
                <w:szCs w:val="4"/>
              </w:rPr>
            </w:r>
          </w:p>
        </w:tc>
      </w:tr>
      <w:tr>
        <w:trPr/>
        <w:tc>
          <w:tcPr>
            <w:tcW w:w="55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38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5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RVMD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5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to purchase 0.1112 shares of common stock expiring December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RVMDW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righ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2.03 Creation of a Direct Financial Obligation or an Obligation under an Off-Balance Sheet Arrangement of a Registrant.</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set forth under Item 8.01 below under the heading “Royalty Pharma Tranche A Loan” is incorporated by reference into this Item 2.03.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Royalty Pharma Tranche A Loan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As previously disclosed, on June 23, 2025, Revolution Medicines, Inc. (the “Company”), as borrower, entered into a loan agreement (the “Loan Agreement”) with Wilmington Trust, National Association, as administrative agent (the “Administrative Agent”), and Royalty Pharma Development Funding, LLC, as a lender (the “Lender”). The Loan Agreement provides for a senior secured term loan facility of up to $750.0 million, consisting of three tranches of up to $250.0 million each.</w:t>
      </w:r>
    </w:p>
    <w:p>
      <w:pPr>
        <w:pStyle w:val="TextBody"/>
        <w:bidi w:val="0"/>
        <w:jc w:val="both"/>
        <w:rPr>
          <w:rFonts w:ascii="Times New Roman" w:hAnsi="Times New Roman"/>
          <w:color w:val="000000"/>
          <w:sz w:val="20"/>
        </w:rPr>
      </w:pPr>
      <w:r>
        <w:rPr>
          <w:rFonts w:ascii="Times New Roman" w:hAnsi="Times New Roman"/>
          <w:color w:val="000000"/>
          <w:sz w:val="20"/>
        </w:rPr>
        <w:t>On October 8, 2026 (the “Tranche A Closing Date”), in connection with the U.S. Food and Drug Administration’s (the “FDA”) approval of RASONQUE (daraxonrasib) for the treatment of adult patients with metastatic pancreatic adenocarcinoma who have received at least one prior systemic therapy or who are not candidates for multiagent systemic therapy (the “FDA Approval”), the Lender advanced the Tranche A Loan in an aggregate principal amount of $250.0 million. As required by the terms of the Loan Agreement, the Company borrowed the Tranche A Loan and paid the Lender a $5.0 million draw fee.</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 xml:space="preserve">The Tranche A Loan bears interest at a floating rate per annum equal to three-month Term SOFR, subject to a floor of 3.50%, plus 5.75%. Interest is payable quarterly in arrears. The Tranche A Loan is interest-only, with the outstanding principal due on October 8, 2032. The Company may voluntarily prepay all, but not less than all, of the Tranche A Loan. Any prepayment before the second anniversary of the Tranche A Closing Date requires payment of a make-whole amount equal to the interest that would have accrued on the prepaid principal through that anniversary, plus a 3.0% prepayment premium. A prepayment on or after the second anniversary but before the third anniversary requires a 3.0% prepayment premium, and a prepayment on or after the third anniversary but before maturity requires a 1.0% prepayment premium, in each case as specified in the Loan Agreement.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Following the funding of the Tranche A Loan, up to an additional $500.0 million of loans remains potentially available at the Company’s election, subject to the achievement of the applicable milestones and the satisfaction or waiver of the conditions specified in the Loan Agreement.</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Royalty Pharma Tranche 3 Royalty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previously disclosed, on June 23, 2025, the Company entered into a Revenue Participation Right Purchase and Sale Agreement (the “Royalty Purchase Agreement”) with Royalty Pharma Investments 2019 ICAV (“Royalty Pharma”).</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Under the Royalty Purchase Agreement, the FDA Approval constituted the “Tranche 3 Trigger.” Following the occurrence of the Tranche 3 Trigger, the Company had the option, but not the obligation, to deliver an irrevocable “Tranche 3 Notice” to Royalty Pharma no later than October 10, 2026. Pursuant to a Tranche 3 Notice, the Company could require Royalty Pharma to pay the Company a “Tranche 3 Purchase Price” of up to $250.0 million in exchange for the Company’s sale to Royalty Pharma of the corresponding “Tranche 3 Incremental Revenue Participation Right.”</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Company elected not to take Tranche 3 and did not deliver the Tranche 3 Notice. Accordingly, the Company will not receive a Tranche 3 Purchase Price, and Royalty Pharma will not receive the Tranche 3 Incremental Revenue Participation Right. Following this election, up to an additional $500.0 million of purchase price payments remain potentially available at the Company’s election, subject to the achievement of the applicable milestones and the satisfaction or waiver of the conditions specified in the Royalty Purchase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34" w:type="dxa"/>
        <w:jc w:val="left"/>
        <w:tblInd w:w="0" w:type="dxa"/>
        <w:tblLayout w:type="fixed"/>
        <w:tblCellMar>
          <w:top w:w="28" w:type="dxa"/>
          <w:left w:w="28" w:type="dxa"/>
          <w:bottom w:w="28" w:type="dxa"/>
          <w:right w:w="28" w:type="dxa"/>
        </w:tblCellMar>
      </w:tblPr>
      <w:tblGrid>
        <w:gridCol w:w="556"/>
        <w:gridCol w:w="1516"/>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REVOLUTION MEDICINES,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Mark A. Goldsmith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Mark A. Goldsmith, M.D., Ph.D.</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973</Words>
  <Characters>5297</Characters>
  <CharactersWithSpaces>6255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