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18" w:lineRule="exact"/>
        <w:rPr>
          <w:sz w:val="24"/>
          <w:szCs w:val="24"/>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Registration No. 333-277640</w:t>
      </w:r>
    </w:p>
    <w:p>
      <w:pPr>
        <w:spacing w:after="0" w:line="46"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PROSPECTUS SUPPLEMENT</w:t>
      </w:r>
    </w:p>
    <w:p>
      <w:pPr>
        <w:spacing w:after="0" w:line="5"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(To Prospectus dated March 4, 2024)</w:t>
      </w:r>
    </w:p>
    <w:p>
      <w:pPr>
        <w:spacing w:after="0" w:line="70" w:lineRule="exact"/>
        <w:rPr>
          <w:sz w:val="24"/>
          <w:szCs w:val="24"/>
          <w:color w:val="auto"/>
        </w:rPr>
      </w:pPr>
    </w:p>
    <w:p>
      <w:pPr>
        <w:ind w:left="360"/>
        <w:spacing w:after="0"/>
        <w:rPr>
          <w:sz w:val="20"/>
          <w:szCs w:val="20"/>
          <w:color w:val="auto"/>
        </w:rPr>
      </w:pPr>
      <w:r>
        <w:rPr>
          <w:rFonts w:ascii="Arial" w:cs="Arial" w:eastAsia="Arial" w:hAnsi="Arial"/>
          <w:sz w:val="14"/>
          <w:szCs w:val="14"/>
          <w:b w:val="1"/>
          <w:bCs w:val="1"/>
          <w:i w:val="1"/>
          <w:i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230505</wp:posOffset>
            </wp:positionH>
            <wp:positionV relativeFrom="paragraph">
              <wp:posOffset>60325</wp:posOffset>
            </wp:positionV>
            <wp:extent cx="1443355" cy="438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3355" cy="438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0"/>
        <w:spacing w:after="0"/>
        <w:rPr>
          <w:sz w:val="20"/>
          <w:szCs w:val="20"/>
          <w:color w:val="auto"/>
        </w:rPr>
      </w:pPr>
      <w:r>
        <w:rPr>
          <w:rFonts w:ascii="Arial" w:cs="Arial" w:eastAsia="Arial" w:hAnsi="Arial"/>
          <w:sz w:val="14"/>
          <w:szCs w:val="14"/>
          <w:b w:val="1"/>
          <w:bCs w:val="1"/>
          <w:i w:val="1"/>
          <w:iCs w:val="1"/>
          <w:color w:val="auto"/>
        </w:rPr>
        <w:t>0.50% Convertible Senior Notes due 2033</w:t>
      </w:r>
    </w:p>
    <w:p>
      <w:pPr>
        <w:spacing w:after="0" w:line="109" w:lineRule="exact"/>
        <w:rPr>
          <w:sz w:val="24"/>
          <w:szCs w:val="24"/>
          <w:color w:val="auto"/>
        </w:rPr>
      </w:pPr>
    </w:p>
    <w:p>
      <w:pPr>
        <w:ind w:left="360"/>
        <w:spacing w:after="0"/>
        <w:rPr>
          <w:sz w:val="20"/>
          <w:szCs w:val="20"/>
          <w:color w:val="auto"/>
        </w:rPr>
      </w:pPr>
      <w:r>
        <w:rPr>
          <w:rFonts w:ascii="Arial" w:cs="Arial" w:eastAsia="Arial" w:hAnsi="Arial"/>
          <w:sz w:val="11"/>
          <w:szCs w:val="11"/>
          <w:color w:val="auto"/>
        </w:rPr>
        <w:t>We are offering $500,000,000 aggregate principal amount of our 0.50% convertible senior notes due 2033.</w:t>
      </w:r>
    </w:p>
    <w:p>
      <w:pPr>
        <w:spacing w:after="0" w:line="56"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MATURITY; INTEREST</w:t>
      </w:r>
    </w:p>
    <w:p>
      <w:pPr>
        <w:spacing w:after="0" w:line="21" w:lineRule="exact"/>
        <w:rPr>
          <w:sz w:val="24"/>
          <w:szCs w:val="24"/>
          <w:color w:val="auto"/>
        </w:rPr>
      </w:pPr>
    </w:p>
    <w:p>
      <w:pPr>
        <w:ind w:left="360" w:right="419"/>
        <w:spacing w:after="0" w:line="249" w:lineRule="auto"/>
        <w:rPr>
          <w:sz w:val="20"/>
          <w:szCs w:val="20"/>
          <w:color w:val="auto"/>
        </w:rPr>
      </w:pPr>
      <w:r>
        <w:rPr>
          <w:rFonts w:ascii="Arial" w:cs="Arial" w:eastAsia="Arial" w:hAnsi="Arial"/>
          <w:sz w:val="11"/>
          <w:szCs w:val="11"/>
          <w:color w:val="auto"/>
        </w:rPr>
        <w:t>We will pay interest on the notes at an annual rate of 0.50%, payable semi-annually in arrears on May 1 and November 1 of each year, beginning on November 1, 2026. The notes will mature on May 1, 2033, unless earlier converted or redeemed or repurchased by us.</w:t>
      </w:r>
    </w:p>
    <w:p>
      <w:pPr>
        <w:spacing w:after="0" w:line="6"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CONVERSION</w:t>
      </w:r>
    </w:p>
    <w:p>
      <w:pPr>
        <w:spacing w:after="0" w:line="26" w:lineRule="exact"/>
        <w:rPr>
          <w:sz w:val="24"/>
          <w:szCs w:val="24"/>
          <w:color w:val="auto"/>
        </w:rPr>
      </w:pPr>
    </w:p>
    <w:p>
      <w:pPr>
        <w:ind w:left="360" w:right="419"/>
        <w:spacing w:after="0" w:line="234" w:lineRule="auto"/>
        <w:rPr>
          <w:sz w:val="20"/>
          <w:szCs w:val="20"/>
          <w:color w:val="auto"/>
        </w:rPr>
      </w:pPr>
      <w:r>
        <w:rPr>
          <w:rFonts w:ascii="Arial" w:cs="Arial" w:eastAsia="Arial" w:hAnsi="Arial"/>
          <w:sz w:val="11"/>
          <w:szCs w:val="11"/>
          <w:color w:val="auto"/>
        </w:rPr>
        <w:t>Noteholders may convert their notes at their option only in the following circumstances: (1) during any calendar quarter commencing after the calendar quarter ending on September 30, 2026, if the last reported sale price per share of our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as described in this prospectus supplement; (4) if we call such notes for redemption; and (5) at any time from, and including, February 1, 2033 until the close of business on the second scheduled trading day immediately before the maturity date. We will settle conversions by paying or delivering, as applicable, cash, shares of our common stock or a combination of cash and shares of our common stock, at our election, based on the applicable conversion rate(s). The initial conversion rate is 5.0302 shares per $1,000 principal amount of notes, which represents an initial conversion price of approximately $198.80 per share, and is subject to adjustment as described in this prospectus supplement. If a “make-whole fundamental change” (as defined in this prospectus supplement) occurs, then we will in certain circumstances increase the conversion rate for a specified period of time.</w:t>
      </w:r>
    </w:p>
    <w:p>
      <w:pPr>
        <w:spacing w:after="0" w:line="32"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REDEMPTION AND REPURCHASE</w:t>
      </w:r>
    </w:p>
    <w:p>
      <w:pPr>
        <w:spacing w:after="0" w:line="26" w:lineRule="exact"/>
        <w:rPr>
          <w:sz w:val="24"/>
          <w:szCs w:val="24"/>
          <w:color w:val="auto"/>
        </w:rPr>
      </w:pPr>
    </w:p>
    <w:p>
      <w:pPr>
        <w:ind w:left="360" w:right="459"/>
        <w:spacing w:after="0" w:line="236" w:lineRule="auto"/>
        <w:rPr>
          <w:sz w:val="20"/>
          <w:szCs w:val="20"/>
          <w:color w:val="auto"/>
        </w:rPr>
      </w:pPr>
      <w:r>
        <w:rPr>
          <w:rFonts w:ascii="Arial" w:cs="Arial" w:eastAsia="Arial" w:hAnsi="Arial"/>
          <w:sz w:val="11"/>
          <w:szCs w:val="11"/>
          <w:color w:val="auto"/>
        </w:rPr>
        <w:t>The notes will be redeemable, in whole or in part (subject to certain limitations described in this prospectus supplement), at our option at any time, and from time to time, on or after May 6, 2030 and on or before the 31st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 w:lineRule="exact"/>
        <w:rPr>
          <w:sz w:val="24"/>
          <w:szCs w:val="24"/>
          <w:color w:val="auto"/>
        </w:rPr>
      </w:pPr>
    </w:p>
    <w:p>
      <w:pPr>
        <w:ind w:left="360" w:right="759"/>
        <w:spacing w:after="0" w:line="259" w:lineRule="auto"/>
        <w:rPr>
          <w:sz w:val="20"/>
          <w:szCs w:val="20"/>
          <w:color w:val="auto"/>
        </w:rPr>
      </w:pPr>
      <w:r>
        <w:rPr>
          <w:rFonts w:ascii="Arial" w:cs="Arial" w:eastAsia="Arial" w:hAnsi="Arial"/>
          <w:sz w:val="11"/>
          <w:szCs w:val="11"/>
          <w:color w:val="auto"/>
        </w:rPr>
        <w:t>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RANKING</w:t>
      </w:r>
    </w:p>
    <w:p>
      <w:pPr>
        <w:spacing w:after="0" w:line="26" w:lineRule="exact"/>
        <w:rPr>
          <w:sz w:val="24"/>
          <w:szCs w:val="24"/>
          <w:color w:val="auto"/>
        </w:rPr>
      </w:pPr>
    </w:p>
    <w:p>
      <w:pPr>
        <w:ind w:left="360" w:right="459"/>
        <w:spacing w:after="0"/>
        <w:rPr>
          <w:sz w:val="20"/>
          <w:szCs w:val="20"/>
          <w:color w:val="auto"/>
        </w:rPr>
      </w:pPr>
      <w:r>
        <w:rPr>
          <w:rFonts w:ascii="Arial" w:cs="Arial" w:eastAsia="Arial" w:hAnsi="Arial"/>
          <w:sz w:val="11"/>
          <w:szCs w:val="11"/>
          <w:color w:val="auto"/>
        </w:rPr>
        <w:t>The notes will be our senior, unsecured obligations and will be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The notes will be structurally subordinated to all existing and future indebtedness and other liabilities, including trade payables, and (to the extent we are not a holder thereof) preferred equity, if any, of our subsidiaries.</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CONCURRENT COMMON STOCK OFFERING</w:t>
      </w:r>
    </w:p>
    <w:p>
      <w:pPr>
        <w:spacing w:after="0" w:line="26" w:lineRule="exact"/>
        <w:rPr>
          <w:sz w:val="24"/>
          <w:szCs w:val="24"/>
          <w:color w:val="auto"/>
        </w:rPr>
      </w:pPr>
    </w:p>
    <w:p>
      <w:pPr>
        <w:ind w:left="360" w:right="499"/>
        <w:spacing w:after="0"/>
        <w:rPr>
          <w:sz w:val="20"/>
          <w:szCs w:val="20"/>
          <w:color w:val="auto"/>
        </w:rPr>
      </w:pPr>
      <w:r>
        <w:rPr>
          <w:rFonts w:ascii="Arial" w:cs="Arial" w:eastAsia="Arial" w:hAnsi="Arial"/>
          <w:sz w:val="11"/>
          <w:szCs w:val="11"/>
          <w:color w:val="auto"/>
        </w:rPr>
        <w:t>Concurrently with this offering, we are offering, pursuant to a separate prospectus supplement, 10,563,381 shares of our common stock, plus up to an additional 1,584,506 shares of our common stock that the underwriters of the concurrent common stock offering have the option to purchase from us. The completion of this offering is not contingent on the completion of the concurrent common stock offering, and the completion of the concurrent common stock offering is not contingent on the completion of this offering.</w:t>
      </w:r>
    </w:p>
    <w:p>
      <w:pPr>
        <w:spacing w:after="0" w:line="32"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LISTING; COMMON STOCK</w:t>
      </w:r>
    </w:p>
    <w:p>
      <w:pPr>
        <w:spacing w:after="0" w:line="26" w:lineRule="exact"/>
        <w:rPr>
          <w:sz w:val="24"/>
          <w:szCs w:val="24"/>
          <w:color w:val="auto"/>
        </w:rPr>
      </w:pPr>
    </w:p>
    <w:p>
      <w:pPr>
        <w:ind w:left="360" w:right="419"/>
        <w:spacing w:after="0" w:line="245" w:lineRule="auto"/>
        <w:rPr>
          <w:sz w:val="20"/>
          <w:szCs w:val="20"/>
          <w:color w:val="auto"/>
        </w:rPr>
      </w:pPr>
      <w:r>
        <w:rPr>
          <w:rFonts w:ascii="Arial" w:cs="Arial" w:eastAsia="Arial" w:hAnsi="Arial"/>
          <w:sz w:val="11"/>
          <w:szCs w:val="11"/>
          <w:color w:val="auto"/>
        </w:rPr>
        <w:t>No public market currently exists for the notes, and we do not intend to apply to list the notes on any securities exchange or for quotation on any inter-dealer quotation system. Our common stock is listed on the Nasdaq Global Select Market under the symbol “RVMD.” On April 14, 2026, the last reported sale price of our common stock was $147.01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230505</wp:posOffset>
            </wp:positionH>
            <wp:positionV relativeFrom="paragraph">
              <wp:posOffset>48260</wp:posOffset>
            </wp:positionV>
            <wp:extent cx="525907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p>
      <w:pPr>
        <w:spacing w:after="0" w:line="94" w:lineRule="exact"/>
        <w:rPr>
          <w:sz w:val="24"/>
          <w:szCs w:val="24"/>
          <w:color w:val="auto"/>
        </w:rPr>
      </w:pPr>
    </w:p>
    <w:tbl>
      <w:tblPr>
        <w:tblLayout w:type="fixed"/>
        <w:tblInd w:w="360" w:type="dxa"/>
        <w:tblCellMar>
          <w:top w:w="0" w:type="dxa"/>
          <w:left w:w="0" w:type="dxa"/>
          <w:bottom w:w="0" w:type="dxa"/>
          <w:right w:w="0" w:type="dxa"/>
        </w:tblCellMar>
      </w:tblPr>
      <w:tr>
        <w:trPr>
          <w:trHeight w:val="114"/>
        </w:trPr>
        <w:tc>
          <w:tcPr>
            <w:tcW w:w="452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jc w:val="right"/>
              <w:ind w:right="68"/>
              <w:spacing w:after="0"/>
              <w:rPr>
                <w:sz w:val="20"/>
                <w:szCs w:val="20"/>
                <w:color w:val="auto"/>
              </w:rPr>
            </w:pPr>
            <w:r>
              <w:rPr>
                <w:rFonts w:ascii="Arial" w:cs="Arial" w:eastAsia="Arial" w:hAnsi="Arial"/>
                <w:sz w:val="9"/>
                <w:szCs w:val="9"/>
                <w:b w:val="1"/>
                <w:bCs w:val="1"/>
                <w:color w:val="auto"/>
              </w:rPr>
              <w:t>Per Note</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b w:val="1"/>
                <w:bCs w:val="1"/>
                <w:color w:val="auto"/>
              </w:rPr>
              <w:t>Total</w:t>
            </w:r>
          </w:p>
        </w:tc>
      </w:tr>
      <w:tr>
        <w:trPr>
          <w:trHeight w:val="112"/>
        </w:trPr>
        <w:tc>
          <w:tcPr>
            <w:tcW w:w="45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Public offering price(1)</w:t>
            </w:r>
          </w:p>
        </w:tc>
        <w:tc>
          <w:tcPr>
            <w:tcW w:w="2940" w:type="dxa"/>
            <w:vAlign w:val="bottom"/>
            <w:shd w:val="clear" w:color="auto" w:fill="CCEEFF"/>
          </w:tcPr>
          <w:p>
            <w:pPr>
              <w:jc w:val="right"/>
              <w:ind w:right="48"/>
              <w:spacing w:after="0" w:line="11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98"/>
              </w:rPr>
              <w:t>500,000,000</w:t>
            </w:r>
          </w:p>
        </w:tc>
      </w:tr>
      <w:tr>
        <w:trPr>
          <w:trHeight w:val="122"/>
        </w:trPr>
        <w:tc>
          <w:tcPr>
            <w:tcW w:w="4520" w:type="dxa"/>
            <w:vAlign w:val="bottom"/>
          </w:tcPr>
          <w:p>
            <w:pPr>
              <w:spacing w:after="0" w:line="122" w:lineRule="exact"/>
              <w:rPr>
                <w:sz w:val="20"/>
                <w:szCs w:val="20"/>
                <w:color w:val="auto"/>
              </w:rPr>
            </w:pPr>
            <w:r>
              <w:rPr>
                <w:rFonts w:ascii="Arial" w:cs="Arial" w:eastAsia="Arial" w:hAnsi="Arial"/>
                <w:sz w:val="11"/>
                <w:szCs w:val="11"/>
                <w:color w:val="auto"/>
              </w:rPr>
              <w:t>Underwriting discounts and commissions(2)</w:t>
            </w:r>
          </w:p>
        </w:tc>
        <w:tc>
          <w:tcPr>
            <w:tcW w:w="2940" w:type="dxa"/>
            <w:vAlign w:val="bottom"/>
          </w:tcPr>
          <w:p>
            <w:pPr>
              <w:jc w:val="right"/>
              <w:ind w:right="48"/>
              <w:spacing w:after="0" w:line="122" w:lineRule="exact"/>
              <w:rPr>
                <w:sz w:val="20"/>
                <w:szCs w:val="20"/>
                <w:color w:val="auto"/>
              </w:rPr>
            </w:pPr>
            <w:r>
              <w:rPr>
                <w:rFonts w:ascii="Arial" w:cs="Arial" w:eastAsia="Arial" w:hAnsi="Arial"/>
                <w:sz w:val="11"/>
                <w:szCs w:val="11"/>
                <w:color w:val="auto"/>
              </w:rPr>
              <w:t>2.5%</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12,500,000</w:t>
            </w:r>
          </w:p>
        </w:tc>
      </w:tr>
      <w:tr>
        <w:trPr>
          <w:trHeight w:val="142"/>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294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97.5%</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487,500,000</w:t>
            </w:r>
          </w:p>
        </w:tc>
      </w:tr>
      <w:tr>
        <w:trPr>
          <w:trHeight w:val="20"/>
        </w:trPr>
        <w:tc>
          <w:tcPr>
            <w:tcW w:w="452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230505</wp:posOffset>
            </wp:positionH>
            <wp:positionV relativeFrom="paragraph">
              <wp:posOffset>0</wp:posOffset>
            </wp:positionV>
            <wp:extent cx="52590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9070" cy="6350"/>
                    </a:xfrm>
                    <a:prstGeom prst="rect">
                      <a:avLst/>
                    </a:prstGeom>
                    <a:noFill/>
                  </pic:spPr>
                </pic:pic>
              </a:graphicData>
            </a:graphic>
          </wp:anchor>
        </w:drawing>
      </w:r>
    </w:p>
    <w:p>
      <w:pPr>
        <w:ind w:left="600" w:hanging="237"/>
        <w:spacing w:after="0"/>
        <w:tabs>
          <w:tab w:leader="none" w:pos="600" w:val="left"/>
        </w:tabs>
        <w:numPr>
          <w:ilvl w:val="0"/>
          <w:numId w:val="1"/>
        </w:numPr>
        <w:rPr>
          <w:rFonts w:ascii="Arial" w:cs="Arial" w:eastAsia="Arial" w:hAnsi="Arial"/>
          <w:sz w:val="9"/>
          <w:szCs w:val="9"/>
          <w:color w:val="auto"/>
        </w:rPr>
      </w:pPr>
      <w:r>
        <w:rPr>
          <w:rFonts w:ascii="Arial" w:cs="Arial" w:eastAsia="Arial" w:hAnsi="Arial"/>
          <w:sz w:val="9"/>
          <w:szCs w:val="9"/>
          <w:color w:val="auto"/>
        </w:rPr>
        <w:t>Plus accrued interest, if any, from, and including, April 17, 2026.</w:t>
      </w:r>
    </w:p>
    <w:p>
      <w:pPr>
        <w:spacing w:after="0" w:line="17" w:lineRule="exact"/>
        <w:rPr>
          <w:rFonts w:ascii="Arial" w:cs="Arial" w:eastAsia="Arial" w:hAnsi="Arial"/>
          <w:sz w:val="9"/>
          <w:szCs w:val="9"/>
          <w:color w:val="auto"/>
        </w:rPr>
      </w:pPr>
    </w:p>
    <w:p>
      <w:pPr>
        <w:ind w:left="600" w:hanging="237"/>
        <w:spacing w:after="0"/>
        <w:tabs>
          <w:tab w:leader="none" w:pos="600" w:val="left"/>
        </w:tabs>
        <w:numPr>
          <w:ilvl w:val="0"/>
          <w:numId w:val="1"/>
        </w:numPr>
        <w:rPr>
          <w:rFonts w:ascii="Arial" w:cs="Arial" w:eastAsia="Arial" w:hAnsi="Arial"/>
          <w:sz w:val="9"/>
          <w:szCs w:val="9"/>
          <w:color w:val="auto"/>
        </w:rPr>
      </w:pPr>
      <w:r>
        <w:rPr>
          <w:rFonts w:ascii="Arial" w:cs="Arial" w:eastAsia="Arial" w:hAnsi="Arial"/>
          <w:sz w:val="9"/>
          <w:szCs w:val="9"/>
          <w:color w:val="auto"/>
        </w:rPr>
        <w:t>We refer you to “</w:t>
      </w:r>
      <w:r>
        <w:rPr>
          <w:rFonts w:ascii="Arial" w:cs="Arial" w:eastAsia="Arial" w:hAnsi="Arial"/>
          <w:sz w:val="9"/>
          <w:szCs w:val="9"/>
          <w:u w:val="single" w:color="auto"/>
          <w:color w:val="0000EE"/>
        </w:rPr>
        <w:t>Underwriting</w:t>
      </w:r>
      <w:r>
        <w:rPr>
          <w:rFonts w:ascii="Arial" w:cs="Arial" w:eastAsia="Arial" w:hAnsi="Arial"/>
          <w:sz w:val="9"/>
          <w:szCs w:val="9"/>
          <w:color w:val="auto"/>
        </w:rPr>
        <w:t>” beginning on page S-75 of this prospectus supplement for additional information regarding underwriting compensation.</w:t>
      </w:r>
    </w:p>
    <w:p>
      <w:pPr>
        <w:spacing w:after="0" w:line="73" w:lineRule="exact"/>
        <w:rPr>
          <w:sz w:val="24"/>
          <w:szCs w:val="24"/>
          <w:color w:val="auto"/>
        </w:rPr>
      </w:pPr>
    </w:p>
    <w:p>
      <w:pPr>
        <w:ind w:left="360"/>
        <w:spacing w:after="0"/>
        <w:rPr>
          <w:sz w:val="20"/>
          <w:szCs w:val="20"/>
          <w:color w:val="auto"/>
        </w:rPr>
      </w:pPr>
      <w:r>
        <w:rPr>
          <w:rFonts w:ascii="Arial" w:cs="Arial" w:eastAsia="Arial" w:hAnsi="Arial"/>
          <w:sz w:val="11"/>
          <w:szCs w:val="11"/>
          <w:color w:val="auto"/>
        </w:rPr>
        <w:t>An investment in the notes involves risks. See “</w:t>
      </w:r>
      <w:r>
        <w:rPr>
          <w:rFonts w:ascii="Arial" w:cs="Arial" w:eastAsia="Arial" w:hAnsi="Arial"/>
          <w:sz w:val="11"/>
          <w:szCs w:val="11"/>
          <w:u w:val="single" w:color="auto"/>
          <w:color w:val="0000EE"/>
        </w:rPr>
        <w:t>Risk Factors</w:t>
      </w:r>
      <w:r>
        <w:rPr>
          <w:rFonts w:ascii="Arial" w:cs="Arial" w:eastAsia="Arial" w:hAnsi="Arial"/>
          <w:sz w:val="11"/>
          <w:szCs w:val="11"/>
          <w:color w:val="auto"/>
        </w:rPr>
        <w:t>” beginning on page S-6.</w:t>
      </w:r>
    </w:p>
    <w:p>
      <w:pPr>
        <w:spacing w:after="0" w:line="46" w:lineRule="exact"/>
        <w:rPr>
          <w:sz w:val="24"/>
          <w:szCs w:val="24"/>
          <w:color w:val="auto"/>
        </w:rPr>
      </w:pPr>
    </w:p>
    <w:p>
      <w:pPr>
        <w:ind w:left="360" w:right="599"/>
        <w:spacing w:after="0" w:line="250" w:lineRule="auto"/>
        <w:rPr>
          <w:sz w:val="20"/>
          <w:szCs w:val="20"/>
          <w:color w:val="auto"/>
        </w:rPr>
      </w:pPr>
      <w:r>
        <w:rPr>
          <w:rFonts w:ascii="Arial" w:cs="Arial" w:eastAsia="Arial" w:hAnsi="Arial"/>
          <w:sz w:val="11"/>
          <w:szCs w:val="11"/>
          <w:b w:val="1"/>
          <w:bCs w:val="1"/>
          <w:color w:val="auto"/>
        </w:rPr>
        <w:t>Neither the Securities and Exchange Commission nor any state or foreign securities commission or regulatory authority has approved or disapproved of the notes or the shares of our common stock, if any, issuable upon conversion of the notes or passed upon the adequacy or accuracy of this prospectus supplement or the accompanying prospectus. Any representation to the contrary is a criminal offense.</w:t>
      </w:r>
    </w:p>
    <w:p>
      <w:pPr>
        <w:spacing w:after="0" w:line="1" w:lineRule="exact"/>
        <w:rPr>
          <w:sz w:val="24"/>
          <w:szCs w:val="24"/>
          <w:color w:val="auto"/>
        </w:rPr>
      </w:pPr>
    </w:p>
    <w:p>
      <w:pPr>
        <w:ind w:left="360" w:right="499"/>
        <w:spacing w:after="0" w:line="231" w:lineRule="auto"/>
        <w:rPr>
          <w:sz w:val="20"/>
          <w:szCs w:val="20"/>
          <w:color w:val="auto"/>
        </w:rPr>
      </w:pPr>
      <w:r>
        <w:rPr>
          <w:rFonts w:ascii="Arial" w:cs="Arial" w:eastAsia="Arial" w:hAnsi="Arial"/>
          <w:sz w:val="11"/>
          <w:szCs w:val="11"/>
          <w:color w:val="auto"/>
        </w:rPr>
        <w:t>We expect to deliver the notes in book-entry form through the facilities of The Depository Trust Company on or about April 17, 2026, which will be the second business day after the initial trade date for the notes (this settlement cycle being referred to as “T+2”). Under Rule 15c6-1 under the Securities Exchange Act of 1934, as amended (the “Exchange Act”),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p>
      <w:pPr>
        <w:spacing w:after="0" w:line="2" w:lineRule="exact"/>
        <w:rPr>
          <w:sz w:val="24"/>
          <w:szCs w:val="24"/>
          <w:color w:val="auto"/>
        </w:rPr>
      </w:pPr>
    </w:p>
    <w:p>
      <w:pPr>
        <w:ind w:left="360"/>
        <w:spacing w:after="0"/>
        <w:tabs>
          <w:tab w:leader="none" w:pos="4260" w:val="left"/>
          <w:tab w:leader="none" w:pos="6820" w:val="left"/>
        </w:tabs>
        <w:rPr>
          <w:sz w:val="20"/>
          <w:szCs w:val="20"/>
          <w:color w:val="auto"/>
        </w:rPr>
      </w:pPr>
      <w:r>
        <w:rPr>
          <w:rFonts w:ascii="Arial" w:cs="Arial" w:eastAsia="Arial" w:hAnsi="Arial"/>
          <w:sz w:val="16"/>
          <w:szCs w:val="16"/>
          <w:b w:val="1"/>
          <w:bCs w:val="1"/>
          <w:color w:val="auto"/>
        </w:rPr>
        <w:t>J.P. Morgan</w:t>
      </w:r>
      <w:r>
        <w:rPr>
          <w:sz w:val="20"/>
          <w:szCs w:val="20"/>
          <w:color w:val="auto"/>
        </w:rPr>
        <w:tab/>
      </w:r>
      <w:r>
        <w:rPr>
          <w:rFonts w:ascii="Arial" w:cs="Arial" w:eastAsia="Arial" w:hAnsi="Arial"/>
          <w:sz w:val="16"/>
          <w:szCs w:val="16"/>
          <w:b w:val="1"/>
          <w:bCs w:val="1"/>
          <w:color w:val="auto"/>
        </w:rPr>
        <w:t>TD Cowen</w:t>
      </w:r>
      <w:r>
        <w:rPr>
          <w:sz w:val="20"/>
          <w:szCs w:val="20"/>
          <w:color w:val="auto"/>
        </w:rPr>
        <w:tab/>
      </w:r>
      <w:r>
        <w:rPr>
          <w:rFonts w:ascii="Arial" w:cs="Arial" w:eastAsia="Arial" w:hAnsi="Arial"/>
          <w:sz w:val="16"/>
          <w:szCs w:val="16"/>
          <w:b w:val="1"/>
          <w:bCs w:val="1"/>
          <w:color w:val="auto"/>
        </w:rPr>
        <w:t>Guggenheim Securities</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LifeSci Capital</w:t>
      </w:r>
    </w:p>
    <w:p>
      <w:pPr>
        <w:spacing w:after="0" w:line="50" w:lineRule="exact"/>
        <w:rPr>
          <w:sz w:val="24"/>
          <w:szCs w:val="24"/>
          <w:color w:val="auto"/>
        </w:rPr>
      </w:pPr>
    </w:p>
    <w:p>
      <w:pPr>
        <w:ind w:left="360"/>
        <w:spacing w:after="0"/>
        <w:rPr>
          <w:sz w:val="20"/>
          <w:szCs w:val="20"/>
          <w:color w:val="auto"/>
        </w:rPr>
      </w:pPr>
      <w:r>
        <w:rPr>
          <w:rFonts w:ascii="Arial" w:cs="Arial" w:eastAsia="Arial" w:hAnsi="Arial"/>
          <w:sz w:val="11"/>
          <w:szCs w:val="11"/>
          <w:color w:val="auto"/>
        </w:rPr>
        <w:t>Prospectus Supplement dated April 14, 2026.</w:t>
      </w:r>
    </w:p>
    <w:p>
      <w:pPr>
        <w:sectPr>
          <w:pgSz w:w="11900" w:h="16838" w:orient="portrait"/>
          <w:cols w:equalWidth="0" w:num="1">
            <w:col w:w="9019"/>
          </w:cols>
          <w:pgMar w:left="1440" w:top="204" w:right="1440" w:bottom="1440" w:gutter="0" w:footer="0" w:header="0"/>
        </w:sectPr>
      </w:pPr>
    </w:p>
    <w:bookmarkStart w:id="1" w:name="page2"/>
    <w:bookmarkEnd w:id="1"/>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 Supplement</w:t>
      </w:r>
    </w:p>
    <w:p>
      <w:pPr>
        <w:spacing w:after="0" w:line="15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6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w w:val="96"/>
              </w:rPr>
              <w:t>Prospectus Supplement Summary</w:t>
            </w:r>
          </w:p>
        </w:tc>
        <w:tc>
          <w:tcPr>
            <w:tcW w:w="4220" w:type="dxa"/>
            <w:vAlign w:val="bottom"/>
            <w:gridSpan w:val="6"/>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S-1</w:t>
            </w:r>
          </w:p>
        </w:tc>
      </w:tr>
      <w:tr>
        <w:trPr>
          <w:trHeight w:val="183"/>
        </w:trPr>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84"/>
              </w:rPr>
              <w:t>Risk Factors</w:t>
            </w:r>
          </w:p>
        </w:tc>
        <w:tc>
          <w:tcPr>
            <w:tcW w:w="5580" w:type="dxa"/>
            <w:vAlign w:val="bottom"/>
            <w:gridSpan w:val="17"/>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S-6</w:t>
            </w:r>
          </w:p>
        </w:tc>
      </w:tr>
      <w:tr>
        <w:trPr>
          <w:trHeight w:val="183"/>
        </w:trPr>
        <w:tc>
          <w:tcPr>
            <w:tcW w:w="34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w w:val="96"/>
              </w:rPr>
              <w:t>Cautionary Note Regarding Forward-Looking Statements</w:t>
            </w:r>
          </w:p>
        </w:tc>
        <w:tc>
          <w:tcPr>
            <w:tcW w:w="2860" w:type="dxa"/>
            <w:vAlign w:val="bottom"/>
            <w:gridSpan w:val="3"/>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S-15</w:t>
            </w: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Use of Proceeds</w:t>
            </w:r>
          </w:p>
        </w:tc>
        <w:tc>
          <w:tcPr>
            <w:tcW w:w="1960" w:type="dxa"/>
            <w:vAlign w:val="bottom"/>
          </w:tcPr>
          <w:p>
            <w:pPr>
              <w:jc w:val="right"/>
              <w:spacing w:after="0"/>
              <w:rPr>
                <w:sz w:val="20"/>
                <w:szCs w:val="20"/>
                <w:color w:val="auto"/>
              </w:rPr>
            </w:pPr>
            <w:r>
              <w:rPr>
                <w:rFonts w:ascii="Arial" w:cs="Arial" w:eastAsia="Arial" w:hAnsi="Arial"/>
                <w:sz w:val="14"/>
                <w:szCs w:val="14"/>
                <w:color w:val="auto"/>
              </w:rPr>
              <w:t>S-17</w:t>
            </w:r>
          </w:p>
        </w:tc>
      </w:tr>
      <w:tr>
        <w:trPr>
          <w:trHeight w:val="183"/>
        </w:trPr>
        <w:tc>
          <w:tcPr>
            <w:tcW w:w="8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color w:val="0000EE"/>
                <w:w w:val="95"/>
              </w:rPr>
              <w:t>Capitalization</w:t>
            </w:r>
          </w:p>
        </w:tc>
        <w:tc>
          <w:tcPr>
            <w:tcW w:w="180" w:type="dxa"/>
            <w:vAlign w:val="bottom"/>
            <w:tcBorders>
              <w:top w:val="single" w:sz="8" w:color="0000EE"/>
            </w:tcBorders>
            <w:gridSpan w:val="3"/>
          </w:tcPr>
          <w:p>
            <w:pPr>
              <w:spacing w:after="0"/>
              <w:rPr>
                <w:sz w:val="15"/>
                <w:szCs w:val="15"/>
                <w:color w:val="auto"/>
              </w:rPr>
            </w:pPr>
          </w:p>
        </w:tc>
        <w:tc>
          <w:tcPr>
            <w:tcW w:w="5280" w:type="dxa"/>
            <w:vAlign w:val="bottom"/>
            <w:gridSpan w:val="13"/>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S-18</w:t>
            </w: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Dividend Policy</w:t>
            </w:r>
          </w:p>
        </w:tc>
        <w:tc>
          <w:tcPr>
            <w:tcW w:w="1960" w:type="dxa"/>
            <w:vAlign w:val="bottom"/>
          </w:tcPr>
          <w:p>
            <w:pPr>
              <w:jc w:val="right"/>
              <w:spacing w:after="0"/>
              <w:rPr>
                <w:sz w:val="20"/>
                <w:szCs w:val="20"/>
                <w:color w:val="auto"/>
              </w:rPr>
            </w:pPr>
            <w:r>
              <w:rPr>
                <w:rFonts w:ascii="Arial" w:cs="Arial" w:eastAsia="Arial" w:hAnsi="Arial"/>
                <w:sz w:val="14"/>
                <w:szCs w:val="14"/>
                <w:color w:val="auto"/>
              </w:rPr>
              <w:t>S-20</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Description of Notes</w:t>
            </w:r>
          </w:p>
        </w:tc>
        <w:tc>
          <w:tcPr>
            <w:tcW w:w="1960" w:type="dxa"/>
            <w:vAlign w:val="bottom"/>
          </w:tcPr>
          <w:p>
            <w:pPr>
              <w:jc w:val="right"/>
              <w:spacing w:after="0"/>
              <w:rPr>
                <w:sz w:val="20"/>
                <w:szCs w:val="20"/>
                <w:color w:val="auto"/>
              </w:rPr>
            </w:pPr>
            <w:r>
              <w:rPr>
                <w:rFonts w:ascii="Arial" w:cs="Arial" w:eastAsia="Arial" w:hAnsi="Arial"/>
                <w:sz w:val="14"/>
                <w:szCs w:val="14"/>
                <w:color w:val="auto"/>
              </w:rPr>
              <w:t>S-21</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206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w w:val="96"/>
              </w:rPr>
              <w:t>Description of Other Indebtedness</w:t>
            </w:r>
          </w:p>
        </w:tc>
        <w:tc>
          <w:tcPr>
            <w:tcW w:w="4220" w:type="dxa"/>
            <w:vAlign w:val="bottom"/>
            <w:gridSpan w:val="6"/>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S-62</w:t>
            </w:r>
          </w:p>
        </w:tc>
      </w:tr>
      <w:tr>
        <w:trPr>
          <w:trHeight w:val="183"/>
        </w:trPr>
        <w:tc>
          <w:tcPr>
            <w:tcW w:w="29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w w:val="95"/>
              </w:rPr>
              <w:t>Material U.S. Federal Income Tax Considerations</w:t>
            </w:r>
          </w:p>
        </w:tc>
        <w:tc>
          <w:tcPr>
            <w:tcW w:w="3320" w:type="dxa"/>
            <w:vAlign w:val="bottom"/>
            <w:gridSpan w:val="4"/>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S-64</w:t>
            </w: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The Concurrent Common Stock Offering</w:t>
            </w:r>
          </w:p>
        </w:tc>
        <w:tc>
          <w:tcPr>
            <w:tcW w:w="1960" w:type="dxa"/>
            <w:vAlign w:val="bottom"/>
          </w:tcPr>
          <w:p>
            <w:pPr>
              <w:jc w:val="right"/>
              <w:spacing w:after="0"/>
              <w:rPr>
                <w:sz w:val="20"/>
                <w:szCs w:val="20"/>
                <w:color w:val="auto"/>
              </w:rPr>
            </w:pPr>
            <w:r>
              <w:rPr>
                <w:rFonts w:ascii="Arial" w:cs="Arial" w:eastAsia="Arial" w:hAnsi="Arial"/>
                <w:sz w:val="14"/>
                <w:szCs w:val="14"/>
                <w:color w:val="auto"/>
              </w:rPr>
              <w:t>S-74</w:t>
            </w:r>
          </w:p>
        </w:tc>
      </w:tr>
      <w:tr>
        <w:trPr>
          <w:trHeight w:val="183"/>
        </w:trPr>
        <w:tc>
          <w:tcPr>
            <w:tcW w:w="242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0000EE"/>
              </w:rPr>
              <w:t>Underwriting</w:t>
            </w:r>
          </w:p>
        </w:tc>
        <w:tc>
          <w:tcPr>
            <w:tcW w:w="3860" w:type="dxa"/>
            <w:vAlign w:val="bottom"/>
            <w:gridSpan w:val="5"/>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S-75</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Where You Can Find Additional Information; Incorporation by Reference</w:t>
            </w:r>
          </w:p>
        </w:tc>
        <w:tc>
          <w:tcPr>
            <w:tcW w:w="1960" w:type="dxa"/>
            <w:vAlign w:val="bottom"/>
          </w:tcPr>
          <w:p>
            <w:pPr>
              <w:jc w:val="right"/>
              <w:spacing w:after="0"/>
              <w:rPr>
                <w:sz w:val="20"/>
                <w:szCs w:val="20"/>
                <w:color w:val="auto"/>
              </w:rPr>
            </w:pPr>
            <w:r>
              <w:rPr>
                <w:rFonts w:ascii="Arial" w:cs="Arial" w:eastAsia="Arial" w:hAnsi="Arial"/>
                <w:sz w:val="14"/>
                <w:szCs w:val="14"/>
                <w:color w:val="auto"/>
              </w:rPr>
              <w:t>S-86</w:t>
            </w:r>
          </w:p>
        </w:tc>
      </w:tr>
      <w:tr>
        <w:trPr>
          <w:trHeight w:val="183"/>
        </w:trPr>
        <w:tc>
          <w:tcPr>
            <w:tcW w:w="430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Legal Matters</w:t>
            </w:r>
          </w:p>
        </w:tc>
        <w:tc>
          <w:tcPr>
            <w:tcW w:w="19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S-88</w:t>
            </w:r>
          </w:p>
        </w:tc>
      </w:tr>
      <w:tr>
        <w:trPr>
          <w:trHeight w:val="183"/>
        </w:trPr>
        <w:tc>
          <w:tcPr>
            <w:tcW w:w="82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0000EE"/>
              </w:rPr>
              <w:t>Experts</w:t>
            </w:r>
          </w:p>
        </w:tc>
        <w:tc>
          <w:tcPr>
            <w:tcW w:w="5460" w:type="dxa"/>
            <w:vAlign w:val="bottom"/>
            <w:gridSpan w:val="16"/>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S-88</w:t>
            </w:r>
          </w:p>
        </w:tc>
      </w:tr>
      <w:tr>
        <w:trPr>
          <w:trHeight w:val="304"/>
        </w:trPr>
        <w:tc>
          <w:tcPr>
            <w:tcW w:w="4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gridSpan w:val="3"/>
          </w:tcPr>
          <w:p>
            <w:pPr>
              <w:ind w:left="280"/>
              <w:spacing w:after="0"/>
              <w:rPr>
                <w:sz w:val="20"/>
                <w:szCs w:val="20"/>
                <w:color w:val="auto"/>
              </w:rPr>
            </w:pPr>
            <w:r>
              <w:rPr>
                <w:rFonts w:ascii="Arial" w:cs="Arial" w:eastAsia="Arial" w:hAnsi="Arial"/>
                <w:sz w:val="16"/>
                <w:szCs w:val="16"/>
                <w:b w:val="1"/>
                <w:bCs w:val="1"/>
                <w:color w:val="auto"/>
              </w:rPr>
              <w:t>Prospectus</w:t>
            </w:r>
          </w:p>
        </w:tc>
        <w:tc>
          <w:tcPr>
            <w:tcW w:w="1960" w:type="dxa"/>
            <w:vAlign w:val="bottom"/>
          </w:tcPr>
          <w:p>
            <w:pPr>
              <w:spacing w:after="0"/>
              <w:rPr>
                <w:sz w:val="24"/>
                <w:szCs w:val="24"/>
                <w:color w:val="auto"/>
              </w:rPr>
            </w:pPr>
          </w:p>
        </w:tc>
      </w:tr>
      <w:tr>
        <w:trPr>
          <w:trHeight w:val="275"/>
        </w:trPr>
        <w:tc>
          <w:tcPr>
            <w:tcW w:w="6280" w:type="dxa"/>
            <w:vAlign w:val="bottom"/>
            <w:gridSpan w:val="19"/>
          </w:tcPr>
          <w:p>
            <w:pPr>
              <w:spacing w:after="0"/>
              <w:rPr>
                <w:sz w:val="20"/>
                <w:szCs w:val="20"/>
                <w:color w:val="auto"/>
              </w:rPr>
            </w:pPr>
            <w:r>
              <w:rPr>
                <w:rFonts w:ascii="Arial" w:cs="Arial" w:eastAsia="Arial" w:hAnsi="Arial"/>
                <w:sz w:val="14"/>
                <w:szCs w:val="14"/>
                <w:color w:val="0000EE"/>
              </w:rPr>
              <w:t>About this prospectus</w:t>
            </w:r>
          </w:p>
        </w:tc>
        <w:tc>
          <w:tcPr>
            <w:tcW w:w="1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Where you can find more information; incorporation by reference</w:t>
            </w:r>
          </w:p>
        </w:tc>
        <w:tc>
          <w:tcPr>
            <w:tcW w:w="19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3860" w:type="dxa"/>
            <w:vAlign w:val="bottom"/>
            <w:tcBorders>
              <w:top w:val="single" w:sz="8" w:color="0000EE"/>
            </w:tcBorders>
            <w:gridSpan w:val="17"/>
          </w:tcPr>
          <w:p>
            <w:pPr>
              <w:spacing w:after="0"/>
              <w:rPr>
                <w:sz w:val="20"/>
                <w:szCs w:val="20"/>
                <w:color w:val="auto"/>
              </w:rPr>
            </w:pPr>
            <w:r>
              <w:rPr>
                <w:rFonts w:ascii="Arial" w:cs="Arial" w:eastAsia="Arial" w:hAnsi="Arial"/>
                <w:sz w:val="14"/>
                <w:szCs w:val="14"/>
                <w:color w:val="0000EE"/>
              </w:rPr>
              <w:t>About the company</w:t>
            </w:r>
          </w:p>
        </w:tc>
        <w:tc>
          <w:tcPr>
            <w:tcW w:w="2420" w:type="dxa"/>
            <w:vAlign w:val="bottom"/>
            <w:gridSpan w:val="2"/>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122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Risk factors</w:t>
            </w:r>
          </w:p>
        </w:tc>
        <w:tc>
          <w:tcPr>
            <w:tcW w:w="5060" w:type="dxa"/>
            <w:vAlign w:val="bottom"/>
            <w:gridSpan w:val="11"/>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Use of proceeds</w:t>
            </w:r>
          </w:p>
        </w:tc>
        <w:tc>
          <w:tcPr>
            <w:tcW w:w="1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162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w w:val="96"/>
              </w:rPr>
              <w:t>Description of capital stock</w:t>
            </w:r>
          </w:p>
        </w:tc>
        <w:tc>
          <w:tcPr>
            <w:tcW w:w="4660" w:type="dxa"/>
            <w:vAlign w:val="bottom"/>
            <w:gridSpan w:val="9"/>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3"/>
        </w:trPr>
        <w:tc>
          <w:tcPr>
            <w:tcW w:w="17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5"/>
              </w:rPr>
              <w:t>Description of debt securities</w:t>
            </w:r>
          </w:p>
        </w:tc>
        <w:tc>
          <w:tcPr>
            <w:tcW w:w="4540" w:type="dxa"/>
            <w:vAlign w:val="bottom"/>
            <w:gridSpan w:val="8"/>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Description of other securities</w:t>
            </w:r>
          </w:p>
        </w:tc>
        <w:tc>
          <w:tcPr>
            <w:tcW w:w="19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3"/>
        </w:trPr>
        <w:tc>
          <w:tcPr>
            <w:tcW w:w="1780" w:type="dxa"/>
            <w:vAlign w:val="bottom"/>
            <w:tcBorders>
              <w:top w:val="single" w:sz="8" w:color="0000EE"/>
            </w:tcBorders>
            <w:gridSpan w:val="12"/>
          </w:tcPr>
          <w:p>
            <w:pPr>
              <w:spacing w:after="0"/>
              <w:rPr>
                <w:sz w:val="20"/>
                <w:szCs w:val="20"/>
                <w:color w:val="auto"/>
              </w:rPr>
            </w:pPr>
            <w:r>
              <w:rPr>
                <w:rFonts w:ascii="Arial" w:cs="Arial" w:eastAsia="Arial" w:hAnsi="Arial"/>
                <w:sz w:val="14"/>
                <w:szCs w:val="14"/>
                <w:color w:val="0000EE"/>
              </w:rPr>
              <w:t>Global securities</w:t>
            </w:r>
          </w:p>
        </w:tc>
        <w:tc>
          <w:tcPr>
            <w:tcW w:w="4500" w:type="dxa"/>
            <w:vAlign w:val="bottom"/>
            <w:gridSpan w:val="7"/>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4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83"/>
        </w:trPr>
        <w:tc>
          <w:tcPr>
            <w:tcW w:w="112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5"/>
              </w:rPr>
              <w:t>Plan of distribution</w:t>
            </w:r>
          </w:p>
        </w:tc>
        <w:tc>
          <w:tcPr>
            <w:tcW w:w="5160" w:type="dxa"/>
            <w:vAlign w:val="bottom"/>
            <w:gridSpan w:val="12"/>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6280" w:type="dxa"/>
            <w:vAlign w:val="bottom"/>
            <w:gridSpan w:val="19"/>
          </w:tcPr>
          <w:p>
            <w:pPr>
              <w:spacing w:after="0"/>
              <w:rPr>
                <w:sz w:val="20"/>
                <w:szCs w:val="20"/>
                <w:color w:val="auto"/>
              </w:rPr>
            </w:pPr>
            <w:r>
              <w:rPr>
                <w:rFonts w:ascii="Arial" w:cs="Arial" w:eastAsia="Arial" w:hAnsi="Arial"/>
                <w:sz w:val="14"/>
                <w:szCs w:val="14"/>
                <w:color w:val="0000EE"/>
              </w:rPr>
              <w:t>Legal matters</w:t>
            </w:r>
          </w:p>
        </w:tc>
        <w:tc>
          <w:tcPr>
            <w:tcW w:w="19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3"/>
        </w:trPr>
        <w:tc>
          <w:tcPr>
            <w:tcW w:w="82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0000EE"/>
              </w:rPr>
              <w:t>Experts</w:t>
            </w:r>
          </w:p>
        </w:tc>
        <w:tc>
          <w:tcPr>
            <w:tcW w:w="5460" w:type="dxa"/>
            <w:vAlign w:val="bottom"/>
            <w:gridSpan w:val="16"/>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135255</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92" w:lineRule="exact"/>
        <w:rPr>
          <w:sz w:val="20"/>
          <w:szCs w:val="20"/>
          <w:color w:val="auto"/>
        </w:rPr>
      </w:pPr>
    </w:p>
    <w:p>
      <w:pPr>
        <w:jc w:val="both"/>
        <w:ind w:left="360" w:right="399"/>
        <w:spacing w:after="0" w:line="249" w:lineRule="auto"/>
        <w:rPr>
          <w:sz w:val="20"/>
          <w:szCs w:val="20"/>
          <w:color w:val="auto"/>
        </w:rPr>
      </w:pPr>
      <w:r>
        <w:rPr>
          <w:rFonts w:ascii="Arial" w:cs="Arial" w:eastAsia="Arial" w:hAnsi="Arial"/>
          <w:sz w:val="14"/>
          <w:szCs w:val="14"/>
          <w:color w:val="auto"/>
        </w:rPr>
        <w:t>As used in this prospectus supplement, (i) “we,” “our” and “us” refer to Revolution Medicines, Inc. and its consolidated subsidiaries, except where expressly noted otherwise or if otherwise implied by the context; and (ii) “or” is not exclusive.</w:t>
      </w:r>
    </w:p>
    <w:p>
      <w:pPr>
        <w:spacing w:after="0" w:line="82" w:lineRule="exact"/>
        <w:rPr>
          <w:sz w:val="20"/>
          <w:szCs w:val="20"/>
          <w:color w:val="auto"/>
        </w:rPr>
      </w:pPr>
    </w:p>
    <w:p>
      <w:pPr>
        <w:ind w:left="360" w:right="439"/>
        <w:spacing w:after="0" w:line="249" w:lineRule="auto"/>
        <w:rPr>
          <w:sz w:val="20"/>
          <w:szCs w:val="20"/>
          <w:color w:val="auto"/>
        </w:rPr>
      </w:pPr>
      <w:r>
        <w:rPr>
          <w:rFonts w:ascii="Arial" w:cs="Arial" w:eastAsia="Arial" w:hAnsi="Arial"/>
          <w:sz w:val="14"/>
          <w:szCs w:val="14"/>
          <w:color w:val="auto"/>
        </w:rPr>
        <w:t>We have not, and the underwriters have not, authorized anyone to provide you any information or to make any representations other than those contained in or incorporated by reference into this prospectus supplement or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w:t>
      </w:r>
    </w:p>
    <w:p>
      <w:pPr>
        <w:sectPr>
          <w:pgSz w:w="11900" w:h="16838" w:orient="portrait"/>
          <w:cols w:equalWidth="0" w:num="1">
            <w:col w:w="9019"/>
          </w:cols>
          <w:pgMar w:left="1440" w:top="226" w:right="1440" w:bottom="1440" w:gutter="0" w:footer="0" w:header="0"/>
        </w:sectPr>
      </w:pPr>
    </w:p>
    <w:bookmarkStart w:id="2" w:name="page3"/>
    <w:bookmarkEnd w:id="2"/>
    <w:p>
      <w:pPr>
        <w:ind w:left="360" w:right="439"/>
        <w:spacing w:after="0" w:line="33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accompanying prospectus or in any free writing prospectus prepared by or on behalf of us or to which we have referred you. Neither we nor the underwriters take responsibility for, or provide any assurance as to the reliability of, any other information others may give you.</w:t>
      </w:r>
    </w:p>
    <w:p>
      <w:pPr>
        <w:spacing w:after="0" w:line="35" w:lineRule="exact"/>
        <w:rPr>
          <w:sz w:val="20"/>
          <w:szCs w:val="20"/>
          <w:color w:val="auto"/>
        </w:rPr>
      </w:pPr>
    </w:p>
    <w:p>
      <w:pPr>
        <w:ind w:left="360" w:right="659"/>
        <w:spacing w:after="0" w:line="238" w:lineRule="auto"/>
        <w:rPr>
          <w:sz w:val="20"/>
          <w:szCs w:val="20"/>
          <w:color w:val="auto"/>
        </w:rPr>
      </w:pPr>
      <w:r>
        <w:rPr>
          <w:rFonts w:ascii="Arial" w:cs="Arial" w:eastAsia="Arial" w:hAnsi="Arial"/>
          <w:sz w:val="14"/>
          <w:szCs w:val="14"/>
          <w:color w:val="auto"/>
        </w:rPr>
        <w:t>You should not assume that the information included or incorporated by reference in this prospectus supplement or the accompanying prospectus is accurate as of any date other than the respective dates of the documents in which the information is contained. Our business, financial condition, results of operations and prospects could have changed since those dates.</w:t>
      </w:r>
    </w:p>
    <w:p>
      <w:pPr>
        <w:spacing w:after="0" w:line="79" w:lineRule="exact"/>
        <w:rPr>
          <w:sz w:val="20"/>
          <w:szCs w:val="20"/>
          <w:color w:val="auto"/>
        </w:rPr>
      </w:pPr>
    </w:p>
    <w:p>
      <w:pPr>
        <w:ind w:left="360" w:right="799"/>
        <w:spacing w:after="0" w:line="287" w:lineRule="auto"/>
        <w:rPr>
          <w:sz w:val="20"/>
          <w:szCs w:val="20"/>
          <w:color w:val="auto"/>
        </w:rPr>
      </w:pPr>
      <w:r>
        <w:rPr>
          <w:rFonts w:ascii="Arial" w:cs="Arial" w:eastAsia="Arial" w:hAnsi="Arial"/>
          <w:sz w:val="12"/>
          <w:szCs w:val="12"/>
          <w:color w:val="auto"/>
        </w:rPr>
        <w:t>You should not consider any information included or incorporated by reference in this prospectus supplement or the accompanying prospectus to be legal, tax or investment advice. You should consult your own counsel, accountant and other advisors for legal, tax, business, financial and related advice regarding any purchase of the notes. Neither we nor any of the underwriters makes any representation regarding the legality of an investment in the notes by any person under applicable investment or similar laws.</w:t>
      </w:r>
    </w:p>
    <w:p>
      <w:pPr>
        <w:spacing w:after="0" w:line="61" w:lineRule="exact"/>
        <w:rPr>
          <w:sz w:val="20"/>
          <w:szCs w:val="20"/>
          <w:color w:val="auto"/>
        </w:rPr>
      </w:pPr>
    </w:p>
    <w:p>
      <w:pPr>
        <w:ind w:left="360" w:right="519"/>
        <w:spacing w:after="0" w:line="249" w:lineRule="auto"/>
        <w:rPr>
          <w:sz w:val="20"/>
          <w:szCs w:val="20"/>
          <w:color w:val="auto"/>
        </w:rPr>
      </w:pPr>
      <w:r>
        <w:rPr>
          <w:rFonts w:ascii="Arial" w:cs="Arial" w:eastAsia="Arial" w:hAnsi="Arial"/>
          <w:sz w:val="14"/>
          <w:szCs w:val="14"/>
          <w:color w:val="auto"/>
        </w:rPr>
        <w:t>This prospectus supplement and the accompanying prospectus do not constitute an offer to sell or the solicitation of an offer to purchase any notes in any jurisdiction or to any person where the offer or solicitation is not permitted.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S-ii</w:t>
      </w:r>
    </w:p>
    <w:p>
      <w:pPr>
        <w:sectPr>
          <w:pgSz w:w="11900" w:h="16838" w:orient="portrait"/>
          <w:cols w:equalWidth="0" w:num="1">
            <w:col w:w="9019"/>
          </w:cols>
          <w:pgMar w:left="1440" w:top="238" w:right="1440" w:bottom="1440" w:gutter="0" w:footer="0" w:header="0"/>
        </w:sectPr>
      </w:pPr>
    </w:p>
    <w:bookmarkStart w:id="3" w:name="page4"/>
    <w:bookmarkEnd w:id="3"/>
    <w:p>
      <w:pPr>
        <w:ind w:left="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95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710" cy="3959860"/>
                    </a:xfrm>
                    <a:prstGeom prst="rect">
                      <a:avLst/>
                    </a:prstGeom>
                    <a:noFill/>
                  </pic:spPr>
                </pic:pic>
              </a:graphicData>
            </a:graphic>
          </wp:anchor>
        </w:drawing>
        <w:t>Prospectus Supplement Summary</w:t>
      </w:r>
    </w:p>
    <w:p>
      <w:pPr>
        <w:spacing w:after="0" w:line="125" w:lineRule="exact"/>
        <w:rPr>
          <w:sz w:val="20"/>
          <w:szCs w:val="20"/>
          <w:color w:val="auto"/>
        </w:rPr>
      </w:pPr>
    </w:p>
    <w:p>
      <w:pPr>
        <w:ind w:left="500" w:right="519"/>
        <w:spacing w:after="0" w:line="272" w:lineRule="auto"/>
        <w:rPr>
          <w:sz w:val="20"/>
          <w:szCs w:val="20"/>
          <w:color w:val="auto"/>
        </w:rPr>
      </w:pPr>
      <w:r>
        <w:rPr>
          <w:rFonts w:ascii="Arial" w:cs="Arial" w:eastAsia="Arial" w:hAnsi="Arial"/>
          <w:sz w:val="12"/>
          <w:szCs w:val="12"/>
          <w:i w:val="1"/>
          <w:iCs w:val="1"/>
          <w:color w:val="auto"/>
        </w:rPr>
        <w:t>This summary highlights certain information about us, this offering and selected information contained elsewhere in or incorporated by reference into this prospectus supplement or the accompanying prospectus. This summary is not complete and does not contain all of the information that you should consider before deciding whether to invest in the notes. For a more complete understanding of our company and this offering, we encourage you to read and consider carefully the more detailed information in this prospectus supplement and the accompanying prospectus, including the information incorporated by reference herein and therein, which are described under the heading “Where You Can Find More Information; Incorporation by Reference” in this prospectus supplement, and the information included in any free writing prospectus that we have authorized for use in connection with this offering. You should also carefully consider the matters discussed in the sections in this prospectus supplement and in the accompanying prospectus titled “Risk Factors,” and the other information that we incorporate by reference into this prospectus supplement and the accompanying prospectus, including the section titled “Risk Factors” in our Annual Report on Form 10-K for the year ended December 31, 2025.</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Overview</w:t>
      </w:r>
    </w:p>
    <w:p>
      <w:pPr>
        <w:spacing w:after="0" w:line="119" w:lineRule="exact"/>
        <w:rPr>
          <w:sz w:val="20"/>
          <w:szCs w:val="20"/>
          <w:color w:val="auto"/>
        </w:rPr>
      </w:pPr>
    </w:p>
    <w:p>
      <w:pPr>
        <w:ind w:left="500" w:right="619"/>
        <w:spacing w:after="0" w:line="234" w:lineRule="auto"/>
        <w:rPr>
          <w:sz w:val="20"/>
          <w:szCs w:val="20"/>
          <w:color w:val="auto"/>
        </w:rPr>
      </w:pPr>
      <w:r>
        <w:rPr>
          <w:rFonts w:ascii="Arial" w:cs="Arial" w:eastAsia="Arial" w:hAnsi="Arial"/>
          <w:sz w:val="14"/>
          <w:szCs w:val="14"/>
          <w:color w:val="auto"/>
        </w:rPr>
        <w:t>We are a clinical-stage precision oncology company developing novel targeted therapies for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w:t>
      </w:r>
    </w:p>
    <w:p>
      <w:pPr>
        <w:spacing w:after="0" w:line="88" w:lineRule="exact"/>
        <w:rPr>
          <w:sz w:val="20"/>
          <w:szCs w:val="20"/>
          <w:color w:val="auto"/>
        </w:rPr>
      </w:pPr>
    </w:p>
    <w:p>
      <w:pPr>
        <w:ind w:left="500" w:right="559"/>
        <w:spacing w:after="0" w:line="249" w:lineRule="auto"/>
        <w:rPr>
          <w:sz w:val="20"/>
          <w:szCs w:val="20"/>
          <w:color w:val="auto"/>
        </w:rPr>
      </w:pPr>
      <w:r>
        <w:rPr>
          <w:rFonts w:ascii="Arial" w:cs="Arial" w:eastAsia="Arial" w:hAnsi="Arial"/>
          <w:sz w:val="14"/>
          <w:szCs w:val="14"/>
          <w:color w:val="auto"/>
        </w:rPr>
        <w:t>Our research and development pipeline comprises inhibitors that bind directly to RAS variants (RAS(ON) Inhibitors) that are designed to be used as monotherapy, in combination with other RAS(ON) Inhibitors and/or other therapeutic agents.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Recent Developments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Concurrent Common Stock Offering</w:t>
      </w:r>
    </w:p>
    <w:p>
      <w:pPr>
        <w:spacing w:after="0" w:line="103" w:lineRule="exact"/>
        <w:rPr>
          <w:sz w:val="20"/>
          <w:szCs w:val="20"/>
          <w:color w:val="auto"/>
        </w:rPr>
      </w:pPr>
    </w:p>
    <w:p>
      <w:pPr>
        <w:ind w:left="500" w:right="579"/>
        <w:spacing w:after="0" w:line="272" w:lineRule="auto"/>
        <w:rPr>
          <w:sz w:val="20"/>
          <w:szCs w:val="20"/>
          <w:color w:val="auto"/>
        </w:rPr>
      </w:pPr>
      <w:r>
        <w:rPr>
          <w:rFonts w:ascii="Arial" w:cs="Arial" w:eastAsia="Arial" w:hAnsi="Arial"/>
          <w:sz w:val="12"/>
          <w:szCs w:val="12"/>
          <w:color w:val="auto"/>
        </w:rPr>
        <w:t>Concurrently with this offering, we are offering, pursuant to a separate prospectus supplement, 10,563,381 shares of our common stock, plus up to an additional 1,584,506 shares of our common stock that the underwriters of the concurrent common stock offering have the option to purchase from us. The completion of this offering is not contingent on the completion of the concurrent common stock offering, and the completion of the concurrent common stock offering is not contingent on the completion of this offering. Accordingly, you should not assume that the concurrent common stock offering will be consummated on the terms described in this prospectus supplement, if at all, or that we will receive any additional proceeds from the concurrent common stock offering. This prospectus supplement does not constitute an offer to sell, or the solicitation of an offer to buy, any securities being offered in the concurrent common stock offering. The prospectus supplement for the concurrent common stock offering does not constitute an offer to sell, or the solicitation of an offer to buy, any of the notes, or the shares of common stock, if any, issuable upon conversion of the notes, that we are offering pursuant to this prospectus supplement. See “The Concurrent Common Stock Offering.”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w:t>
      </w:r>
    </w:p>
    <w:p>
      <w:pPr>
        <w:sectPr>
          <w:pgSz w:w="11900" w:h="16838" w:orient="portrait"/>
          <w:cols w:equalWidth="0" w:num="1">
            <w:col w:w="9019"/>
          </w:cols>
          <w:pgMar w:left="1440" w:top="358" w:right="1440" w:bottom="1440" w:gutter="0" w:footer="0" w:header="0"/>
        </w:sectPr>
      </w:pPr>
    </w:p>
    <w:bookmarkStart w:id="4" w:name="page5"/>
    <w:bookmarkEnd w:id="4"/>
    <w:p>
      <w:pPr>
        <w:ind w:left="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4082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710" cy="4082415"/>
                    </a:xfrm>
                    <a:prstGeom prst="rect">
                      <a:avLst/>
                    </a:prstGeom>
                    <a:noFill/>
                  </pic:spPr>
                </pic:pic>
              </a:graphicData>
            </a:graphic>
          </wp:anchor>
        </w:drawing>
        <w:t>The Offering</w:t>
      </w:r>
    </w:p>
    <w:p>
      <w:pPr>
        <w:spacing w:after="0" w:line="125" w:lineRule="exact"/>
        <w:rPr>
          <w:sz w:val="20"/>
          <w:szCs w:val="20"/>
          <w:color w:val="auto"/>
        </w:rPr>
      </w:pPr>
    </w:p>
    <w:p>
      <w:pPr>
        <w:ind w:left="500" w:right="519"/>
        <w:spacing w:after="0" w:line="238" w:lineRule="auto"/>
        <w:rPr>
          <w:sz w:val="20"/>
          <w:szCs w:val="20"/>
          <w:color w:val="auto"/>
        </w:rPr>
      </w:pPr>
      <w:r>
        <w:rPr>
          <w:rFonts w:ascii="Arial" w:cs="Arial" w:eastAsia="Arial" w:hAnsi="Arial"/>
          <w:sz w:val="14"/>
          <w:szCs w:val="14"/>
          <w:i w:val="1"/>
          <w:iCs w:val="1"/>
          <w:color w:val="auto"/>
        </w:rPr>
        <w:t>The summary below describes the principal terms of the notes. Certain of the terms of the notes described below are subject to important limitations and exceptions that are described in more detail under the caption “Description of Notes.” As used in this section, “we,” “our” and “us” refer to Revolution Medicines, Inc. and not to its subsidiaries.</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Issuer</w:t>
            </w:r>
          </w:p>
        </w:tc>
        <w:tc>
          <w:tcPr>
            <w:tcW w:w="6680" w:type="dxa"/>
            <w:vAlign w:val="bottom"/>
          </w:tcPr>
          <w:p>
            <w:pPr>
              <w:ind w:left="780"/>
              <w:spacing w:after="0"/>
              <w:rPr>
                <w:sz w:val="20"/>
                <w:szCs w:val="20"/>
                <w:color w:val="auto"/>
              </w:rPr>
            </w:pPr>
            <w:r>
              <w:rPr>
                <w:rFonts w:ascii="Arial" w:cs="Arial" w:eastAsia="Arial" w:hAnsi="Arial"/>
                <w:sz w:val="14"/>
                <w:szCs w:val="14"/>
                <w:color w:val="auto"/>
              </w:rPr>
              <w:t>Revolution Medicines, Inc.</w:t>
            </w:r>
          </w:p>
        </w:tc>
      </w:tr>
      <w:tr>
        <w:trPr>
          <w:trHeight w:val="274"/>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Notes</w:t>
            </w:r>
          </w:p>
        </w:tc>
        <w:tc>
          <w:tcPr>
            <w:tcW w:w="6680" w:type="dxa"/>
            <w:vAlign w:val="bottom"/>
          </w:tcPr>
          <w:p>
            <w:pPr>
              <w:ind w:left="780"/>
              <w:spacing w:after="0"/>
              <w:rPr>
                <w:sz w:val="20"/>
                <w:szCs w:val="20"/>
                <w:color w:val="auto"/>
              </w:rPr>
            </w:pPr>
            <w:r>
              <w:rPr>
                <w:rFonts w:ascii="Arial" w:cs="Arial" w:eastAsia="Arial" w:hAnsi="Arial"/>
                <w:sz w:val="14"/>
                <w:szCs w:val="14"/>
                <w:color w:val="auto"/>
              </w:rPr>
              <w:t>$500,000,000 aggregate principal amount of 0.50% convertible senior notes due 2033.</w:t>
            </w:r>
          </w:p>
        </w:tc>
      </w:tr>
      <w:tr>
        <w:trPr>
          <w:trHeight w:val="242"/>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Settlement</w:t>
            </w:r>
          </w:p>
        </w:tc>
        <w:tc>
          <w:tcPr>
            <w:tcW w:w="6680" w:type="dxa"/>
            <w:vAlign w:val="bottom"/>
          </w:tcPr>
          <w:p>
            <w:pPr>
              <w:ind w:left="780"/>
              <w:spacing w:after="0"/>
              <w:rPr>
                <w:sz w:val="20"/>
                <w:szCs w:val="20"/>
                <w:color w:val="auto"/>
              </w:rPr>
            </w:pPr>
            <w:r>
              <w:rPr>
                <w:rFonts w:ascii="Arial" w:cs="Arial" w:eastAsia="Arial" w:hAnsi="Arial"/>
                <w:sz w:val="14"/>
                <w:szCs w:val="14"/>
                <w:color w:val="auto"/>
              </w:rPr>
              <w:t>April 17, 2026 (the “settlement date”), which is the second business day after the initial trade</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date for the notes (this settlement cycle being referred to as “T+2”). Under Rule 15c6-1 under</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the Exchange Act, trades in the secondary market generally must settle in one business day,</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unless the parties to the trade expressly agree otherwise. Accordingly, purchasers who wish to</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trade the notes before the business day before the settlement date must, because the notes</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w w:val="98"/>
              </w:rPr>
              <w:t>initially will settle T+2, specify an alternate settlement cycle at the time of such trade to prevent a</w:t>
            </w:r>
          </w:p>
        </w:tc>
      </w:tr>
      <w:tr>
        <w:trPr>
          <w:trHeight w:val="176"/>
        </w:trPr>
        <w:tc>
          <w:tcPr>
            <w:tcW w:w="1600" w:type="dxa"/>
            <w:vAlign w:val="bottom"/>
          </w:tcPr>
          <w:p>
            <w:pPr>
              <w:spacing w:after="0"/>
              <w:rPr>
                <w:sz w:val="15"/>
                <w:szCs w:val="15"/>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failed settlement. Those purchasers should consult their advisors.</w:t>
            </w:r>
          </w:p>
        </w:tc>
      </w:tr>
      <w:tr>
        <w:trPr>
          <w:trHeight w:val="272"/>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Ranking</w:t>
            </w:r>
          </w:p>
        </w:tc>
        <w:tc>
          <w:tcPr>
            <w:tcW w:w="6680" w:type="dxa"/>
            <w:vAlign w:val="bottom"/>
          </w:tcPr>
          <w:p>
            <w:pPr>
              <w:ind w:left="780"/>
              <w:spacing w:after="0"/>
              <w:rPr>
                <w:sz w:val="20"/>
                <w:szCs w:val="20"/>
                <w:color w:val="auto"/>
              </w:rPr>
            </w:pPr>
            <w:r>
              <w:rPr>
                <w:rFonts w:ascii="Arial" w:cs="Arial" w:eastAsia="Arial" w:hAnsi="Arial"/>
                <w:sz w:val="14"/>
                <w:szCs w:val="14"/>
                <w:color w:val="auto"/>
              </w:rPr>
              <w:t>The notes will be our senior, unsecured obligations and will be:</w:t>
            </w:r>
          </w:p>
        </w:tc>
      </w:tr>
      <w:tr>
        <w:trPr>
          <w:trHeight w:val="266"/>
        </w:trPr>
        <w:tc>
          <w:tcPr>
            <w:tcW w:w="1600" w:type="dxa"/>
            <w:vAlign w:val="bottom"/>
          </w:tcPr>
          <w:p>
            <w:pPr>
              <w:spacing w:after="0"/>
              <w:rPr>
                <w:sz w:val="23"/>
                <w:szCs w:val="23"/>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  equal in right of payment with our existing and future senior, unsecured indebtedness;</w:t>
            </w:r>
          </w:p>
        </w:tc>
      </w:tr>
      <w:tr>
        <w:trPr>
          <w:trHeight w:val="240"/>
        </w:trPr>
        <w:tc>
          <w:tcPr>
            <w:tcW w:w="160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  senior in right of payment to our existing and future indebtedness that is expressly</w:t>
            </w:r>
          </w:p>
        </w:tc>
      </w:tr>
      <w:tr>
        <w:trPr>
          <w:trHeight w:val="176"/>
        </w:trPr>
        <w:tc>
          <w:tcPr>
            <w:tcW w:w="1600" w:type="dxa"/>
            <w:vAlign w:val="bottom"/>
          </w:tcPr>
          <w:p>
            <w:pPr>
              <w:spacing w:after="0"/>
              <w:rPr>
                <w:sz w:val="15"/>
                <w:szCs w:val="15"/>
                <w:color w:val="auto"/>
              </w:rPr>
            </w:pPr>
          </w:p>
        </w:tc>
        <w:tc>
          <w:tcPr>
            <w:tcW w:w="6680" w:type="dxa"/>
            <w:vAlign w:val="bottom"/>
          </w:tcPr>
          <w:p>
            <w:pPr>
              <w:ind w:left="920"/>
              <w:spacing w:after="0"/>
              <w:rPr>
                <w:sz w:val="20"/>
                <w:szCs w:val="20"/>
                <w:color w:val="auto"/>
              </w:rPr>
            </w:pPr>
            <w:r>
              <w:rPr>
                <w:rFonts w:ascii="Arial" w:cs="Arial" w:eastAsia="Arial" w:hAnsi="Arial"/>
                <w:sz w:val="14"/>
                <w:szCs w:val="14"/>
                <w:color w:val="auto"/>
              </w:rPr>
              <w:t>subordinated to the notes;</w:t>
            </w:r>
          </w:p>
        </w:tc>
      </w:tr>
      <w:tr>
        <w:trPr>
          <w:trHeight w:val="240"/>
        </w:trPr>
        <w:tc>
          <w:tcPr>
            <w:tcW w:w="160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  effectively subordinated to our existing and future secured indebtedness, to the extent of the</w:t>
            </w:r>
          </w:p>
        </w:tc>
      </w:tr>
      <w:tr>
        <w:trPr>
          <w:trHeight w:val="176"/>
        </w:trPr>
        <w:tc>
          <w:tcPr>
            <w:tcW w:w="1600" w:type="dxa"/>
            <w:vAlign w:val="bottom"/>
          </w:tcPr>
          <w:p>
            <w:pPr>
              <w:spacing w:after="0"/>
              <w:rPr>
                <w:sz w:val="15"/>
                <w:szCs w:val="15"/>
                <w:color w:val="auto"/>
              </w:rPr>
            </w:pPr>
          </w:p>
        </w:tc>
        <w:tc>
          <w:tcPr>
            <w:tcW w:w="6680" w:type="dxa"/>
            <w:vAlign w:val="bottom"/>
          </w:tcPr>
          <w:p>
            <w:pPr>
              <w:ind w:left="920"/>
              <w:spacing w:after="0"/>
              <w:rPr>
                <w:sz w:val="20"/>
                <w:szCs w:val="20"/>
                <w:color w:val="auto"/>
              </w:rPr>
            </w:pPr>
            <w:r>
              <w:rPr>
                <w:rFonts w:ascii="Arial" w:cs="Arial" w:eastAsia="Arial" w:hAnsi="Arial"/>
                <w:sz w:val="14"/>
                <w:szCs w:val="14"/>
                <w:color w:val="auto"/>
              </w:rPr>
              <w:t>value of the collateral securing that indebtedness; and</w:t>
            </w:r>
          </w:p>
        </w:tc>
      </w:tr>
      <w:tr>
        <w:trPr>
          <w:trHeight w:val="240"/>
        </w:trPr>
        <w:tc>
          <w:tcPr>
            <w:tcW w:w="160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  structurally subordinated to all existing and future indebtedness and other liabilities, including</w:t>
            </w:r>
          </w:p>
        </w:tc>
      </w:tr>
      <w:tr>
        <w:trPr>
          <w:trHeight w:val="152"/>
        </w:trPr>
        <w:tc>
          <w:tcPr>
            <w:tcW w:w="1600" w:type="dxa"/>
            <w:vAlign w:val="bottom"/>
          </w:tcPr>
          <w:p>
            <w:pPr>
              <w:spacing w:after="0"/>
              <w:rPr>
                <w:sz w:val="13"/>
                <w:szCs w:val="13"/>
                <w:color w:val="auto"/>
              </w:rPr>
            </w:pPr>
          </w:p>
        </w:tc>
        <w:tc>
          <w:tcPr>
            <w:tcW w:w="6680" w:type="dxa"/>
            <w:vAlign w:val="bottom"/>
          </w:tcPr>
          <w:p>
            <w:pPr>
              <w:ind w:left="920"/>
              <w:spacing w:after="0" w:line="152" w:lineRule="exact"/>
              <w:rPr>
                <w:sz w:val="20"/>
                <w:szCs w:val="20"/>
                <w:color w:val="auto"/>
              </w:rPr>
            </w:pPr>
            <w:r>
              <w:rPr>
                <w:rFonts w:ascii="Arial" w:cs="Arial" w:eastAsia="Arial" w:hAnsi="Arial"/>
                <w:sz w:val="14"/>
                <w:szCs w:val="14"/>
                <w:color w:val="auto"/>
              </w:rPr>
              <w:t>trade payables, and (to the extent we are not a holder thereof) preferred equity, if any, of our</w:t>
            </w:r>
          </w:p>
        </w:tc>
      </w:tr>
      <w:tr>
        <w:trPr>
          <w:trHeight w:val="176"/>
        </w:trPr>
        <w:tc>
          <w:tcPr>
            <w:tcW w:w="1600" w:type="dxa"/>
            <w:vAlign w:val="bottom"/>
          </w:tcPr>
          <w:p>
            <w:pPr>
              <w:spacing w:after="0"/>
              <w:rPr>
                <w:sz w:val="15"/>
                <w:szCs w:val="15"/>
                <w:color w:val="auto"/>
              </w:rPr>
            </w:pPr>
          </w:p>
        </w:tc>
        <w:tc>
          <w:tcPr>
            <w:tcW w:w="6680" w:type="dxa"/>
            <w:vAlign w:val="bottom"/>
          </w:tcPr>
          <w:p>
            <w:pPr>
              <w:ind w:left="920"/>
              <w:spacing w:after="0"/>
              <w:rPr>
                <w:sz w:val="20"/>
                <w:szCs w:val="20"/>
                <w:color w:val="auto"/>
              </w:rPr>
            </w:pPr>
            <w:r>
              <w:rPr>
                <w:rFonts w:ascii="Arial" w:cs="Arial" w:eastAsia="Arial" w:hAnsi="Arial"/>
                <w:sz w:val="14"/>
                <w:szCs w:val="14"/>
                <w:color w:val="auto"/>
              </w:rPr>
              <w:t>subsidiaries.</w:t>
            </w:r>
          </w:p>
        </w:tc>
      </w:tr>
      <w:tr>
        <w:trPr>
          <w:trHeight w:val="240"/>
        </w:trPr>
        <w:tc>
          <w:tcPr>
            <w:tcW w:w="160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As of December 31, 2025, we had no indebtedness for borrowed money and approximately</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$268.4 million of liabilities relating to our sale of future royalties pursuant to the Royalty</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Purchase Agreement (as defined under the caption “Description of Other Indebtedness”), and</w:t>
            </w:r>
          </w:p>
        </w:tc>
      </w:tr>
      <w:tr>
        <w:trPr>
          <w:trHeight w:val="176"/>
        </w:trPr>
        <w:tc>
          <w:tcPr>
            <w:tcW w:w="1600" w:type="dxa"/>
            <w:vAlign w:val="bottom"/>
          </w:tcPr>
          <w:p>
            <w:pPr>
              <w:spacing w:after="0"/>
              <w:rPr>
                <w:sz w:val="15"/>
                <w:szCs w:val="15"/>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our subsidiaries had no indebtedness or other liabilities.</w:t>
            </w:r>
          </w:p>
        </w:tc>
      </w:tr>
      <w:tr>
        <w:trPr>
          <w:trHeight w:val="272"/>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Maturity</w:t>
            </w:r>
          </w:p>
        </w:tc>
        <w:tc>
          <w:tcPr>
            <w:tcW w:w="6680" w:type="dxa"/>
            <w:vAlign w:val="bottom"/>
          </w:tcPr>
          <w:p>
            <w:pPr>
              <w:ind w:left="780"/>
              <w:spacing w:after="0"/>
              <w:rPr>
                <w:sz w:val="20"/>
                <w:szCs w:val="20"/>
                <w:color w:val="auto"/>
              </w:rPr>
            </w:pPr>
            <w:r>
              <w:rPr>
                <w:rFonts w:ascii="Arial" w:cs="Arial" w:eastAsia="Arial" w:hAnsi="Arial"/>
                <w:sz w:val="14"/>
                <w:szCs w:val="14"/>
                <w:color w:val="auto"/>
              </w:rPr>
              <w:t>May 1, 2033, unless earlier repurchased, redeemed or converted.</w:t>
            </w:r>
          </w:p>
        </w:tc>
      </w:tr>
      <w:tr>
        <w:trPr>
          <w:trHeight w:val="242"/>
        </w:trPr>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Interest</w:t>
            </w:r>
          </w:p>
        </w:tc>
        <w:tc>
          <w:tcPr>
            <w:tcW w:w="6680" w:type="dxa"/>
            <w:vAlign w:val="bottom"/>
          </w:tcPr>
          <w:p>
            <w:pPr>
              <w:ind w:left="780"/>
              <w:spacing w:after="0"/>
              <w:rPr>
                <w:sz w:val="20"/>
                <w:szCs w:val="20"/>
                <w:color w:val="auto"/>
              </w:rPr>
            </w:pPr>
            <w:r>
              <w:rPr>
                <w:rFonts w:ascii="Arial" w:cs="Arial" w:eastAsia="Arial" w:hAnsi="Arial"/>
                <w:sz w:val="14"/>
                <w:szCs w:val="14"/>
                <w:color w:val="auto"/>
              </w:rPr>
              <w:t>0.50% per annum, payable semi-annually in arrears on May 1 and November 1 of each year,</w:t>
            </w:r>
          </w:p>
        </w:tc>
      </w:tr>
      <w:tr>
        <w:trPr>
          <w:trHeight w:val="152"/>
        </w:trPr>
        <w:tc>
          <w:tcPr>
            <w:tcW w:w="1600" w:type="dxa"/>
            <w:vAlign w:val="bottom"/>
          </w:tcPr>
          <w:p>
            <w:pPr>
              <w:spacing w:after="0"/>
              <w:rPr>
                <w:sz w:val="13"/>
                <w:szCs w:val="13"/>
                <w:color w:val="auto"/>
              </w:rPr>
            </w:pPr>
          </w:p>
        </w:tc>
        <w:tc>
          <w:tcPr>
            <w:tcW w:w="6680" w:type="dxa"/>
            <w:vAlign w:val="bottom"/>
          </w:tcPr>
          <w:p>
            <w:pPr>
              <w:ind w:left="780"/>
              <w:spacing w:after="0" w:line="152" w:lineRule="exact"/>
              <w:rPr>
                <w:sz w:val="20"/>
                <w:szCs w:val="20"/>
                <w:color w:val="auto"/>
              </w:rPr>
            </w:pPr>
            <w:r>
              <w:rPr>
                <w:rFonts w:ascii="Arial" w:cs="Arial" w:eastAsia="Arial" w:hAnsi="Arial"/>
                <w:sz w:val="14"/>
                <w:szCs w:val="14"/>
                <w:color w:val="auto"/>
              </w:rPr>
              <w:t>beginning on November 1, 2026. In addition, special interest will accrue on the notes in the</w:t>
            </w:r>
          </w:p>
        </w:tc>
      </w:tr>
      <w:tr>
        <w:trPr>
          <w:trHeight w:val="176"/>
        </w:trPr>
        <w:tc>
          <w:tcPr>
            <w:tcW w:w="1600" w:type="dxa"/>
            <w:vAlign w:val="bottom"/>
          </w:tcPr>
          <w:p>
            <w:pPr>
              <w:spacing w:after="0"/>
              <w:rPr>
                <w:sz w:val="15"/>
                <w:szCs w:val="15"/>
                <w:color w:val="auto"/>
              </w:rPr>
            </w:pPr>
          </w:p>
        </w:tc>
        <w:tc>
          <w:tcPr>
            <w:tcW w:w="6680" w:type="dxa"/>
            <w:vAlign w:val="bottom"/>
          </w:tcPr>
          <w:p>
            <w:pPr>
              <w:ind w:left="780"/>
              <w:spacing w:after="0"/>
              <w:rPr>
                <w:sz w:val="20"/>
                <w:szCs w:val="20"/>
                <w:color w:val="auto"/>
              </w:rPr>
            </w:pPr>
            <w:r>
              <w:rPr>
                <w:rFonts w:ascii="Arial" w:cs="Arial" w:eastAsia="Arial" w:hAnsi="Arial"/>
                <w:sz w:val="14"/>
                <w:szCs w:val="14"/>
                <w:color w:val="auto"/>
              </w:rPr>
              <w:t>circumstances described under the captions</w:t>
            </w:r>
          </w:p>
        </w:tc>
      </w:tr>
      <w:tr>
        <w:trPr>
          <w:trHeight w:val="105"/>
        </w:trPr>
        <w:tc>
          <w:tcPr>
            <w:tcW w:w="16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tcPr>
          <w:p>
            <w:pPr>
              <w:spacing w:after="0"/>
              <w:rPr>
                <w:sz w:val="9"/>
                <w:szCs w:val="9"/>
                <w:color w:val="auto"/>
              </w:rPr>
            </w:pPr>
          </w:p>
        </w:tc>
      </w:tr>
      <w:tr>
        <w:trPr>
          <w:trHeight w:val="270"/>
        </w:trPr>
        <w:tc>
          <w:tcPr>
            <w:tcW w:w="1600" w:type="dxa"/>
            <w:vAlign w:val="bottom"/>
          </w:tcPr>
          <w:p>
            <w:pPr>
              <w:spacing w:after="0"/>
              <w:rPr>
                <w:sz w:val="23"/>
                <w:szCs w:val="23"/>
                <w:color w:val="auto"/>
              </w:rPr>
            </w:pPr>
          </w:p>
        </w:tc>
        <w:tc>
          <w:tcPr>
            <w:tcW w:w="6680" w:type="dxa"/>
            <w:vAlign w:val="bottom"/>
          </w:tcPr>
          <w:p>
            <w:pPr>
              <w:ind w:left="2440"/>
              <w:spacing w:after="0"/>
              <w:rPr>
                <w:sz w:val="20"/>
                <w:szCs w:val="20"/>
                <w:color w:val="auto"/>
              </w:rPr>
            </w:pPr>
            <w:r>
              <w:rPr>
                <w:rFonts w:ascii="Arial" w:cs="Arial" w:eastAsia="Arial" w:hAnsi="Arial"/>
                <w:sz w:val="14"/>
                <w:szCs w:val="14"/>
                <w:color w:val="auto"/>
              </w:rPr>
              <w:t>S-2</w:t>
            </w:r>
          </w:p>
        </w:tc>
      </w:tr>
    </w:tbl>
    <w:p>
      <w:pPr>
        <w:sectPr>
          <w:pgSz w:w="11900" w:h="16838" w:orient="portrait"/>
          <w:cols w:equalWidth="0" w:num="1">
            <w:col w:w="9019"/>
          </w:cols>
          <w:pgMar w:left="1440" w:top="358" w:right="1440"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tbl>
      <w:tblPr>
        <w:tblLayout w:type="fixed"/>
        <w:tblInd w:w="370" w:type="dxa"/>
        <w:tblCellMar>
          <w:top w:w="0" w:type="dxa"/>
          <w:left w:w="0" w:type="dxa"/>
          <w:bottom w:w="0" w:type="dxa"/>
          <w:right w:w="0" w:type="dxa"/>
        </w:tblCellMar>
      </w:tblPr>
      <w:tr>
        <w:trPr>
          <w:trHeight w:val="276"/>
        </w:trPr>
        <w:tc>
          <w:tcPr>
            <w:tcW w:w="1940" w:type="dxa"/>
            <w:vAlign w:val="bottom"/>
            <w:tcBorders>
              <w:top w:val="single" w:sz="8" w:color="auto"/>
              <w:left w:val="single" w:sz="8" w:color="auto"/>
            </w:tcBorders>
          </w:tcPr>
          <w:p>
            <w:pPr>
              <w:spacing w:after="0"/>
              <w:rPr>
                <w:sz w:val="24"/>
                <w:szCs w:val="24"/>
                <w:color w:val="auto"/>
              </w:rPr>
            </w:pPr>
          </w:p>
        </w:tc>
        <w:tc>
          <w:tcPr>
            <w:tcW w:w="634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“Description of Notes—No Registration Rights; Additional Interest” and “—Events of Default—</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Special Interest as Sole Remedy for Certain Reporting Defaults,” respectively.</w:t>
            </w:r>
          </w:p>
        </w:tc>
      </w:tr>
      <w:tr>
        <w:trPr>
          <w:trHeight w:val="282"/>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Conversion Rights</w:t>
            </w: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Noteholders may convert their notes at their option only in the following circumstances:</w:t>
            </w:r>
          </w:p>
        </w:tc>
      </w:tr>
      <w:tr>
        <w:trPr>
          <w:trHeight w:val="242"/>
        </w:trPr>
        <w:tc>
          <w:tcPr>
            <w:tcW w:w="1940" w:type="dxa"/>
            <w:vAlign w:val="bottom"/>
            <w:tcBorders>
              <w:left w:val="single" w:sz="8" w:color="auto"/>
            </w:tcBorders>
          </w:tcPr>
          <w:p>
            <w:pPr>
              <w:spacing w:after="0"/>
              <w:rPr>
                <w:sz w:val="21"/>
                <w:szCs w:val="21"/>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w w:val="99"/>
              </w:rPr>
              <w:t>•  during any calendar quarter commencing after the calendar quarter ending on September 30,</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580"/>
              <w:spacing w:after="0" w:line="152" w:lineRule="exact"/>
              <w:rPr>
                <w:sz w:val="20"/>
                <w:szCs w:val="20"/>
                <w:color w:val="auto"/>
              </w:rPr>
            </w:pPr>
            <w:r>
              <w:rPr>
                <w:rFonts w:ascii="Arial" w:cs="Arial" w:eastAsia="Arial" w:hAnsi="Arial"/>
                <w:sz w:val="14"/>
                <w:szCs w:val="14"/>
                <w:color w:val="auto"/>
              </w:rPr>
              <w:t>2026, if the last reported sale price per share of our common stock exceeds 130% of the</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580"/>
              <w:spacing w:after="0" w:line="152" w:lineRule="exact"/>
              <w:rPr>
                <w:sz w:val="20"/>
                <w:szCs w:val="20"/>
                <w:color w:val="auto"/>
              </w:rPr>
            </w:pPr>
            <w:r>
              <w:rPr>
                <w:rFonts w:ascii="Arial" w:cs="Arial" w:eastAsia="Arial" w:hAnsi="Arial"/>
                <w:sz w:val="14"/>
                <w:szCs w:val="14"/>
                <w:color w:val="auto"/>
              </w:rPr>
              <w:t>conversion price for each of at least 20 trading days during the 30 consecutive trading days</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ending on, and including, the last trading day of the immediately preceding calendar quarter;</w:t>
            </w:r>
          </w:p>
        </w:tc>
      </w:tr>
      <w:tr>
        <w:trPr>
          <w:trHeight w:val="240"/>
        </w:trPr>
        <w:tc>
          <w:tcPr>
            <w:tcW w:w="1940" w:type="dxa"/>
            <w:vAlign w:val="bottom"/>
            <w:tcBorders>
              <w:left w:val="single" w:sz="8" w:color="auto"/>
            </w:tcBorders>
          </w:tcPr>
          <w:p>
            <w:pPr>
              <w:spacing w:after="0"/>
              <w:rPr>
                <w:sz w:val="20"/>
                <w:szCs w:val="20"/>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  during the five consecutive business days immediately after any 10 consecutive trading day</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580"/>
              <w:spacing w:after="0" w:line="152" w:lineRule="exact"/>
              <w:rPr>
                <w:sz w:val="20"/>
                <w:szCs w:val="20"/>
                <w:color w:val="auto"/>
              </w:rPr>
            </w:pPr>
            <w:r>
              <w:rPr>
                <w:rFonts w:ascii="Arial" w:cs="Arial" w:eastAsia="Arial" w:hAnsi="Arial"/>
                <w:sz w:val="14"/>
                <w:szCs w:val="14"/>
                <w:color w:val="auto"/>
              </w:rPr>
              <w:t>period (such 10 consecutive trading day period, the “measurement period”) in which the</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580"/>
              <w:spacing w:after="0" w:line="152" w:lineRule="exact"/>
              <w:rPr>
                <w:sz w:val="20"/>
                <w:szCs w:val="20"/>
                <w:color w:val="auto"/>
              </w:rPr>
            </w:pPr>
            <w:r>
              <w:rPr>
                <w:rFonts w:ascii="Arial" w:cs="Arial" w:eastAsia="Arial" w:hAnsi="Arial"/>
                <w:sz w:val="14"/>
                <w:szCs w:val="14"/>
                <w:color w:val="auto"/>
              </w:rPr>
              <w:t>trading price per $1,000 principal amount of notes for each trading day of the measurement</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580"/>
              <w:spacing w:after="0" w:line="152" w:lineRule="exact"/>
              <w:rPr>
                <w:sz w:val="20"/>
                <w:szCs w:val="20"/>
                <w:color w:val="auto"/>
              </w:rPr>
            </w:pPr>
            <w:r>
              <w:rPr>
                <w:rFonts w:ascii="Arial" w:cs="Arial" w:eastAsia="Arial" w:hAnsi="Arial"/>
                <w:sz w:val="14"/>
                <w:szCs w:val="14"/>
                <w:color w:val="auto"/>
              </w:rPr>
              <w:t>period was less than 98% of the product of the last reported sale price per share of our</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common stock on such trading day and the conversion rate on such trading day;</w:t>
            </w:r>
          </w:p>
        </w:tc>
      </w:tr>
      <w:tr>
        <w:trPr>
          <w:trHeight w:val="240"/>
        </w:trPr>
        <w:tc>
          <w:tcPr>
            <w:tcW w:w="1940" w:type="dxa"/>
            <w:vAlign w:val="bottom"/>
            <w:tcBorders>
              <w:left w:val="single" w:sz="8" w:color="auto"/>
            </w:tcBorders>
          </w:tcPr>
          <w:p>
            <w:pPr>
              <w:spacing w:after="0"/>
              <w:rPr>
                <w:sz w:val="20"/>
                <w:szCs w:val="20"/>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  upon the occurrence of certain corporate events or distributions on our common stock, as</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described in this prospectus supplement;</w:t>
            </w:r>
          </w:p>
        </w:tc>
      </w:tr>
      <w:tr>
        <w:trPr>
          <w:trHeight w:val="264"/>
        </w:trPr>
        <w:tc>
          <w:tcPr>
            <w:tcW w:w="1940" w:type="dxa"/>
            <w:vAlign w:val="bottom"/>
            <w:tcBorders>
              <w:left w:val="single" w:sz="8" w:color="auto"/>
            </w:tcBorders>
          </w:tcPr>
          <w:p>
            <w:pPr>
              <w:spacing w:after="0"/>
              <w:rPr>
                <w:sz w:val="22"/>
                <w:szCs w:val="22"/>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  if we call such notes for redemption; and</w:t>
            </w:r>
          </w:p>
        </w:tc>
      </w:tr>
      <w:tr>
        <w:trPr>
          <w:trHeight w:val="240"/>
        </w:trPr>
        <w:tc>
          <w:tcPr>
            <w:tcW w:w="1940" w:type="dxa"/>
            <w:vAlign w:val="bottom"/>
            <w:tcBorders>
              <w:left w:val="single" w:sz="8" w:color="auto"/>
            </w:tcBorders>
          </w:tcPr>
          <w:p>
            <w:pPr>
              <w:spacing w:after="0"/>
              <w:rPr>
                <w:sz w:val="20"/>
                <w:szCs w:val="20"/>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  at any time from, and including, February 1, 2033 until the close of business on the second</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scheduled trading day immediately before the maturity date.</w:t>
            </w:r>
          </w:p>
        </w:tc>
      </w:tr>
      <w:tr>
        <w:trPr>
          <w:trHeight w:val="240"/>
        </w:trPr>
        <w:tc>
          <w:tcPr>
            <w:tcW w:w="1940" w:type="dxa"/>
            <w:vAlign w:val="bottom"/>
            <w:tcBorders>
              <w:left w:val="single" w:sz="8" w:color="auto"/>
            </w:tcBorders>
          </w:tcPr>
          <w:p>
            <w:pPr>
              <w:spacing w:after="0"/>
              <w:rPr>
                <w:sz w:val="20"/>
                <w:szCs w:val="20"/>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We will settle conversions by paying or delivering, as applicable, cash, shares of our common</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stock or a combination of cash and shares of our common stock, at our election, based on the</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w w:val="99"/>
              </w:rPr>
              <w:t>applicable conversion rate(s). If we elect to deliver cash or a combination of cash and shares of</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our common stock, then the consideration due upon conversion will be determined over an</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observation period consisting of 30 “VWAP trading days” (as defined in this prospectus</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supplement). The initial conversion rate is 5.0302 shares per $1,000 principal amount of notes,</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which represents an initial conversion price of approximately $198.80 per share, and is subject</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to adjustment as described in this prospectus supplement.</w:t>
            </w:r>
          </w:p>
        </w:tc>
      </w:tr>
      <w:tr>
        <w:trPr>
          <w:trHeight w:val="240"/>
        </w:trPr>
        <w:tc>
          <w:tcPr>
            <w:tcW w:w="1940" w:type="dxa"/>
            <w:vAlign w:val="bottom"/>
            <w:tcBorders>
              <w:left w:val="single" w:sz="8" w:color="auto"/>
            </w:tcBorders>
          </w:tcPr>
          <w:p>
            <w:pPr>
              <w:spacing w:after="0"/>
              <w:rPr>
                <w:sz w:val="20"/>
                <w:szCs w:val="20"/>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If a “make-whole fundamental change” (as defined in this prospectus supplement) occurs, then</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we will in certain circumstances increase the conversion rate for a specified period of time.</w:t>
            </w:r>
          </w:p>
        </w:tc>
      </w:tr>
      <w:tr>
        <w:trPr>
          <w:trHeight w:val="264"/>
        </w:trPr>
        <w:tc>
          <w:tcPr>
            <w:tcW w:w="1940" w:type="dxa"/>
            <w:vAlign w:val="bottom"/>
            <w:tcBorders>
              <w:left w:val="single" w:sz="8" w:color="auto"/>
            </w:tcBorders>
          </w:tcPr>
          <w:p>
            <w:pPr>
              <w:spacing w:after="0"/>
              <w:rPr>
                <w:sz w:val="22"/>
                <w:szCs w:val="22"/>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See “Description of Notes</w:t>
            </w:r>
            <w:r>
              <w:rPr>
                <w:rFonts w:ascii="Arial" w:cs="Arial" w:eastAsia="Arial" w:hAnsi="Arial"/>
                <w:sz w:val="14"/>
                <w:szCs w:val="14"/>
                <w:i w:val="1"/>
                <w:iCs w:val="1"/>
                <w:color w:val="auto"/>
              </w:rPr>
              <w:t>—</w:t>
            </w:r>
            <w:r>
              <w:rPr>
                <w:rFonts w:ascii="Arial" w:cs="Arial" w:eastAsia="Arial" w:hAnsi="Arial"/>
                <w:sz w:val="14"/>
                <w:szCs w:val="14"/>
                <w:color w:val="auto"/>
              </w:rPr>
              <w:t>Conversion Rights.”</w:t>
            </w:r>
          </w:p>
        </w:tc>
      </w:tr>
      <w:tr>
        <w:trPr>
          <w:trHeight w:val="2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Optional Redemption</w:t>
            </w: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w w:val="98"/>
              </w:rPr>
              <w:t>The notes will be redeemable, in whole or in part (subject to certain limitations described below),</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at our option at any time, and from time to time, on or after May 6, 2030 and on or before the</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31st scheduled trading day immediately before the maturity date, at a cash redemption price</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equal to the principal amount of the notes to be redeemed, plus accrued and unpaid interest, if</w:t>
            </w:r>
          </w:p>
        </w:tc>
      </w:tr>
      <w:tr>
        <w:trPr>
          <w:trHeight w:val="152"/>
        </w:trPr>
        <w:tc>
          <w:tcPr>
            <w:tcW w:w="1940" w:type="dxa"/>
            <w:vAlign w:val="bottom"/>
            <w:tcBorders>
              <w:left w:val="single" w:sz="8" w:color="auto"/>
            </w:tcBorders>
          </w:tcPr>
          <w:p>
            <w:pPr>
              <w:spacing w:after="0"/>
              <w:rPr>
                <w:sz w:val="13"/>
                <w:szCs w:val="13"/>
                <w:color w:val="auto"/>
              </w:rPr>
            </w:pPr>
          </w:p>
        </w:tc>
        <w:tc>
          <w:tcPr>
            <w:tcW w:w="6340" w:type="dxa"/>
            <w:vAlign w:val="bottom"/>
            <w:tcBorders>
              <w:right w:val="single" w:sz="8" w:color="auto"/>
            </w:tcBorders>
          </w:tcPr>
          <w:p>
            <w:pPr>
              <w:ind w:left="440"/>
              <w:spacing w:after="0" w:line="152" w:lineRule="exact"/>
              <w:rPr>
                <w:sz w:val="20"/>
                <w:szCs w:val="20"/>
                <w:color w:val="auto"/>
              </w:rPr>
            </w:pPr>
            <w:r>
              <w:rPr>
                <w:rFonts w:ascii="Arial" w:cs="Arial" w:eastAsia="Arial" w:hAnsi="Arial"/>
                <w:sz w:val="14"/>
                <w:szCs w:val="14"/>
                <w:color w:val="auto"/>
              </w:rPr>
              <w:t>any, to, but excluding, the redemption date, but only if the last reported sale price per share of</w:t>
            </w:r>
          </w:p>
        </w:tc>
      </w:tr>
      <w:tr>
        <w:trPr>
          <w:trHeight w:val="176"/>
        </w:trPr>
        <w:tc>
          <w:tcPr>
            <w:tcW w:w="1940" w:type="dxa"/>
            <w:vAlign w:val="bottom"/>
            <w:tcBorders>
              <w:left w:val="single" w:sz="8" w:color="auto"/>
            </w:tcBorders>
          </w:tcPr>
          <w:p>
            <w:pPr>
              <w:spacing w:after="0"/>
              <w:rPr>
                <w:sz w:val="15"/>
                <w:szCs w:val="15"/>
                <w:color w:val="auto"/>
              </w:rPr>
            </w:pPr>
          </w:p>
        </w:tc>
        <w:tc>
          <w:tcPr>
            <w:tcW w:w="634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our common stock exceeds 130% of the conversion price on (1) each of at</w:t>
            </w:r>
          </w:p>
        </w:tc>
      </w:tr>
      <w:tr>
        <w:trPr>
          <w:trHeight w:val="105"/>
        </w:trPr>
        <w:tc>
          <w:tcPr>
            <w:tcW w:w="1940" w:type="dxa"/>
            <w:vAlign w:val="bottom"/>
            <w:tcBorders>
              <w:left w:val="single" w:sz="8" w:color="auto"/>
              <w:bottom w:val="single" w:sz="8" w:color="auto"/>
            </w:tcBorders>
          </w:tcPr>
          <w:p>
            <w:pPr>
              <w:spacing w:after="0"/>
              <w:rPr>
                <w:sz w:val="9"/>
                <w:szCs w:val="9"/>
                <w:color w:val="auto"/>
              </w:rPr>
            </w:pPr>
          </w:p>
        </w:tc>
        <w:tc>
          <w:tcPr>
            <w:tcW w:w="6340" w:type="dxa"/>
            <w:vAlign w:val="bottom"/>
            <w:tcBorders>
              <w:bottom w:val="single" w:sz="8" w:color="auto"/>
              <w:right w:val="single" w:sz="8" w:color="auto"/>
            </w:tcBorders>
          </w:tcPr>
          <w:p>
            <w:pPr>
              <w:spacing w:after="0"/>
              <w:rPr>
                <w:sz w:val="9"/>
                <w:szCs w:val="9"/>
                <w:color w:val="auto"/>
              </w:rPr>
            </w:pPr>
          </w:p>
        </w:tc>
      </w:tr>
      <w:tr>
        <w:trPr>
          <w:trHeight w:val="270"/>
        </w:trPr>
        <w:tc>
          <w:tcPr>
            <w:tcW w:w="1940" w:type="dxa"/>
            <w:vAlign w:val="bottom"/>
          </w:tcPr>
          <w:p>
            <w:pPr>
              <w:spacing w:after="0"/>
              <w:rPr>
                <w:sz w:val="23"/>
                <w:szCs w:val="23"/>
                <w:color w:val="auto"/>
              </w:rPr>
            </w:pPr>
          </w:p>
        </w:tc>
        <w:tc>
          <w:tcPr>
            <w:tcW w:w="6340" w:type="dxa"/>
            <w:vAlign w:val="bottom"/>
          </w:tcPr>
          <w:p>
            <w:pPr>
              <w:ind w:left="2100"/>
              <w:spacing w:after="0"/>
              <w:rPr>
                <w:sz w:val="20"/>
                <w:szCs w:val="20"/>
                <w:color w:val="auto"/>
              </w:rPr>
            </w:pPr>
            <w:r>
              <w:rPr>
                <w:rFonts w:ascii="Arial" w:cs="Arial" w:eastAsia="Arial" w:hAnsi="Arial"/>
                <w:sz w:val="14"/>
                <w:szCs w:val="14"/>
                <w:color w:val="auto"/>
              </w:rPr>
              <w:t>S-3</w:t>
            </w:r>
          </w:p>
        </w:tc>
      </w:tr>
    </w:tbl>
    <w:p>
      <w:pPr>
        <w:sectPr>
          <w:pgSz w:w="11900" w:h="16838" w:orient="portrait"/>
          <w:cols w:equalWidth="0" w:num="1">
            <w:col w:w="9019"/>
          </w:cols>
          <w:pgMar w:left="1440" w:top="226" w:right="1440" w:bottom="1440" w:gutter="0" w:footer="0" w:header="0"/>
        </w:sectPr>
      </w:pPr>
    </w:p>
    <w:bookmarkStart w:id="6" w:name="page7"/>
    <w:bookmarkEnd w:id="6"/>
    <w:p>
      <w:pPr>
        <w:ind w:left="2740" w:right="51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702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710" cy="3702050"/>
                    </a:xfrm>
                    <a:prstGeom prst="rect">
                      <a:avLst/>
                    </a:prstGeom>
                    <a:noFill/>
                  </pic:spPr>
                </pic:pic>
              </a:graphicData>
            </a:graphic>
          </wp:anchor>
        </w:drawing>
        <w:t>least 20 trading days, whether or not consecutive, during the 30 consecutive trading days ending on, and including, the trading day immediately before the date we send the related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See “Description of Notes</w:t>
      </w:r>
      <w:r>
        <w:rPr>
          <w:rFonts w:ascii="Arial" w:cs="Arial" w:eastAsia="Arial" w:hAnsi="Arial"/>
          <w:sz w:val="12"/>
          <w:szCs w:val="12"/>
          <w:i w:val="1"/>
          <w:iCs w:val="1"/>
          <w:color w:val="auto"/>
        </w:rPr>
        <w:t>—</w:t>
      </w:r>
      <w:r>
        <w:rPr>
          <w:rFonts w:ascii="Arial" w:cs="Arial" w:eastAsia="Arial" w:hAnsi="Arial"/>
          <w:sz w:val="12"/>
          <w:szCs w:val="12"/>
          <w:color w:val="auto"/>
        </w:rPr>
        <w:t>Optional Redemption.”</w:t>
      </w:r>
    </w:p>
    <w:p>
      <w:pPr>
        <w:spacing w:after="0" w:line="224" w:lineRule="exact"/>
        <w:rPr>
          <w:sz w:val="20"/>
          <w:szCs w:val="20"/>
          <w:color w:val="auto"/>
        </w:rPr>
      </w:pPr>
    </w:p>
    <w:p>
      <w:pPr>
        <w:ind w:left="500" w:right="619"/>
        <w:spacing w:after="0" w:line="276" w:lineRule="auto"/>
        <w:rPr>
          <w:sz w:val="20"/>
          <w:szCs w:val="20"/>
          <w:color w:val="auto"/>
        </w:rPr>
      </w:pPr>
      <w:r>
        <w:rPr>
          <w:rFonts w:ascii="Arial" w:cs="Arial" w:eastAsia="Arial" w:hAnsi="Arial"/>
          <w:sz w:val="12"/>
          <w:szCs w:val="12"/>
          <w:b w:val="1"/>
          <w:bCs w:val="1"/>
          <w:color w:val="auto"/>
        </w:rPr>
        <w:t xml:space="preserve">Repurchase at the Option of the </w:t>
      </w:r>
      <w:r>
        <w:rPr>
          <w:rFonts w:ascii="Arial" w:cs="Arial" w:eastAsia="Arial" w:hAnsi="Arial"/>
          <w:sz w:val="12"/>
          <w:szCs w:val="12"/>
          <w:color w:val="auto"/>
        </w:rPr>
        <w:t>If a “fundamental change” (as defined in this prospectus supplement) occurs, then, except as</w:t>
      </w:r>
      <w:r>
        <w:rPr>
          <w:rFonts w:ascii="Arial" w:cs="Arial" w:eastAsia="Arial" w:hAnsi="Arial"/>
          <w:sz w:val="12"/>
          <w:szCs w:val="12"/>
          <w:b w:val="1"/>
          <w:bCs w:val="1"/>
          <w:color w:val="auto"/>
        </w:rPr>
        <w:t xml:space="preserve"> Noteholders After a Fundamental </w:t>
      </w:r>
      <w:r>
        <w:rPr>
          <w:rFonts w:ascii="Arial" w:cs="Arial" w:eastAsia="Arial" w:hAnsi="Arial"/>
          <w:sz w:val="12"/>
          <w:szCs w:val="12"/>
          <w:color w:val="auto"/>
        </w:rPr>
        <w:t>described in this prospectus supplement, noteholders may require us to repurchase their notes</w:t>
      </w:r>
    </w:p>
    <w:p>
      <w:pPr>
        <w:spacing w:after="0" w:line="1" w:lineRule="exact"/>
        <w:rPr>
          <w:sz w:val="20"/>
          <w:szCs w:val="20"/>
          <w:color w:val="auto"/>
        </w:rPr>
      </w:pPr>
    </w:p>
    <w:p>
      <w:pPr>
        <w:ind w:left="2740" w:right="599" w:hanging="2239"/>
        <w:spacing w:after="0" w:line="231" w:lineRule="auto"/>
        <w:tabs>
          <w:tab w:leader="none" w:pos="2720" w:val="left"/>
        </w:tabs>
        <w:rPr>
          <w:sz w:val="20"/>
          <w:szCs w:val="20"/>
          <w:color w:val="auto"/>
        </w:rPr>
      </w:pPr>
      <w:r>
        <w:rPr>
          <w:rFonts w:ascii="Arial" w:cs="Arial" w:eastAsia="Arial" w:hAnsi="Arial"/>
          <w:sz w:val="14"/>
          <w:szCs w:val="14"/>
          <w:b w:val="1"/>
          <w:bCs w:val="1"/>
          <w:color w:val="auto"/>
        </w:rPr>
        <w:t>Change</w:t>
      </w:r>
      <w:r>
        <w:rPr>
          <w:sz w:val="20"/>
          <w:szCs w:val="20"/>
          <w:color w:val="auto"/>
        </w:rPr>
        <w:tab/>
      </w:r>
      <w:r>
        <w:rPr>
          <w:rFonts w:ascii="Arial" w:cs="Arial" w:eastAsia="Arial" w:hAnsi="Arial"/>
          <w:sz w:val="14"/>
          <w:szCs w:val="14"/>
          <w:color w:val="auto"/>
        </w:rPr>
        <w:t>at a cash repurchase price equal to the principal amount of the notes to be repurchased, plus accrued and unpaid interest, if any, to, but excluding, the fundamental change repurchase date. See “Description of Notes</w:t>
      </w:r>
      <w:r>
        <w:rPr>
          <w:rFonts w:ascii="Arial" w:cs="Arial" w:eastAsia="Arial" w:hAnsi="Arial"/>
          <w:sz w:val="14"/>
          <w:szCs w:val="14"/>
          <w:i w:val="1"/>
          <w:iCs w:val="1"/>
          <w:color w:val="auto"/>
        </w:rPr>
        <w:t>—</w:t>
      </w:r>
      <w:r>
        <w:rPr>
          <w:rFonts w:ascii="Arial" w:cs="Arial" w:eastAsia="Arial" w:hAnsi="Arial"/>
          <w:sz w:val="14"/>
          <w:szCs w:val="14"/>
          <w:color w:val="auto"/>
        </w:rPr>
        <w:t>Fundamental Change Permits Noteholders to Require Us to Repurchase Notes.”</w:t>
      </w:r>
    </w:p>
    <w:p>
      <w:pPr>
        <w:sectPr>
          <w:pgSz w:w="11900" w:h="16838" w:orient="portrait"/>
          <w:cols w:equalWidth="0" w:num="1">
            <w:col w:w="9019"/>
          </w:cols>
          <w:pgMar w:left="1440" w:top="370" w:right="1440" w:bottom="1440" w:gutter="0" w:footer="0" w:header="0"/>
        </w:sectPr>
      </w:pPr>
    </w:p>
    <w:p>
      <w:pPr>
        <w:spacing w:after="0" w:line="87" w:lineRule="exact"/>
        <w:rPr>
          <w:sz w:val="20"/>
          <w:szCs w:val="20"/>
          <w:color w:val="auto"/>
        </w:rPr>
      </w:pPr>
    </w:p>
    <w:p>
      <w:pPr>
        <w:ind w:left="500"/>
        <w:spacing w:after="0" w:line="264" w:lineRule="auto"/>
        <w:rPr>
          <w:sz w:val="20"/>
          <w:szCs w:val="20"/>
          <w:color w:val="auto"/>
        </w:rPr>
      </w:pPr>
      <w:r>
        <w:rPr>
          <w:rFonts w:ascii="Arial" w:cs="Arial" w:eastAsia="Arial" w:hAnsi="Arial"/>
          <w:sz w:val="14"/>
          <w:szCs w:val="14"/>
          <w:b w:val="1"/>
          <w:bCs w:val="1"/>
          <w:color w:val="auto"/>
        </w:rPr>
        <w:t>Trustee, Paying Agent and Conversion Agent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U.S. Bank Trust Company, National Association.</w:t>
      </w:r>
    </w:p>
    <w:p>
      <w:pPr>
        <w:spacing w:after="0" w:line="286" w:lineRule="exact"/>
        <w:rPr>
          <w:sz w:val="20"/>
          <w:szCs w:val="20"/>
          <w:color w:val="auto"/>
        </w:rPr>
      </w:pPr>
    </w:p>
    <w:p>
      <w:pPr>
        <w:sectPr>
          <w:pgSz w:w="11900" w:h="16838" w:orient="portrait"/>
          <w:cols w:equalWidth="0" w:num="2">
            <w:col w:w="2200" w:space="540"/>
            <w:col w:w="6279"/>
          </w:cols>
          <w:pgMar w:left="1440" w:top="370" w:right="1440" w:bottom="1440" w:gutter="0" w:footer="0" w:header="0"/>
          <w:type w:val="continuous"/>
        </w:sectPr>
      </w:pPr>
    </w:p>
    <w:p>
      <w:pPr>
        <w:ind w:left="500"/>
        <w:spacing w:after="0"/>
        <w:rPr>
          <w:sz w:val="20"/>
          <w:szCs w:val="20"/>
          <w:color w:val="auto"/>
        </w:rPr>
      </w:pPr>
      <w:r>
        <w:rPr>
          <w:rFonts w:ascii="Arial" w:cs="Arial" w:eastAsia="Arial" w:hAnsi="Arial"/>
          <w:sz w:val="12"/>
          <w:szCs w:val="12"/>
          <w:b w:val="1"/>
          <w:bCs w:val="1"/>
          <w:color w:val="auto"/>
        </w:rPr>
        <w:t>No Public Market</w:t>
      </w:r>
    </w:p>
    <w:p>
      <w:pPr>
        <w:spacing w:after="0" w:line="20" w:lineRule="exact"/>
        <w:rPr>
          <w:sz w:val="20"/>
          <w:szCs w:val="20"/>
          <w:color w:val="auto"/>
        </w:rPr>
      </w:pPr>
      <w:r>
        <w:rPr>
          <w:sz w:val="20"/>
          <w:szCs w:val="20"/>
          <w:color w:val="auto"/>
        </w:rPr>
        <w:br w:type="column"/>
      </w:r>
    </w:p>
    <w:p>
      <w:pPr>
        <w:ind w:right="579"/>
        <w:spacing w:after="0" w:line="232" w:lineRule="auto"/>
        <w:rPr>
          <w:sz w:val="20"/>
          <w:szCs w:val="20"/>
          <w:color w:val="auto"/>
        </w:rPr>
      </w:pPr>
      <w:r>
        <w:rPr>
          <w:rFonts w:ascii="Arial" w:cs="Arial" w:eastAsia="Arial" w:hAnsi="Arial"/>
          <w:sz w:val="14"/>
          <w:szCs w:val="14"/>
          <w:color w:val="auto"/>
        </w:rPr>
        <w:t>The notes are a new class of securities for which no public market currently exists. We do not intend to apply to list the notes on any securities exchange or for quotation on any inter-dealer quotation system. Accordingly, a liquid market for the notes may never develop. Certain of the underwriters have advised us that they intend to make a market in the notes. However, they are not obligated to do so and may discontinue any market-making activity at any time and without notice.</w:t>
      </w:r>
    </w:p>
    <w:p>
      <w:pPr>
        <w:spacing w:after="0" w:line="89" w:lineRule="exact"/>
        <w:rPr>
          <w:sz w:val="20"/>
          <w:szCs w:val="20"/>
          <w:color w:val="auto"/>
        </w:rPr>
      </w:pPr>
    </w:p>
    <w:p>
      <w:pPr>
        <w:sectPr>
          <w:pgSz w:w="11900" w:h="16838" w:orient="portrait"/>
          <w:cols w:equalWidth="0" w:num="2">
            <w:col w:w="2020" w:space="720"/>
            <w:col w:w="6279"/>
          </w:cols>
          <w:pgMar w:left="1440" w:top="370" w:right="1440" w:bottom="1440" w:gutter="0" w:footer="0" w:header="0"/>
          <w:type w:val="continuous"/>
        </w:sectPr>
      </w:pPr>
    </w:p>
    <w:p>
      <w:pPr>
        <w:ind w:left="500"/>
        <w:spacing w:after="0"/>
        <w:rPr>
          <w:sz w:val="20"/>
          <w:szCs w:val="20"/>
          <w:color w:val="auto"/>
        </w:rPr>
      </w:pPr>
      <w:r>
        <w:rPr>
          <w:rFonts w:ascii="Arial" w:cs="Arial" w:eastAsia="Arial" w:hAnsi="Arial"/>
          <w:sz w:val="12"/>
          <w:szCs w:val="12"/>
          <w:b w:val="1"/>
          <w:bCs w:val="1"/>
          <w:color w:val="auto"/>
        </w:rPr>
        <w:t xml:space="preserve">The Nasdaq Global Select Market  </w:t>
      </w:r>
      <w:r>
        <w:rPr>
          <w:rFonts w:ascii="Arial" w:cs="Arial" w:eastAsia="Arial" w:hAnsi="Arial"/>
          <w:sz w:val="12"/>
          <w:szCs w:val="12"/>
          <w:color w:val="auto"/>
        </w:rPr>
        <w:t>Our common stock is listed on the Nasdaq Global Select Market under the symbol “RVMD.” On</w:t>
      </w:r>
    </w:p>
    <w:p>
      <w:pPr>
        <w:spacing w:after="0" w:line="28"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1780" w:type="dxa"/>
            <w:vAlign w:val="bottom"/>
          </w:tcPr>
          <w:p>
            <w:pPr>
              <w:ind w:left="140"/>
              <w:spacing w:after="0"/>
              <w:rPr>
                <w:sz w:val="20"/>
                <w:szCs w:val="20"/>
                <w:color w:val="auto"/>
              </w:rPr>
            </w:pPr>
            <w:r>
              <w:rPr>
                <w:rFonts w:ascii="Arial" w:cs="Arial" w:eastAsia="Arial" w:hAnsi="Arial"/>
                <w:sz w:val="14"/>
                <w:szCs w:val="14"/>
                <w:b w:val="1"/>
                <w:bCs w:val="1"/>
                <w:color w:val="auto"/>
              </w:rPr>
              <w:t>Symbol</w:t>
            </w:r>
          </w:p>
        </w:tc>
        <w:tc>
          <w:tcPr>
            <w:tcW w:w="6500" w:type="dxa"/>
            <w:vAlign w:val="bottom"/>
          </w:tcPr>
          <w:p>
            <w:pPr>
              <w:ind w:left="600"/>
              <w:spacing w:after="0"/>
              <w:rPr>
                <w:sz w:val="20"/>
                <w:szCs w:val="20"/>
                <w:color w:val="auto"/>
              </w:rPr>
            </w:pPr>
            <w:r>
              <w:rPr>
                <w:rFonts w:ascii="Arial" w:cs="Arial" w:eastAsia="Arial" w:hAnsi="Arial"/>
                <w:sz w:val="14"/>
                <w:szCs w:val="14"/>
                <w:color w:val="auto"/>
              </w:rPr>
              <w:t>April 14, 2026, the last reported sale price of our common stock was $147.01 per share.</w:t>
            </w:r>
          </w:p>
        </w:tc>
      </w:tr>
      <w:tr>
        <w:trPr>
          <w:trHeight w:val="228"/>
        </w:trPr>
        <w:tc>
          <w:tcPr>
            <w:tcW w:w="1780" w:type="dxa"/>
            <w:vAlign w:val="bottom"/>
          </w:tcPr>
          <w:p>
            <w:pPr>
              <w:ind w:left="140"/>
              <w:spacing w:after="0"/>
              <w:rPr>
                <w:sz w:val="20"/>
                <w:szCs w:val="20"/>
                <w:color w:val="auto"/>
              </w:rPr>
            </w:pPr>
            <w:r>
              <w:rPr>
                <w:rFonts w:ascii="Arial" w:cs="Arial" w:eastAsia="Arial" w:hAnsi="Arial"/>
                <w:sz w:val="14"/>
                <w:szCs w:val="14"/>
                <w:b w:val="1"/>
                <w:bCs w:val="1"/>
                <w:color w:val="auto"/>
              </w:rPr>
              <w:t>Use of Proceeds</w:t>
            </w:r>
          </w:p>
        </w:tc>
        <w:tc>
          <w:tcPr>
            <w:tcW w:w="6500" w:type="dxa"/>
            <w:vAlign w:val="bottom"/>
          </w:tcPr>
          <w:p>
            <w:pPr>
              <w:ind w:left="600"/>
              <w:spacing w:after="0"/>
              <w:rPr>
                <w:sz w:val="20"/>
                <w:szCs w:val="20"/>
                <w:color w:val="auto"/>
              </w:rPr>
            </w:pPr>
            <w:r>
              <w:rPr>
                <w:rFonts w:ascii="Arial" w:cs="Arial" w:eastAsia="Arial" w:hAnsi="Arial"/>
                <w:sz w:val="14"/>
                <w:szCs w:val="14"/>
                <w:color w:val="auto"/>
              </w:rPr>
              <w:t>We estimate that the net proceeds to us from this offering will be approximately $486.8 million,</w:t>
            </w:r>
          </w:p>
        </w:tc>
      </w:tr>
      <w:tr>
        <w:trPr>
          <w:trHeight w:val="152"/>
        </w:trPr>
        <w:tc>
          <w:tcPr>
            <w:tcW w:w="1780" w:type="dxa"/>
            <w:vAlign w:val="bottom"/>
          </w:tcPr>
          <w:p>
            <w:pPr>
              <w:spacing w:after="0"/>
              <w:rPr>
                <w:sz w:val="13"/>
                <w:szCs w:val="13"/>
                <w:color w:val="auto"/>
              </w:rPr>
            </w:pPr>
          </w:p>
        </w:tc>
        <w:tc>
          <w:tcPr>
            <w:tcW w:w="6500" w:type="dxa"/>
            <w:vAlign w:val="bottom"/>
          </w:tcPr>
          <w:p>
            <w:pPr>
              <w:ind w:left="600"/>
              <w:spacing w:after="0" w:line="152" w:lineRule="exact"/>
              <w:rPr>
                <w:sz w:val="20"/>
                <w:szCs w:val="20"/>
                <w:color w:val="auto"/>
              </w:rPr>
            </w:pPr>
            <w:r>
              <w:rPr>
                <w:rFonts w:ascii="Arial" w:cs="Arial" w:eastAsia="Arial" w:hAnsi="Arial"/>
                <w:sz w:val="14"/>
                <w:szCs w:val="14"/>
                <w:color w:val="auto"/>
              </w:rPr>
              <w:t>after deducting the underwriting discounts and commissions and our estimated offering</w:t>
            </w:r>
          </w:p>
        </w:tc>
      </w:tr>
      <w:tr>
        <w:trPr>
          <w:trHeight w:val="152"/>
        </w:trPr>
        <w:tc>
          <w:tcPr>
            <w:tcW w:w="1780" w:type="dxa"/>
            <w:vAlign w:val="bottom"/>
          </w:tcPr>
          <w:p>
            <w:pPr>
              <w:spacing w:after="0"/>
              <w:rPr>
                <w:sz w:val="13"/>
                <w:szCs w:val="13"/>
                <w:color w:val="auto"/>
              </w:rPr>
            </w:pPr>
          </w:p>
        </w:tc>
        <w:tc>
          <w:tcPr>
            <w:tcW w:w="6500" w:type="dxa"/>
            <w:vAlign w:val="bottom"/>
          </w:tcPr>
          <w:p>
            <w:pPr>
              <w:ind w:left="600"/>
              <w:spacing w:after="0" w:line="152" w:lineRule="exact"/>
              <w:rPr>
                <w:sz w:val="20"/>
                <w:szCs w:val="20"/>
                <w:color w:val="auto"/>
              </w:rPr>
            </w:pPr>
            <w:r>
              <w:rPr>
                <w:rFonts w:ascii="Arial" w:cs="Arial" w:eastAsia="Arial" w:hAnsi="Arial"/>
                <w:sz w:val="14"/>
                <w:szCs w:val="14"/>
                <w:color w:val="auto"/>
              </w:rPr>
              <w:t>expenses. We estimate that the net proceeds to us from the concurrent common stock offering</w:t>
            </w:r>
          </w:p>
        </w:tc>
      </w:tr>
      <w:tr>
        <w:trPr>
          <w:trHeight w:val="152"/>
        </w:trPr>
        <w:tc>
          <w:tcPr>
            <w:tcW w:w="1780" w:type="dxa"/>
            <w:vAlign w:val="bottom"/>
          </w:tcPr>
          <w:p>
            <w:pPr>
              <w:spacing w:after="0"/>
              <w:rPr>
                <w:sz w:val="13"/>
                <w:szCs w:val="13"/>
                <w:color w:val="auto"/>
              </w:rPr>
            </w:pPr>
          </w:p>
        </w:tc>
        <w:tc>
          <w:tcPr>
            <w:tcW w:w="6500" w:type="dxa"/>
            <w:vAlign w:val="bottom"/>
          </w:tcPr>
          <w:p>
            <w:pPr>
              <w:ind w:left="600"/>
              <w:spacing w:after="0" w:line="152" w:lineRule="exact"/>
              <w:rPr>
                <w:sz w:val="20"/>
                <w:szCs w:val="20"/>
                <w:color w:val="auto"/>
              </w:rPr>
            </w:pPr>
            <w:r>
              <w:rPr>
                <w:rFonts w:ascii="Arial" w:cs="Arial" w:eastAsia="Arial" w:hAnsi="Arial"/>
                <w:sz w:val="14"/>
                <w:szCs w:val="14"/>
                <w:color w:val="auto"/>
              </w:rPr>
              <w:t>described below, if it is consummated, will be approximately $1,435.0 million (or approximately</w:t>
            </w:r>
          </w:p>
        </w:tc>
      </w:tr>
      <w:tr>
        <w:trPr>
          <w:trHeight w:val="152"/>
        </w:trPr>
        <w:tc>
          <w:tcPr>
            <w:tcW w:w="1780" w:type="dxa"/>
            <w:vAlign w:val="bottom"/>
          </w:tcPr>
          <w:p>
            <w:pPr>
              <w:spacing w:after="0"/>
              <w:rPr>
                <w:sz w:val="13"/>
                <w:szCs w:val="13"/>
                <w:color w:val="auto"/>
              </w:rPr>
            </w:pPr>
          </w:p>
        </w:tc>
        <w:tc>
          <w:tcPr>
            <w:tcW w:w="6500" w:type="dxa"/>
            <w:vAlign w:val="bottom"/>
          </w:tcPr>
          <w:p>
            <w:pPr>
              <w:ind w:left="600"/>
              <w:spacing w:after="0" w:line="152" w:lineRule="exact"/>
              <w:rPr>
                <w:sz w:val="20"/>
                <w:szCs w:val="20"/>
                <w:color w:val="auto"/>
              </w:rPr>
            </w:pPr>
            <w:r>
              <w:rPr>
                <w:rFonts w:ascii="Arial" w:cs="Arial" w:eastAsia="Arial" w:hAnsi="Arial"/>
                <w:sz w:val="14"/>
                <w:szCs w:val="14"/>
                <w:color w:val="auto"/>
                <w:w w:val="99"/>
              </w:rPr>
              <w:t>$1,650.4 million if the underwriters of the concurrent common stock offering exercise in full their</w:t>
            </w:r>
          </w:p>
        </w:tc>
      </w:tr>
      <w:tr>
        <w:trPr>
          <w:trHeight w:val="152"/>
        </w:trPr>
        <w:tc>
          <w:tcPr>
            <w:tcW w:w="1780" w:type="dxa"/>
            <w:vAlign w:val="bottom"/>
          </w:tcPr>
          <w:p>
            <w:pPr>
              <w:spacing w:after="0"/>
              <w:rPr>
                <w:sz w:val="13"/>
                <w:szCs w:val="13"/>
                <w:color w:val="auto"/>
              </w:rPr>
            </w:pPr>
          </w:p>
        </w:tc>
        <w:tc>
          <w:tcPr>
            <w:tcW w:w="6500" w:type="dxa"/>
            <w:vAlign w:val="bottom"/>
          </w:tcPr>
          <w:p>
            <w:pPr>
              <w:ind w:left="600"/>
              <w:spacing w:after="0" w:line="152" w:lineRule="exact"/>
              <w:rPr>
                <w:sz w:val="20"/>
                <w:szCs w:val="20"/>
                <w:color w:val="auto"/>
              </w:rPr>
            </w:pPr>
            <w:r>
              <w:rPr>
                <w:rFonts w:ascii="Arial" w:cs="Arial" w:eastAsia="Arial" w:hAnsi="Arial"/>
                <w:sz w:val="14"/>
                <w:szCs w:val="14"/>
                <w:color w:val="auto"/>
              </w:rPr>
              <w:t>option to purchase additional shares of common stock), after deducting the underwriting</w:t>
            </w:r>
          </w:p>
        </w:tc>
      </w:tr>
      <w:tr>
        <w:trPr>
          <w:trHeight w:val="176"/>
        </w:trPr>
        <w:tc>
          <w:tcPr>
            <w:tcW w:w="1780" w:type="dxa"/>
            <w:vAlign w:val="bottom"/>
          </w:tcPr>
          <w:p>
            <w:pPr>
              <w:spacing w:after="0"/>
              <w:rPr>
                <w:sz w:val="15"/>
                <w:szCs w:val="15"/>
                <w:color w:val="auto"/>
              </w:rPr>
            </w:pPr>
          </w:p>
        </w:tc>
        <w:tc>
          <w:tcPr>
            <w:tcW w:w="6500" w:type="dxa"/>
            <w:vAlign w:val="bottom"/>
          </w:tcPr>
          <w:p>
            <w:pPr>
              <w:ind w:left="600"/>
              <w:spacing w:after="0"/>
              <w:rPr>
                <w:sz w:val="20"/>
                <w:szCs w:val="20"/>
                <w:color w:val="auto"/>
              </w:rPr>
            </w:pPr>
            <w:r>
              <w:rPr>
                <w:rFonts w:ascii="Arial" w:cs="Arial" w:eastAsia="Arial" w:hAnsi="Arial"/>
                <w:sz w:val="14"/>
                <w:szCs w:val="14"/>
                <w:color w:val="auto"/>
              </w:rPr>
              <w:t>discounts and commissions and our estimated offering expenses.</w:t>
            </w:r>
          </w:p>
        </w:tc>
      </w:tr>
      <w:tr>
        <w:trPr>
          <w:trHeight w:val="105"/>
        </w:trPr>
        <w:tc>
          <w:tcPr>
            <w:tcW w:w="178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r>
      <w:tr>
        <w:trPr>
          <w:trHeight w:val="270"/>
        </w:trPr>
        <w:tc>
          <w:tcPr>
            <w:tcW w:w="1780" w:type="dxa"/>
            <w:vAlign w:val="bottom"/>
          </w:tcPr>
          <w:p>
            <w:pPr>
              <w:spacing w:after="0"/>
              <w:rPr>
                <w:sz w:val="23"/>
                <w:szCs w:val="23"/>
                <w:color w:val="auto"/>
              </w:rPr>
            </w:pPr>
          </w:p>
        </w:tc>
        <w:tc>
          <w:tcPr>
            <w:tcW w:w="6500" w:type="dxa"/>
            <w:vAlign w:val="bottom"/>
          </w:tcPr>
          <w:p>
            <w:pPr>
              <w:ind w:left="2260"/>
              <w:spacing w:after="0"/>
              <w:rPr>
                <w:sz w:val="20"/>
                <w:szCs w:val="20"/>
                <w:color w:val="auto"/>
              </w:rPr>
            </w:pPr>
            <w:r>
              <w:rPr>
                <w:rFonts w:ascii="Arial" w:cs="Arial" w:eastAsia="Arial" w:hAnsi="Arial"/>
                <w:sz w:val="14"/>
                <w:szCs w:val="14"/>
                <w:color w:val="auto"/>
              </w:rPr>
              <w:t>S-4</w:t>
            </w:r>
          </w:p>
        </w:tc>
      </w:tr>
    </w:tbl>
    <w:p>
      <w:pPr>
        <w:sectPr>
          <w:pgSz w:w="11900" w:h="16838" w:orient="portrait"/>
          <w:cols w:equalWidth="0" w:num="1">
            <w:col w:w="9019"/>
          </w:cols>
          <w:pgMar w:left="1440" w:top="370" w:right="1440" w:bottom="1440" w:gutter="0" w:footer="0" w:header="0"/>
          <w:type w:val="continuous"/>
        </w:sectPr>
      </w:pPr>
    </w:p>
    <w:bookmarkStart w:id="7" w:name="page8"/>
    <w:bookmarkEnd w:id="7"/>
    <w:p>
      <w:pPr>
        <w:ind w:left="2740" w:right="559"/>
        <w:spacing w:after="0" w:line="23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88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710" cy="3889375"/>
                    </a:xfrm>
                    <a:prstGeom prst="rect">
                      <a:avLst/>
                    </a:prstGeom>
                    <a:noFill/>
                  </pic:spPr>
                </pic:pic>
              </a:graphicData>
            </a:graphic>
          </wp:anchor>
        </w:drawing>
        <w:t>We intend to use the net proceeds from this offering and, if it is consummated, the concurrent common stock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 See “Use of Proceeds.”</w:t>
      </w:r>
    </w:p>
    <w:p>
      <w:pPr>
        <w:spacing w:after="0" w:line="88" w:lineRule="exact"/>
        <w:rPr>
          <w:sz w:val="20"/>
          <w:szCs w:val="20"/>
          <w:color w:val="auto"/>
        </w:rPr>
      </w:pPr>
    </w:p>
    <w:p>
      <w:pPr>
        <w:ind w:left="500"/>
        <w:spacing w:after="0"/>
        <w:tabs>
          <w:tab w:leader="none" w:pos="2720" w:val="left"/>
        </w:tabs>
        <w:rPr>
          <w:sz w:val="20"/>
          <w:szCs w:val="20"/>
          <w:color w:val="auto"/>
        </w:rPr>
      </w:pPr>
      <w:r>
        <w:rPr>
          <w:rFonts w:ascii="Arial" w:cs="Arial" w:eastAsia="Arial" w:hAnsi="Arial"/>
          <w:sz w:val="14"/>
          <w:szCs w:val="14"/>
          <w:b w:val="1"/>
          <w:bCs w:val="1"/>
          <w:color w:val="auto"/>
        </w:rPr>
        <w:t>Concurrent Common Stock</w:t>
      </w:r>
      <w:r>
        <w:rPr>
          <w:sz w:val="20"/>
          <w:szCs w:val="20"/>
          <w:color w:val="auto"/>
        </w:rPr>
        <w:tab/>
      </w:r>
      <w:r>
        <w:rPr>
          <w:rFonts w:ascii="Arial" w:cs="Arial" w:eastAsia="Arial" w:hAnsi="Arial"/>
          <w:sz w:val="12"/>
          <w:szCs w:val="12"/>
          <w:color w:val="auto"/>
        </w:rPr>
        <w:t>Concurrently with this offering, we are offering, pursuant to a separate prospectus supplement,</w:t>
      </w:r>
    </w:p>
    <w:p>
      <w:pPr>
        <w:spacing w:after="0" w:line="5" w:lineRule="exact"/>
        <w:rPr>
          <w:sz w:val="20"/>
          <w:szCs w:val="20"/>
          <w:color w:val="auto"/>
        </w:rPr>
      </w:pPr>
    </w:p>
    <w:p>
      <w:pPr>
        <w:ind w:left="2740" w:right="579" w:hanging="2239"/>
        <w:spacing w:after="0" w:line="233" w:lineRule="auto"/>
        <w:tabs>
          <w:tab w:leader="none" w:pos="272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color w:val="auto"/>
        </w:rPr>
        <w:t>10,563,381 shares of our common stock, plus up to an additional 1,584,506 shares of our common stock that the underwriters of the concurrent common stock offering have the option to purchase from us.</w:t>
      </w:r>
    </w:p>
    <w:p>
      <w:pPr>
        <w:spacing w:after="0" w:line="87" w:lineRule="exact"/>
        <w:rPr>
          <w:sz w:val="20"/>
          <w:szCs w:val="20"/>
          <w:color w:val="auto"/>
        </w:rPr>
      </w:pPr>
    </w:p>
    <w:p>
      <w:pPr>
        <w:ind w:left="2740" w:right="559"/>
        <w:spacing w:after="0" w:line="271" w:lineRule="auto"/>
        <w:rPr>
          <w:sz w:val="20"/>
          <w:szCs w:val="20"/>
          <w:color w:val="auto"/>
        </w:rPr>
      </w:pPr>
      <w:r>
        <w:rPr>
          <w:rFonts w:ascii="Arial" w:cs="Arial" w:eastAsia="Arial" w:hAnsi="Arial"/>
          <w:sz w:val="12"/>
          <w:szCs w:val="12"/>
          <w:color w:val="auto"/>
        </w:rPr>
        <w:t>The completion of this offering is not contingent on the completion of the concurrent common stock offering, and the completion of the concurrent common stock offering is not contingent on the completion of this offering. Accordingly, you should not assume that the concurrent common stock offering will be consummated on the terms described in this prospectus supplement, if at all, or that we will receive any additional proceeds from the concurrent common stock offering. This prospectus supplement does not constitute an offer to sell, or the solicitation of an offer to buy, any securities being offered in the concurrent common stock offering. The prospectus supplement for the concurrent common stock offering does not constitute an offer to sell, or the solicitation of an offer to buy, any of the notes, or the shares of common stock, if any, issuable upon conversion of the notes, we are offering pursuant to this prospectus supplement. See “The Concurrent Common Stock Offering.”</w:t>
      </w:r>
    </w:p>
    <w:p>
      <w:pPr>
        <w:spacing w:after="0" w:line="226" w:lineRule="exact"/>
        <w:rPr>
          <w:sz w:val="20"/>
          <w:szCs w:val="20"/>
          <w:color w:val="auto"/>
        </w:rPr>
      </w:pPr>
    </w:p>
    <w:p>
      <w:pPr>
        <w:ind w:left="500"/>
        <w:spacing w:after="0"/>
        <w:tabs>
          <w:tab w:leader="none" w:pos="2720" w:val="left"/>
        </w:tabs>
        <w:rPr>
          <w:sz w:val="20"/>
          <w:szCs w:val="20"/>
          <w:color w:val="auto"/>
        </w:rPr>
      </w:pPr>
      <w:r>
        <w:rPr>
          <w:rFonts w:ascii="Arial" w:cs="Arial" w:eastAsia="Arial" w:hAnsi="Arial"/>
          <w:sz w:val="14"/>
          <w:szCs w:val="14"/>
          <w:b w:val="1"/>
          <w:bCs w:val="1"/>
          <w:color w:val="auto"/>
        </w:rPr>
        <w:t>Risk Factors</w:t>
      </w:r>
      <w:r>
        <w:rPr>
          <w:sz w:val="20"/>
          <w:szCs w:val="20"/>
          <w:color w:val="auto"/>
        </w:rPr>
        <w:tab/>
      </w:r>
      <w:r>
        <w:rPr>
          <w:rFonts w:ascii="Arial" w:cs="Arial" w:eastAsia="Arial" w:hAnsi="Arial"/>
          <w:sz w:val="12"/>
          <w:szCs w:val="12"/>
          <w:color w:val="auto"/>
        </w:rPr>
        <w:t>Investing in the notes involves risks. See “Risk Factors.”</w:t>
      </w:r>
    </w:p>
    <w:p>
      <w:pPr>
        <w:spacing w:after="0" w:line="113" w:lineRule="exact"/>
        <w:rPr>
          <w:sz w:val="20"/>
          <w:szCs w:val="20"/>
          <w:color w:val="auto"/>
        </w:rPr>
      </w:pPr>
    </w:p>
    <w:p>
      <w:pPr>
        <w:ind w:left="500"/>
        <w:spacing w:after="0"/>
        <w:tabs>
          <w:tab w:leader="none" w:pos="2720" w:val="left"/>
        </w:tabs>
        <w:rPr>
          <w:sz w:val="20"/>
          <w:szCs w:val="20"/>
          <w:color w:val="auto"/>
        </w:rPr>
      </w:pPr>
      <w:r>
        <w:rPr>
          <w:rFonts w:ascii="Arial" w:cs="Arial" w:eastAsia="Arial" w:hAnsi="Arial"/>
          <w:sz w:val="14"/>
          <w:szCs w:val="14"/>
          <w:b w:val="1"/>
          <w:bCs w:val="1"/>
          <w:color w:val="auto"/>
        </w:rPr>
        <w:t>Material U.S. Federal Income Tax</w:t>
      </w:r>
      <w:r>
        <w:rPr>
          <w:sz w:val="20"/>
          <w:szCs w:val="20"/>
          <w:color w:val="auto"/>
        </w:rPr>
        <w:tab/>
      </w:r>
      <w:r>
        <w:rPr>
          <w:rFonts w:ascii="Arial" w:cs="Arial" w:eastAsia="Arial" w:hAnsi="Arial"/>
          <w:sz w:val="12"/>
          <w:szCs w:val="12"/>
          <w:color w:val="auto"/>
        </w:rPr>
        <w:t>For a description of material U.S. federal income tax considerations of purchasing, owning,</w:t>
      </w:r>
    </w:p>
    <w:p>
      <w:pPr>
        <w:spacing w:after="0" w:line="5" w:lineRule="exact"/>
        <w:rPr>
          <w:sz w:val="20"/>
          <w:szCs w:val="20"/>
          <w:color w:val="auto"/>
        </w:rPr>
      </w:pPr>
    </w:p>
    <w:p>
      <w:pPr>
        <w:ind w:left="2740" w:right="519" w:hanging="2239"/>
        <w:spacing w:after="0" w:line="233" w:lineRule="auto"/>
        <w:tabs>
          <w:tab w:leader="none" w:pos="2720" w:val="left"/>
        </w:tabs>
        <w:rPr>
          <w:sz w:val="20"/>
          <w:szCs w:val="20"/>
          <w:color w:val="auto"/>
        </w:rPr>
      </w:pPr>
      <w:r>
        <w:rPr>
          <w:rFonts w:ascii="Arial" w:cs="Arial" w:eastAsia="Arial" w:hAnsi="Arial"/>
          <w:sz w:val="14"/>
          <w:szCs w:val="14"/>
          <w:b w:val="1"/>
          <w:bCs w:val="1"/>
          <w:color w:val="auto"/>
        </w:rPr>
        <w:t>Considerations</w:t>
      </w:r>
      <w:r>
        <w:rPr>
          <w:sz w:val="20"/>
          <w:szCs w:val="20"/>
          <w:color w:val="auto"/>
        </w:rPr>
        <w:tab/>
      </w:r>
      <w:r>
        <w:rPr>
          <w:rFonts w:ascii="Arial" w:cs="Arial" w:eastAsia="Arial" w:hAnsi="Arial"/>
          <w:sz w:val="14"/>
          <w:szCs w:val="14"/>
          <w:color w:val="auto"/>
        </w:rPr>
        <w:t>converting and disposing of the notes and owning and disposing of shares of our common stock, if any, issuable upon conversion of the notes, see “Material U.S. Federal Income Tax Considerations.”</w:t>
      </w:r>
    </w:p>
    <w:p>
      <w:pPr>
        <w:spacing w:after="0" w:line="7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800" w:type="dxa"/>
            <w:vAlign w:val="bottom"/>
          </w:tcPr>
          <w:p>
            <w:pPr>
              <w:ind w:left="140"/>
              <w:spacing w:after="0"/>
              <w:rPr>
                <w:sz w:val="20"/>
                <w:szCs w:val="20"/>
                <w:color w:val="auto"/>
              </w:rPr>
            </w:pPr>
            <w:r>
              <w:rPr>
                <w:rFonts w:ascii="Arial" w:cs="Arial" w:eastAsia="Arial" w:hAnsi="Arial"/>
                <w:sz w:val="14"/>
                <w:szCs w:val="14"/>
                <w:b w:val="1"/>
                <w:bCs w:val="1"/>
                <w:color w:val="auto"/>
              </w:rPr>
              <w:t>Book-Entry Form</w:t>
            </w:r>
          </w:p>
        </w:tc>
        <w:tc>
          <w:tcPr>
            <w:tcW w:w="6480" w:type="dxa"/>
            <w:vAlign w:val="bottom"/>
          </w:tcPr>
          <w:p>
            <w:pPr>
              <w:ind w:left="580"/>
              <w:spacing w:after="0"/>
              <w:rPr>
                <w:sz w:val="20"/>
                <w:szCs w:val="20"/>
                <w:color w:val="auto"/>
              </w:rPr>
            </w:pPr>
            <w:r>
              <w:rPr>
                <w:rFonts w:ascii="Arial" w:cs="Arial" w:eastAsia="Arial" w:hAnsi="Arial"/>
                <w:sz w:val="14"/>
                <w:szCs w:val="14"/>
                <w:color w:val="auto"/>
                <w:w w:val="99"/>
              </w:rPr>
              <w:t>We will initially issue the notes in the form of one or more global notes registered in the name of</w:t>
            </w:r>
          </w:p>
        </w:tc>
      </w:tr>
      <w:tr>
        <w:trPr>
          <w:trHeight w:val="152"/>
        </w:trPr>
        <w:tc>
          <w:tcPr>
            <w:tcW w:w="1800" w:type="dxa"/>
            <w:vAlign w:val="bottom"/>
          </w:tcPr>
          <w:p>
            <w:pPr>
              <w:spacing w:after="0"/>
              <w:rPr>
                <w:sz w:val="13"/>
                <w:szCs w:val="13"/>
                <w:color w:val="auto"/>
              </w:rPr>
            </w:pPr>
          </w:p>
        </w:tc>
        <w:tc>
          <w:tcPr>
            <w:tcW w:w="6480" w:type="dxa"/>
            <w:vAlign w:val="bottom"/>
          </w:tcPr>
          <w:p>
            <w:pPr>
              <w:ind w:left="580"/>
              <w:spacing w:after="0" w:line="152" w:lineRule="exact"/>
              <w:rPr>
                <w:sz w:val="20"/>
                <w:szCs w:val="20"/>
                <w:color w:val="auto"/>
              </w:rPr>
            </w:pPr>
            <w:r>
              <w:rPr>
                <w:rFonts w:ascii="Arial" w:cs="Arial" w:eastAsia="Arial" w:hAnsi="Arial"/>
                <w:sz w:val="14"/>
                <w:szCs w:val="14"/>
                <w:color w:val="auto"/>
              </w:rPr>
              <w:t>Cede &amp; Co., as nominee of The Depository Trust Company (“DTC”), without interest coupons,</w:t>
            </w:r>
          </w:p>
        </w:tc>
      </w:tr>
      <w:tr>
        <w:trPr>
          <w:trHeight w:val="152"/>
        </w:trPr>
        <w:tc>
          <w:tcPr>
            <w:tcW w:w="1800" w:type="dxa"/>
            <w:vAlign w:val="bottom"/>
          </w:tcPr>
          <w:p>
            <w:pPr>
              <w:spacing w:after="0"/>
              <w:rPr>
                <w:sz w:val="13"/>
                <w:szCs w:val="13"/>
                <w:color w:val="auto"/>
              </w:rPr>
            </w:pPr>
          </w:p>
        </w:tc>
        <w:tc>
          <w:tcPr>
            <w:tcW w:w="6480" w:type="dxa"/>
            <w:vAlign w:val="bottom"/>
          </w:tcPr>
          <w:p>
            <w:pPr>
              <w:ind w:left="580"/>
              <w:spacing w:after="0" w:line="152" w:lineRule="exact"/>
              <w:rPr>
                <w:sz w:val="20"/>
                <w:szCs w:val="20"/>
                <w:color w:val="auto"/>
              </w:rPr>
            </w:pPr>
            <w:r>
              <w:rPr>
                <w:rFonts w:ascii="Arial" w:cs="Arial" w:eastAsia="Arial" w:hAnsi="Arial"/>
                <w:sz w:val="14"/>
                <w:szCs w:val="14"/>
                <w:color w:val="auto"/>
              </w:rPr>
              <w:t>which we will deposit with the trustee as custodian for DTC. Beneficial interests in global notes</w:t>
            </w:r>
          </w:p>
        </w:tc>
      </w:tr>
      <w:tr>
        <w:trPr>
          <w:trHeight w:val="152"/>
        </w:trPr>
        <w:tc>
          <w:tcPr>
            <w:tcW w:w="1800" w:type="dxa"/>
            <w:vAlign w:val="bottom"/>
          </w:tcPr>
          <w:p>
            <w:pPr>
              <w:spacing w:after="0"/>
              <w:rPr>
                <w:sz w:val="13"/>
                <w:szCs w:val="13"/>
                <w:color w:val="auto"/>
              </w:rPr>
            </w:pPr>
          </w:p>
        </w:tc>
        <w:tc>
          <w:tcPr>
            <w:tcW w:w="6480" w:type="dxa"/>
            <w:vAlign w:val="bottom"/>
          </w:tcPr>
          <w:p>
            <w:pPr>
              <w:ind w:left="580"/>
              <w:spacing w:after="0" w:line="152" w:lineRule="exact"/>
              <w:rPr>
                <w:sz w:val="20"/>
                <w:szCs w:val="20"/>
                <w:color w:val="auto"/>
              </w:rPr>
            </w:pPr>
            <w:r>
              <w:rPr>
                <w:rFonts w:ascii="Arial" w:cs="Arial" w:eastAsia="Arial" w:hAnsi="Arial"/>
                <w:sz w:val="14"/>
                <w:szCs w:val="14"/>
                <w:color w:val="auto"/>
              </w:rPr>
              <w:t>will be shown on, and transfers of global notes will be effected only through, the records</w:t>
            </w:r>
          </w:p>
        </w:tc>
      </w:tr>
      <w:tr>
        <w:trPr>
          <w:trHeight w:val="152"/>
        </w:trPr>
        <w:tc>
          <w:tcPr>
            <w:tcW w:w="1800" w:type="dxa"/>
            <w:vAlign w:val="bottom"/>
          </w:tcPr>
          <w:p>
            <w:pPr>
              <w:spacing w:after="0"/>
              <w:rPr>
                <w:sz w:val="13"/>
                <w:szCs w:val="13"/>
                <w:color w:val="auto"/>
              </w:rPr>
            </w:pPr>
          </w:p>
        </w:tc>
        <w:tc>
          <w:tcPr>
            <w:tcW w:w="6480" w:type="dxa"/>
            <w:vAlign w:val="bottom"/>
          </w:tcPr>
          <w:p>
            <w:pPr>
              <w:ind w:left="580"/>
              <w:spacing w:after="0" w:line="152" w:lineRule="exact"/>
              <w:rPr>
                <w:sz w:val="20"/>
                <w:szCs w:val="20"/>
                <w:color w:val="auto"/>
              </w:rPr>
            </w:pPr>
            <w:r>
              <w:rPr>
                <w:rFonts w:ascii="Arial" w:cs="Arial" w:eastAsia="Arial" w:hAnsi="Arial"/>
                <w:sz w:val="14"/>
                <w:szCs w:val="14"/>
                <w:color w:val="auto"/>
              </w:rPr>
              <w:t>maintained by DTC. Except in limited circumstances, we will not issue certificated notes. See</w:t>
            </w:r>
          </w:p>
        </w:tc>
      </w:tr>
      <w:tr>
        <w:trPr>
          <w:trHeight w:val="176"/>
        </w:trPr>
        <w:tc>
          <w:tcPr>
            <w:tcW w:w="1800" w:type="dxa"/>
            <w:vAlign w:val="bottom"/>
          </w:tcPr>
          <w:p>
            <w:pPr>
              <w:spacing w:after="0"/>
              <w:rPr>
                <w:sz w:val="15"/>
                <w:szCs w:val="15"/>
                <w:color w:val="auto"/>
              </w:rPr>
            </w:pPr>
          </w:p>
        </w:tc>
        <w:tc>
          <w:tcPr>
            <w:tcW w:w="6480" w:type="dxa"/>
            <w:vAlign w:val="bottom"/>
          </w:tcPr>
          <w:p>
            <w:pPr>
              <w:ind w:left="580"/>
              <w:spacing w:after="0"/>
              <w:rPr>
                <w:sz w:val="20"/>
                <w:szCs w:val="20"/>
                <w:color w:val="auto"/>
              </w:rPr>
            </w:pPr>
            <w:r>
              <w:rPr>
                <w:rFonts w:ascii="Arial" w:cs="Arial" w:eastAsia="Arial" w:hAnsi="Arial"/>
                <w:sz w:val="14"/>
                <w:szCs w:val="14"/>
                <w:color w:val="auto"/>
              </w:rPr>
              <w:t>“Description of Notes—Book Entry, Settlement and Clearance.”</w:t>
            </w:r>
          </w:p>
        </w:tc>
      </w:tr>
      <w:tr>
        <w:trPr>
          <w:trHeight w:val="105"/>
        </w:trPr>
        <w:tc>
          <w:tcPr>
            <w:tcW w:w="1800" w:type="dxa"/>
            <w:vAlign w:val="bottom"/>
            <w:tcBorders>
              <w:bottom w:val="single" w:sz="8" w:color="auto"/>
            </w:tcBorders>
          </w:tcPr>
          <w:p>
            <w:pPr>
              <w:spacing w:after="0"/>
              <w:rPr>
                <w:sz w:val="9"/>
                <w:szCs w:val="9"/>
                <w:color w:val="auto"/>
              </w:rPr>
            </w:pPr>
          </w:p>
        </w:tc>
        <w:tc>
          <w:tcPr>
            <w:tcW w:w="6480" w:type="dxa"/>
            <w:vAlign w:val="bottom"/>
            <w:tcBorders>
              <w:bottom w:val="single" w:sz="8" w:color="auto"/>
            </w:tcBorders>
          </w:tcPr>
          <w:p>
            <w:pPr>
              <w:spacing w:after="0"/>
              <w:rPr>
                <w:sz w:val="9"/>
                <w:szCs w:val="9"/>
                <w:color w:val="auto"/>
              </w:rPr>
            </w:pPr>
          </w:p>
        </w:tc>
      </w:tr>
      <w:tr>
        <w:trPr>
          <w:trHeight w:val="270"/>
        </w:trPr>
        <w:tc>
          <w:tcPr>
            <w:tcW w:w="1800" w:type="dxa"/>
            <w:vAlign w:val="bottom"/>
          </w:tcPr>
          <w:p>
            <w:pPr>
              <w:spacing w:after="0"/>
              <w:rPr>
                <w:sz w:val="23"/>
                <w:szCs w:val="23"/>
                <w:color w:val="auto"/>
              </w:rPr>
            </w:pPr>
          </w:p>
        </w:tc>
        <w:tc>
          <w:tcPr>
            <w:tcW w:w="6480" w:type="dxa"/>
            <w:vAlign w:val="bottom"/>
          </w:tcPr>
          <w:p>
            <w:pPr>
              <w:ind w:left="2240"/>
              <w:spacing w:after="0"/>
              <w:rPr>
                <w:sz w:val="20"/>
                <w:szCs w:val="20"/>
                <w:color w:val="auto"/>
              </w:rPr>
            </w:pPr>
            <w:r>
              <w:rPr>
                <w:rFonts w:ascii="Arial" w:cs="Arial" w:eastAsia="Arial" w:hAnsi="Arial"/>
                <w:sz w:val="14"/>
                <w:szCs w:val="14"/>
                <w:color w:val="auto"/>
              </w:rPr>
              <w:t>S-5</w:t>
            </w:r>
          </w:p>
        </w:tc>
      </w:tr>
    </w:tbl>
    <w:p>
      <w:pPr>
        <w:sectPr>
          <w:pgSz w:w="11900" w:h="16838" w:orient="portrait"/>
          <w:cols w:equalWidth="0" w:num="1">
            <w:col w:w="9019"/>
          </w:cols>
          <w:pgMar w:left="1440" w:top="370" w:right="1440" w:bottom="1440" w:gutter="0" w:footer="0" w:header="0"/>
        </w:sectPr>
      </w:pPr>
    </w:p>
    <w:bookmarkStart w:id="8" w:name="page9"/>
    <w:bookmarkEnd w:id="8"/>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Risk Factors</w:t>
      </w:r>
    </w:p>
    <w:p>
      <w:pPr>
        <w:spacing w:after="0" w:line="125" w:lineRule="exact"/>
        <w:rPr>
          <w:sz w:val="20"/>
          <w:szCs w:val="20"/>
          <w:color w:val="auto"/>
        </w:rPr>
      </w:pPr>
    </w:p>
    <w:p>
      <w:pPr>
        <w:ind w:left="360" w:right="439"/>
        <w:spacing w:after="0" w:line="232" w:lineRule="auto"/>
        <w:rPr>
          <w:sz w:val="20"/>
          <w:szCs w:val="20"/>
          <w:color w:val="auto"/>
        </w:rPr>
      </w:pPr>
      <w:r>
        <w:rPr>
          <w:rFonts w:ascii="Arial" w:cs="Arial" w:eastAsia="Arial" w:hAnsi="Arial"/>
          <w:sz w:val="14"/>
          <w:szCs w:val="14"/>
          <w:i w:val="1"/>
          <w:iCs w:val="1"/>
          <w:color w:val="auto"/>
        </w:rPr>
        <w:t>Investing in the notes involves a high degree of risk. In addition to the other information included and incorporated by reference in this prospectus supplement or the accompanying prospectus, including the risks, uncertainties and assumptions discussed under the heading “Risk factors” included in our Annual Report on Form 10-K for the year ended December 31, 2025 and other reports we file with the Securities and Exchange Commission (the “SEC”), you should carefully consider the risks described or referred to below before deciding to purchase the notes. The occurrence of any of these risks may materially harm our business, results of operations and financial condition. As a result, the trading price of the notes and our common stock may decline, and you might lose part or all of your investment. As used in this section, “we,” “our” and “us” refer to Revolution Medicines, Inc. and not to its subsidiaries.</w:t>
      </w:r>
    </w:p>
    <w:p>
      <w:pPr>
        <w:spacing w:after="0" w:line="78" w:lineRule="exact"/>
        <w:rPr>
          <w:sz w:val="20"/>
          <w:szCs w:val="20"/>
          <w:color w:val="auto"/>
        </w:rPr>
      </w:pPr>
    </w:p>
    <w:p>
      <w:pPr>
        <w:ind w:left="360" w:right="479"/>
        <w:spacing w:after="0" w:line="261" w:lineRule="auto"/>
        <w:rPr>
          <w:sz w:val="20"/>
          <w:szCs w:val="20"/>
          <w:color w:val="auto"/>
        </w:rPr>
      </w:pPr>
      <w:r>
        <w:rPr>
          <w:rFonts w:ascii="Arial" w:cs="Arial" w:eastAsia="Arial" w:hAnsi="Arial"/>
          <w:sz w:val="14"/>
          <w:szCs w:val="14"/>
          <w:b w:val="1"/>
          <w:bCs w:val="1"/>
          <w:i w:val="1"/>
          <w:iCs w:val="1"/>
          <w:color w:val="auto"/>
        </w:rPr>
        <w:t>The notes will be effectively subordinated to our existing and future secured indebtedness and structurally subordinated to the liabilities of our subsidiaries.</w:t>
      </w:r>
    </w:p>
    <w:p>
      <w:pPr>
        <w:spacing w:after="0" w:line="66" w:lineRule="exact"/>
        <w:rPr>
          <w:sz w:val="20"/>
          <w:szCs w:val="20"/>
          <w:color w:val="auto"/>
        </w:rPr>
      </w:pPr>
    </w:p>
    <w:p>
      <w:pPr>
        <w:ind w:left="360" w:right="419"/>
        <w:spacing w:after="0" w:line="273" w:lineRule="auto"/>
        <w:rPr>
          <w:sz w:val="20"/>
          <w:szCs w:val="20"/>
          <w:color w:val="auto"/>
        </w:rPr>
      </w:pPr>
      <w:r>
        <w:rPr>
          <w:rFonts w:ascii="Arial" w:cs="Arial" w:eastAsia="Arial" w:hAnsi="Arial"/>
          <w:sz w:val="12"/>
          <w:szCs w:val="12"/>
          <w:color w:val="auto"/>
        </w:rPr>
        <w:t>The notes will be our senior, unsecured obligations and will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will guarantee the notes, the notes will be structurally subordinated to all existing and future indebtedness and other liabilities, including trade payables, and (to the extent we are not a holder thereof) preferred equity, if any, of our subsidiaries. As of December 31, 2025, we had no indebtedness for borrowed money and approximately $268.4 million of liabilities relating to our sale of future royalties pursuant to the Royalty Purchase Agreement (as defined under the caption “Description of Other Indebtedness”), and our subsidiaries had no indebtedness or other liabilities. The indenture governing the notes will not prohibit us or our subsidiaries from incurring additional indebtedness, including senior or secured indebtedness, in the future.</w:t>
      </w:r>
    </w:p>
    <w:p>
      <w:pPr>
        <w:spacing w:after="0" w:line="226" w:lineRule="exact"/>
        <w:rPr>
          <w:sz w:val="20"/>
          <w:szCs w:val="20"/>
          <w:color w:val="auto"/>
        </w:rPr>
      </w:pPr>
    </w:p>
    <w:p>
      <w:pPr>
        <w:ind w:left="360" w:right="559"/>
        <w:spacing w:after="0" w:line="281" w:lineRule="auto"/>
        <w:rPr>
          <w:sz w:val="20"/>
          <w:szCs w:val="20"/>
          <w:color w:val="auto"/>
        </w:rPr>
      </w:pPr>
      <w:r>
        <w:rPr>
          <w:rFonts w:ascii="Arial" w:cs="Arial" w:eastAsia="Arial" w:hAnsi="Arial"/>
          <w:sz w:val="12"/>
          <w:szCs w:val="12"/>
          <w:color w:val="auto"/>
        </w:rPr>
        <w:t>If a bankruptcy, liquidation, dissolution, reorganization or similar proceeding occurs with respect to us, then the holders of any secured indebtedness that we may have in the future may proceed directly against the assets securing that indebtedness. Accordingly, those assets would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55" w:lineRule="exact"/>
        <w:rPr>
          <w:sz w:val="20"/>
          <w:szCs w:val="20"/>
          <w:color w:val="auto"/>
        </w:rPr>
      </w:pPr>
    </w:p>
    <w:p>
      <w:pPr>
        <w:ind w:left="360" w:right="499"/>
        <w:spacing w:after="0" w:line="235" w:lineRule="auto"/>
        <w:rPr>
          <w:sz w:val="20"/>
          <w:szCs w:val="20"/>
          <w:color w:val="auto"/>
        </w:rPr>
      </w:pPr>
      <w:r>
        <w:rPr>
          <w:rFonts w:ascii="Arial" w:cs="Arial" w:eastAsia="Arial" w:hAnsi="Arial"/>
          <w:sz w:val="14"/>
          <w:szCs w:val="14"/>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90" w:lineRule="exact"/>
        <w:rPr>
          <w:sz w:val="20"/>
          <w:szCs w:val="20"/>
          <w:color w:val="auto"/>
        </w:rPr>
      </w:pPr>
    </w:p>
    <w:p>
      <w:pPr>
        <w:ind w:left="360" w:right="599"/>
        <w:spacing w:after="0" w:line="244" w:lineRule="auto"/>
        <w:rPr>
          <w:sz w:val="20"/>
          <w:szCs w:val="20"/>
          <w:color w:val="auto"/>
        </w:rPr>
      </w:pPr>
      <w:r>
        <w:rPr>
          <w:rFonts w:ascii="Arial" w:cs="Arial" w:eastAsia="Arial" w:hAnsi="Arial"/>
          <w:sz w:val="14"/>
          <w:szCs w:val="14"/>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77" w:lineRule="exact"/>
        <w:rPr>
          <w:sz w:val="20"/>
          <w:szCs w:val="20"/>
          <w:color w:val="auto"/>
        </w:rPr>
      </w:pPr>
    </w:p>
    <w:p>
      <w:pPr>
        <w:jc w:val="both"/>
        <w:ind w:left="360" w:right="819"/>
        <w:spacing w:after="0" w:line="235" w:lineRule="auto"/>
        <w:rPr>
          <w:sz w:val="20"/>
          <w:szCs w:val="20"/>
          <w:color w:val="auto"/>
        </w:rPr>
      </w:pPr>
      <w:r>
        <w:rPr>
          <w:rFonts w:ascii="Arial" w:cs="Arial" w:eastAsia="Arial" w:hAnsi="Arial"/>
          <w:sz w:val="14"/>
          <w:szCs w:val="14"/>
          <w:color w:val="auto"/>
        </w:rPr>
        <w:t>As of December 31, 2025, we had no consolidated indebtedness for borrowed money and approximately $268.4 million of liabilities relating to our sale of future royalties pursuant to the Royalty Purchase Agreement. We will incur $500.0 million principal amount of additional indebtedness as a result of this offering. We may also incur additional indebtedness to meet future financing needs. Our indebtedness could have significant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w:t>
      </w:r>
    </w:p>
    <w:p>
      <w:pPr>
        <w:sectPr>
          <w:pgSz w:w="11900" w:h="16838" w:orient="portrait"/>
          <w:cols w:equalWidth="0" w:num="1">
            <w:col w:w="9019"/>
          </w:cols>
          <w:pgMar w:left="1440" w:top="226" w:right="1440" w:bottom="1440" w:gutter="0" w:footer="0" w:header="0"/>
        </w:sectPr>
      </w:pPr>
    </w:p>
    <w:bookmarkStart w:id="9" w:name="page10"/>
    <w:bookmarkEnd w:id="9"/>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negative consequences for our security holders and our business, results of operations and financial condition by, among other things:</w:t>
      </w:r>
    </w:p>
    <w:p>
      <w:pPr>
        <w:spacing w:after="0" w:line="126" w:lineRule="exact"/>
        <w:rPr>
          <w:sz w:val="20"/>
          <w:szCs w:val="20"/>
          <w:color w:val="auto"/>
        </w:rPr>
      </w:pPr>
    </w:p>
    <w:p>
      <w:pPr>
        <w:ind w:left="520" w:hanging="157"/>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increasing our vulnerability to adverse economic and industry conditions;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w:t>
      </w:r>
    </w:p>
    <w:p>
      <w:pPr>
        <w:spacing w:after="0" w:line="102" w:lineRule="exact"/>
        <w:rPr>
          <w:rFonts w:ascii="Arial" w:cs="Arial" w:eastAsia="Arial" w:hAnsi="Arial"/>
          <w:sz w:val="14"/>
          <w:szCs w:val="14"/>
          <w:color w:val="auto"/>
        </w:rPr>
      </w:pPr>
    </w:p>
    <w:p>
      <w:pPr>
        <w:ind w:left="520" w:right="719" w:hanging="157"/>
        <w:spacing w:after="0" w:line="249" w:lineRule="auto"/>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requiring the dedication of a substantial portion of our cash flow from operations to service our indebtedness, which will reduce the amount of cash available for other purposes;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limiting our flexibility to plan for, or react to, changes in our business;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diluting the interests of our existing stockholders as a result of issuing shares of our common stock upon conversion of the notes; and</w:t>
      </w:r>
    </w:p>
    <w:p>
      <w:pPr>
        <w:spacing w:after="0" w:line="125" w:lineRule="exact"/>
        <w:rPr>
          <w:rFonts w:ascii="Arial" w:cs="Arial" w:eastAsia="Arial" w:hAnsi="Arial"/>
          <w:sz w:val="12"/>
          <w:szCs w:val="12"/>
          <w:color w:val="auto"/>
        </w:rPr>
      </w:pPr>
    </w:p>
    <w:p>
      <w:pPr>
        <w:ind w:left="520" w:hanging="157"/>
        <w:spacing w:after="0"/>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placing us at a possible competitive disadvantage with competitors that are less leveraged than us or have better access to capital.</w:t>
      </w:r>
    </w:p>
    <w:p>
      <w:pPr>
        <w:spacing w:after="0" w:line="126" w:lineRule="exact"/>
        <w:rPr>
          <w:sz w:val="20"/>
          <w:szCs w:val="20"/>
          <w:color w:val="auto"/>
        </w:rPr>
      </w:pPr>
    </w:p>
    <w:p>
      <w:pPr>
        <w:ind w:left="360" w:right="419"/>
        <w:spacing w:after="0" w:line="275" w:lineRule="auto"/>
        <w:rPr>
          <w:sz w:val="20"/>
          <w:szCs w:val="20"/>
          <w:color w:val="auto"/>
        </w:rPr>
      </w:pPr>
      <w:r>
        <w:rPr>
          <w:rFonts w:ascii="Arial" w:cs="Arial" w:eastAsia="Arial" w:hAnsi="Arial"/>
          <w:sz w:val="12"/>
          <w:szCs w:val="12"/>
          <w:color w:val="auto"/>
        </w:rPr>
        <w:t>Our business may not generate sufficient funds, and we may otherwise be unable to maintain sufficient cash reserves, to pay amounts due under our indebtedness, including the notes, and our cash needs may increase in the future. In addition, our Term Loan Credit Agreement (as defined under the caption “Description of Other Indebtedness”)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For a description of our outstanding indebtedness, see “Description of Other Indebtedness.”</w:t>
      </w:r>
    </w:p>
    <w:p>
      <w:pPr>
        <w:spacing w:after="0" w:line="60" w:lineRule="exact"/>
        <w:rPr>
          <w:sz w:val="20"/>
          <w:szCs w:val="20"/>
          <w:color w:val="auto"/>
        </w:rPr>
      </w:pPr>
    </w:p>
    <w:p>
      <w:pPr>
        <w:jc w:val="both"/>
        <w:ind w:left="360" w:right="459"/>
        <w:spacing w:after="0" w:line="244" w:lineRule="auto"/>
        <w:rPr>
          <w:sz w:val="20"/>
          <w:szCs w:val="20"/>
          <w:color w:val="auto"/>
        </w:rPr>
      </w:pPr>
      <w:r>
        <w:rPr>
          <w:rFonts w:ascii="Arial" w:cs="Arial" w:eastAsia="Arial" w:hAnsi="Arial"/>
          <w:sz w:val="14"/>
          <w:szCs w:val="14"/>
          <w:b w:val="1"/>
          <w:bCs w:val="1"/>
          <w:i w:val="1"/>
          <w:iCs w:val="1"/>
          <w:color w:val="auto"/>
        </w:rPr>
        <w:t>We may be unable to raise the funds necessary to repurchase the notes for cash following a fundamental change or to pay any cash amounts due upon maturity or conversion of the notes, and our other indebtedness may limit our ability to repurchase the notes or to pay any cash amounts due upon their maturity or conversion.</w:t>
      </w:r>
    </w:p>
    <w:p>
      <w:pPr>
        <w:spacing w:after="0" w:line="77" w:lineRule="exact"/>
        <w:rPr>
          <w:sz w:val="20"/>
          <w:szCs w:val="20"/>
          <w:color w:val="auto"/>
        </w:rPr>
      </w:pPr>
    </w:p>
    <w:p>
      <w:pPr>
        <w:ind w:left="360" w:right="439"/>
        <w:spacing w:after="0" w:line="229" w:lineRule="auto"/>
        <w:rPr>
          <w:sz w:val="20"/>
          <w:szCs w:val="20"/>
          <w:color w:val="auto"/>
        </w:rPr>
      </w:pPr>
      <w:r>
        <w:rPr>
          <w:rFonts w:ascii="Arial" w:cs="Arial" w:eastAsia="Arial" w:hAnsi="Arial"/>
          <w:sz w:val="14"/>
          <w:szCs w:val="14"/>
          <w:color w:val="auto"/>
        </w:rPr>
        <w:t>Noteholders may, subject to a limited exception described in this prospectus supplement, require us to repurchase their notes following a fundamental change at a cash repurchase price generally equal to the principal amount of the notes to be repurchased, plus accrued and unpaid interest, if any. See “Description of Notes—Fundamental Change Permits Noteholders to Require Us to Repurchase Notes.” Upon maturity of the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any cash amounts due upon their maturity or conversion. In addition, applicable law, regulatory authorities and the agreements governing our other indebtedness may restrict our ability to repurchase the notes or to pay any cash amounts due upon their maturity or conversion. Our failure to repurchase notes or to pay any cash amounts due upon their maturity or conversion when required will constitute a default under the indenture. A default under the indenture or the fundamental change itself could also lead to a default under agreements governing our other indebtedness, including the Term Loan Credit Agreement, which may result in that other indebtedness becoming immediately payable in full. We may not have sufficient funds to satisfy all amounts due under the other indebtedness and the notes.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w:t>
      </w:r>
    </w:p>
    <w:p>
      <w:pPr>
        <w:sectPr>
          <w:pgSz w:w="11900" w:h="16838" w:orient="portrait"/>
          <w:cols w:equalWidth="0" w:num="1">
            <w:col w:w="9019"/>
          </w:cols>
          <w:pgMar w:left="1440" w:top="238" w:right="1440" w:bottom="1440" w:gutter="0" w:footer="0" w:header="0"/>
        </w:sectPr>
      </w:pPr>
    </w:p>
    <w:bookmarkStart w:id="10" w:name="page11"/>
    <w:bookmarkEnd w:id="10"/>
    <w:p>
      <w:pPr>
        <w:ind w:left="360" w:right="519"/>
        <w:spacing w:after="0" w:line="261" w:lineRule="auto"/>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Not all events that may adversely affect the trading price of the notes and our common stock will result in an adjustment to the conversion rate.</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will adjust the conversion rate of the notes for certain events, including:</w:t>
      </w:r>
    </w:p>
    <w:p>
      <w:pPr>
        <w:spacing w:after="0" w:line="103" w:lineRule="exact"/>
        <w:rPr>
          <w:sz w:val="20"/>
          <w:szCs w:val="20"/>
          <w:color w:val="auto"/>
        </w:rPr>
      </w:pPr>
    </w:p>
    <w:p>
      <w:pPr>
        <w:ind w:left="520" w:hanging="1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certain stock dividends, splits and combinations;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issuance of certain rights, options or warrants to holders of our common stock;</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certain distributions of assets, debt securities, capital stock or other property to holders of our common stock;</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dividends on our common stock; and</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certain tender or exchange offers.</w:t>
      </w:r>
    </w:p>
    <w:p>
      <w:pPr>
        <w:spacing w:after="0" w:line="93" w:lineRule="exact"/>
        <w:rPr>
          <w:sz w:val="20"/>
          <w:szCs w:val="20"/>
          <w:color w:val="auto"/>
        </w:rPr>
      </w:pPr>
    </w:p>
    <w:p>
      <w:pPr>
        <w:ind w:left="360" w:right="539"/>
        <w:spacing w:after="0" w:line="234" w:lineRule="auto"/>
        <w:rPr>
          <w:sz w:val="20"/>
          <w:szCs w:val="20"/>
          <w:color w:val="auto"/>
        </w:rPr>
      </w:pPr>
      <w:r>
        <w:rPr>
          <w:rFonts w:ascii="Arial" w:cs="Arial" w:eastAsia="Arial" w:hAnsi="Arial"/>
          <w:sz w:val="14"/>
          <w:szCs w:val="14"/>
          <w:color w:val="auto"/>
        </w:rPr>
        <w:t>See “Description of Notes—Conversion Rights—Conversion Rate Adjustments.” We are not required to adjust the conversion rate for other events, such as third-party tender offers or an issuance of our common stock (or securities convertible into, or exercisable or exchangeable for, our common stock) for cash, that may adversely affect the trading price of the notes and our common stock. An event may occur that adversely affects the noteholders and the trading price of the notes and the underlying shares of our common stock but that does not result in an adjustment to the conversion rate.</w:t>
      </w:r>
    </w:p>
    <w:p>
      <w:pPr>
        <w:spacing w:after="0" w:line="88" w:lineRule="exact"/>
        <w:rPr>
          <w:sz w:val="20"/>
          <w:szCs w:val="20"/>
          <w:color w:val="auto"/>
        </w:rPr>
      </w:pPr>
    </w:p>
    <w:p>
      <w:pPr>
        <w:ind w:left="360" w:right="579"/>
        <w:spacing w:after="0" w:line="261" w:lineRule="auto"/>
        <w:rPr>
          <w:sz w:val="20"/>
          <w:szCs w:val="20"/>
          <w:color w:val="auto"/>
        </w:rPr>
      </w:pPr>
      <w:r>
        <w:rPr>
          <w:rFonts w:ascii="Arial" w:cs="Arial" w:eastAsia="Arial" w:hAnsi="Arial"/>
          <w:sz w:val="14"/>
          <w:szCs w:val="14"/>
          <w:b w:val="1"/>
          <w:bCs w:val="1"/>
          <w:i w:val="1"/>
          <w:iCs w:val="1"/>
          <w:color w:val="auto"/>
        </w:rPr>
        <w:t>Not all significant restructuring transactions will constitute a fundamental change, in which case you will not have the right to require us to repurchase your notes for cash.</w:t>
      </w:r>
    </w:p>
    <w:p>
      <w:pPr>
        <w:spacing w:after="0" w:line="66"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If certain corporate events called “fundamental changes” occur, then, subject to a limited exception described in this prospectus supplement, you will have the right to require us to repurchase your notes for cash. See “Description of Notes—Fundamental Change Permits Noteholders to Require Us to Repurchase Notes.” However, the definition of “fundamental change” is limited to specific corporate events and does not include all events that may adversely affect our financial condition or the trading price of the notes. For example, a leveraged recapitalization, refinancing, restructuring or acquisition by us may not constitute a fundamental change that would require us to repurchase the notes. Nonetheless, these events could significantly increase the amount of our indebtedness, harm our credit rating or adversely affect our capital structure and the trading price of the notes.</w:t>
      </w:r>
    </w:p>
    <w:p>
      <w:pPr>
        <w:spacing w:after="0" w:line="78" w:lineRule="exact"/>
        <w:rPr>
          <w:sz w:val="20"/>
          <w:szCs w:val="20"/>
          <w:color w:val="auto"/>
        </w:rPr>
      </w:pPr>
    </w:p>
    <w:p>
      <w:pPr>
        <w:ind w:left="360" w:right="479"/>
        <w:spacing w:after="0" w:line="238" w:lineRule="auto"/>
        <w:rPr>
          <w:sz w:val="20"/>
          <w:szCs w:val="20"/>
          <w:color w:val="auto"/>
        </w:rPr>
      </w:pPr>
      <w:r>
        <w:rPr>
          <w:rFonts w:ascii="Arial" w:cs="Arial" w:eastAsia="Arial" w:hAnsi="Arial"/>
          <w:sz w:val="14"/>
          <w:szCs w:val="14"/>
          <w:b w:val="1"/>
          <w:bCs w:val="1"/>
          <w:i w:val="1"/>
          <w:iCs w:val="1"/>
          <w:color w:val="auto"/>
        </w:rPr>
        <w:t>The increase to the conversion rate resulting from a make-whole fundamental change may not adequately compensate noteholders for the lost option value of their notes. In addition, a variety of transactions that do not constitute a make-whole fundamental change may significantly reduce the option value of the notes without a corresponding increase to the conversion rate.</w:t>
      </w:r>
    </w:p>
    <w:p>
      <w:pPr>
        <w:spacing w:after="0" w:line="82" w:lineRule="exact"/>
        <w:rPr>
          <w:sz w:val="20"/>
          <w:szCs w:val="20"/>
          <w:color w:val="auto"/>
        </w:rPr>
      </w:pPr>
    </w:p>
    <w:p>
      <w:pPr>
        <w:ind w:left="360" w:right="479"/>
        <w:spacing w:after="0" w:line="273" w:lineRule="auto"/>
        <w:rPr>
          <w:sz w:val="20"/>
          <w:szCs w:val="20"/>
          <w:color w:val="auto"/>
        </w:rPr>
      </w:pPr>
      <w:r>
        <w:rPr>
          <w:rFonts w:ascii="Arial" w:cs="Arial" w:eastAsia="Arial" w:hAnsi="Arial"/>
          <w:sz w:val="12"/>
          <w:szCs w:val="12"/>
          <w:color w:val="auto"/>
        </w:rPr>
        <w:t>If certain corporate events that constitute a “make-whole fundamental change” occur, then we will, in certain circumstances, temporarily increase the conversion rate. See “Description of Notes—Conversion Rights—Increase in Conversion Rate in Connection with a Make-Whole Fundamental Change.” The amount of the increase to the conversion rate will depend on the date on which the make-whole fundamental change becomes effective and the applicable “stock price.” While the increase to the conversion rate is designed to compensate noteholders for the lost option value of their notes resulting from a make-whole fundamental change, the increase is only an approximation and may not adequately compensate noteholders for the loss in option value. In addition, if the applicable “stock price” is greater than $1,250.00 per share or less than $142.00 per share (in each case, subject to adjustment), then we will not increase the conversion rate for the make-whole fundamental change. Moreover, we will not increase the conversion rate pursuant to these provisions to an amount that exceeds 7.0422 shares of our common stock per $1,000 principal amount of notes, subject to adjustment.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S-8</w:t>
      </w:r>
    </w:p>
    <w:p>
      <w:pPr>
        <w:sectPr>
          <w:pgSz w:w="11900" w:h="16838" w:orient="portrait"/>
          <w:cols w:equalWidth="0" w:num="1">
            <w:col w:w="9019"/>
          </w:cols>
          <w:pgMar w:left="1440" w:top="239" w:right="1440" w:bottom="1440" w:gutter="0" w:footer="0" w:header="0"/>
        </w:sectPr>
      </w:pPr>
    </w:p>
    <w:bookmarkStart w:id="11" w:name="page12"/>
    <w:bookmarkEnd w:id="11"/>
    <w:p>
      <w:pPr>
        <w:ind w:left="360" w:right="43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Furthermore, the definition of make-whole fundamental change is limited to certain specific transactions. Accordingly, the make-whole fundamental change provisions of the indenture will not protect noteholders from other transactions that could significantly reduce the option value of the notes. For example, a spin-off or sale of a subsidiary or business division with volatile earnings, or a change in our line of business, could significantly affect the trading characteristics of our common stock and reduce the option value of the notes without constituting a make-whole fundamental change that results in a temporary increase to the conversion rate.</w:t>
      </w:r>
    </w:p>
    <w:p>
      <w:pPr>
        <w:spacing w:after="0" w:line="88" w:lineRule="exact"/>
        <w:rPr>
          <w:sz w:val="20"/>
          <w:szCs w:val="20"/>
          <w:color w:val="auto"/>
        </w:rPr>
      </w:pPr>
    </w:p>
    <w:p>
      <w:pPr>
        <w:ind w:left="360" w:right="639"/>
        <w:spacing w:after="0" w:line="331" w:lineRule="auto"/>
        <w:rPr>
          <w:sz w:val="20"/>
          <w:szCs w:val="20"/>
          <w:color w:val="auto"/>
        </w:rPr>
      </w:pPr>
      <w:r>
        <w:rPr>
          <w:rFonts w:ascii="Arial" w:cs="Arial" w:eastAsia="Arial" w:hAnsi="Arial"/>
          <w:sz w:val="12"/>
          <w:szCs w:val="12"/>
          <w:color w:val="auto"/>
        </w:rPr>
        <w:t>In addition, our obligation to increase the conversion rate in connection with a make-whole fundamental change could be considered a penalty, in which case its enforceability would be subject to general principles of reasonableness and equitable remedies.</w:t>
      </w:r>
    </w:p>
    <w:p>
      <w:pPr>
        <w:spacing w:after="0" w:line="25" w:lineRule="exact"/>
        <w:rPr>
          <w:sz w:val="20"/>
          <w:szCs w:val="20"/>
          <w:color w:val="auto"/>
        </w:rPr>
      </w:pPr>
    </w:p>
    <w:p>
      <w:pPr>
        <w:ind w:left="360" w:right="559"/>
        <w:spacing w:after="0" w:line="261" w:lineRule="auto"/>
        <w:rPr>
          <w:sz w:val="20"/>
          <w:szCs w:val="20"/>
          <w:color w:val="auto"/>
        </w:rPr>
      </w:pPr>
      <w:r>
        <w:rPr>
          <w:rFonts w:ascii="Arial" w:cs="Arial" w:eastAsia="Arial" w:hAnsi="Arial"/>
          <w:sz w:val="14"/>
          <w:szCs w:val="14"/>
          <w:b w:val="1"/>
          <w:bCs w:val="1"/>
          <w:i w:val="1"/>
          <w:iCs w:val="1"/>
          <w:color w:val="auto"/>
        </w:rPr>
        <w:t>There is currently no trading market for the notes. If an active trading market for the notes does not develop, then noteholders may be unable to sell their notes at desired times or prices, or at all.</w:t>
      </w:r>
    </w:p>
    <w:p>
      <w:pPr>
        <w:spacing w:after="0" w:line="66" w:lineRule="exact"/>
        <w:rPr>
          <w:sz w:val="20"/>
          <w:szCs w:val="20"/>
          <w:color w:val="auto"/>
        </w:rPr>
      </w:pPr>
    </w:p>
    <w:p>
      <w:pPr>
        <w:ind w:left="360" w:right="559"/>
        <w:spacing w:after="0" w:line="232" w:lineRule="auto"/>
        <w:rPr>
          <w:sz w:val="20"/>
          <w:szCs w:val="20"/>
          <w:color w:val="auto"/>
        </w:rPr>
      </w:pPr>
      <w:r>
        <w:rPr>
          <w:rFonts w:ascii="Arial" w:cs="Arial" w:eastAsia="Arial" w:hAnsi="Arial"/>
          <w:sz w:val="14"/>
          <w:szCs w:val="14"/>
          <w:color w:val="auto"/>
        </w:rPr>
        <w:t>The notes are a new class of securities for which no market currently exists. We do not intend to apply to list the notes on any securities exchange or for quotation on any inter-dealer quotation system. Although certain of the underwriters have advised us that they intend to make a market in the notes, they are not obligated to do so and may discontinue any market-making activity at any time and without notice. Accordingly, an active market for the notes may never develop, and, even if one develops, it may not be maintained. If an active trading market for the notes does not develop or is not maintained, then the market price and liquidity of the notes will be adversely affected and noteholders may not be able to sell their notes at desired times or prices, or at all.</w:t>
      </w:r>
    </w:p>
    <w:p>
      <w:pPr>
        <w:spacing w:after="0" w:line="91" w:lineRule="exact"/>
        <w:rPr>
          <w:sz w:val="20"/>
          <w:szCs w:val="20"/>
          <w:color w:val="auto"/>
        </w:rPr>
      </w:pPr>
    </w:p>
    <w:p>
      <w:pPr>
        <w:ind w:left="360" w:right="399"/>
        <w:spacing w:after="0" w:line="281" w:lineRule="auto"/>
        <w:rPr>
          <w:sz w:val="20"/>
          <w:szCs w:val="20"/>
          <w:color w:val="auto"/>
        </w:rPr>
      </w:pPr>
      <w:r>
        <w:rPr>
          <w:rFonts w:ascii="Arial" w:cs="Arial" w:eastAsia="Arial" w:hAnsi="Arial"/>
          <w:sz w:val="12"/>
          <w:szCs w:val="12"/>
          <w:color w:val="auto"/>
        </w:rPr>
        <w:t>The liquidity of the trading market, if any, and future trading prices of the notes will depend on many factors, including, among other things, the trading price and volatility of our common stock, prevailing interest rates, our dividend yield, financial condition, results of operations, business, prospects and credit quality relative to our competitors, the market for similar securities and the overall securities market. Many of these factors are beyond our control. Historically, the market for convertible debt has been volatile. Market volatility could significantly harm the market for the notes, regardless of our financial condition, results of operations, business, prospects or credit quality.</w:t>
      </w:r>
    </w:p>
    <w:p>
      <w:pPr>
        <w:spacing w:after="0" w:line="55" w:lineRule="exact"/>
        <w:rPr>
          <w:sz w:val="20"/>
          <w:szCs w:val="20"/>
          <w:color w:val="auto"/>
        </w:rPr>
      </w:pPr>
    </w:p>
    <w:p>
      <w:pPr>
        <w:ind w:left="360" w:right="539"/>
        <w:spacing w:after="0" w:line="261" w:lineRule="auto"/>
        <w:rPr>
          <w:sz w:val="20"/>
          <w:szCs w:val="20"/>
          <w:color w:val="auto"/>
        </w:rPr>
      </w:pPr>
      <w:r>
        <w:rPr>
          <w:rFonts w:ascii="Arial" w:cs="Arial" w:eastAsia="Arial" w:hAnsi="Arial"/>
          <w:sz w:val="14"/>
          <w:szCs w:val="14"/>
          <w:b w:val="1"/>
          <w:bCs w:val="1"/>
          <w:i w:val="1"/>
          <w:iCs w:val="1"/>
          <w:color w:val="auto"/>
        </w:rPr>
        <w:t>The trading price of our common stock, the condition of the financial markets, prevailing interest rates and other factors could significantly affect the trading price of the notes.</w:t>
      </w:r>
    </w:p>
    <w:p>
      <w:pPr>
        <w:spacing w:after="0" w:line="66"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We expect that the trading price of our common stock will significantly affect the trading price of the notes, which could result in greater volatility in the trading price of the notes than would be expected for non-convertible securities. The trading price of our common stock will likely continue to fluctuate in response to the factors described or referred to elsewhere in this section and under the caption “Cautionary Note Regarding Forward-Looking Statements,” among others, many of which are beyond our control.</w:t>
      </w:r>
    </w:p>
    <w:p>
      <w:pPr>
        <w:spacing w:after="0" w:line="90" w:lineRule="exact"/>
        <w:rPr>
          <w:sz w:val="20"/>
          <w:szCs w:val="20"/>
          <w:color w:val="auto"/>
        </w:rPr>
      </w:pPr>
    </w:p>
    <w:p>
      <w:pPr>
        <w:ind w:left="360" w:right="399"/>
        <w:spacing w:after="0" w:line="287" w:lineRule="auto"/>
        <w:rPr>
          <w:sz w:val="20"/>
          <w:szCs w:val="20"/>
          <w:color w:val="auto"/>
        </w:rPr>
      </w:pPr>
      <w:r>
        <w:rPr>
          <w:rFonts w:ascii="Arial" w:cs="Arial" w:eastAsia="Arial" w:hAnsi="Arial"/>
          <w:sz w:val="12"/>
          <w:szCs w:val="12"/>
          <w:color w:val="auto"/>
        </w:rPr>
        <w:t>In addition, the condition of the financial markets and changes in prevailing interest rates can have an adverse effect on the trading price of the notes. For example, prevailing interest rates have fluctuated in the past and are likely to fluctuate in the future, and we would expect an increase in prevailing interest rates to depress the trading price of the notes. An increase in short- or long-term interest rates, including as a result of a rise in actual or expected inflation, could cause the trading price of the notes to fall significantly.</w:t>
      </w:r>
    </w:p>
    <w:p>
      <w:pPr>
        <w:spacing w:after="0" w:line="50" w:lineRule="exact"/>
        <w:rPr>
          <w:sz w:val="20"/>
          <w:szCs w:val="20"/>
          <w:color w:val="auto"/>
        </w:rPr>
      </w:pPr>
    </w:p>
    <w:p>
      <w:pPr>
        <w:jc w:val="both"/>
        <w:ind w:left="360" w:right="519"/>
        <w:spacing w:after="0" w:line="261" w:lineRule="auto"/>
        <w:rPr>
          <w:sz w:val="20"/>
          <w:szCs w:val="20"/>
          <w:color w:val="auto"/>
        </w:rPr>
      </w:pPr>
      <w:r>
        <w:rPr>
          <w:rFonts w:ascii="Arial" w:cs="Arial" w:eastAsia="Arial" w:hAnsi="Arial"/>
          <w:sz w:val="14"/>
          <w:szCs w:val="14"/>
          <w:b w:val="1"/>
          <w:bCs w:val="1"/>
          <w:i w:val="1"/>
          <w:iCs w:val="1"/>
          <w:color w:val="auto"/>
        </w:rPr>
        <w:t>The issuance or sale of shares of our common stock, including pursuant to the concurrent common stock offering, or rights to acquire shares of our common stock, could depress the trading price of our common stock and the notes.</w:t>
      </w:r>
    </w:p>
    <w:p>
      <w:pPr>
        <w:spacing w:after="0" w:line="66" w:lineRule="exact"/>
        <w:rPr>
          <w:sz w:val="20"/>
          <w:szCs w:val="20"/>
          <w:color w:val="auto"/>
        </w:rPr>
      </w:pPr>
    </w:p>
    <w:p>
      <w:pPr>
        <w:jc w:val="both"/>
        <w:ind w:left="360" w:right="499"/>
        <w:spacing w:after="0" w:line="238" w:lineRule="auto"/>
        <w:rPr>
          <w:sz w:val="20"/>
          <w:szCs w:val="20"/>
          <w:color w:val="auto"/>
        </w:rPr>
      </w:pPr>
      <w:r>
        <w:rPr>
          <w:rFonts w:ascii="Arial" w:cs="Arial" w:eastAsia="Arial" w:hAnsi="Arial"/>
          <w:sz w:val="14"/>
          <w:szCs w:val="14"/>
          <w:color w:val="auto"/>
        </w:rPr>
        <w:t>Concurrently with this offering, we are offering 10,563,381 shares of our common stock, plus up to an additional 1,584,506 shares of our common stock that the underwriters of the concurrent common stock offering have the option to purchase from us. We may also conduct future offerings of common stock, preferred stock or other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S-9</w:t>
      </w:r>
    </w:p>
    <w:p>
      <w:pPr>
        <w:sectPr>
          <w:pgSz w:w="11900" w:h="16838" w:orient="portrait"/>
          <w:cols w:equalWidth="0" w:num="1">
            <w:col w:w="9019"/>
          </w:cols>
          <w:pgMar w:left="1440" w:top="238" w:right="1440" w:bottom="1440" w:gutter="0" w:footer="0" w:header="0"/>
        </w:sectPr>
      </w:pPr>
    </w:p>
    <w:bookmarkStart w:id="12" w:name="page13"/>
    <w:bookmarkEnd w:id="12"/>
    <w:p>
      <w:pPr>
        <w:ind w:left="360" w:right="379"/>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securities that are convertible into, or exercisable or exchangeable for, our common stock to finance our operations or fund acquisitions, or for other purposes. In addition, as of December 31, 2025, we have reserved 17,997,616 shares of common stock issuable upon the exercise of options outstanding under our 2014 Incentive Award Plan and 2020 Incentive Award Plan, 3,892,052 shares of common stock issuable upon the vesting of restricted stock units under our 2020 Incentive Award Plan, 1,395,277 remaining shares of common stock for future issuance under our 2020 Incentive Award Plan and 5,363,603 shares of common stock for future issuance under our 2020 Employee Stock Purchase Plan. The indenture for the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This offering is not contingent on the consummation of the concurrent common stock offering, and vice versa.</w:t>
      </w:r>
    </w:p>
    <w:p>
      <w:pPr>
        <w:spacing w:after="0" w:line="93" w:lineRule="exact"/>
        <w:rPr>
          <w:sz w:val="20"/>
          <w:szCs w:val="20"/>
          <w:color w:val="auto"/>
        </w:rPr>
      </w:pPr>
    </w:p>
    <w:p>
      <w:pPr>
        <w:ind w:left="360" w:right="559"/>
        <w:spacing w:after="0" w:line="232" w:lineRule="auto"/>
        <w:rPr>
          <w:sz w:val="20"/>
          <w:szCs w:val="20"/>
          <w:color w:val="auto"/>
        </w:rPr>
      </w:pPr>
      <w:r>
        <w:rPr>
          <w:rFonts w:ascii="Arial" w:cs="Arial" w:eastAsia="Arial" w:hAnsi="Arial"/>
          <w:sz w:val="14"/>
          <w:szCs w:val="14"/>
          <w:color w:val="auto"/>
        </w:rPr>
        <w:t>The completion of this offering is not contingent on the completion of the concurrent common stock offering, and the completion of the concurrent common stock offering is not contingent on the completion of this offering. Accordingly, you should not assume that the concurrent common stock offering will be consummated on the terms described in this prospectus supplement, if at all, or that we will receive any additional proceeds from the concurrent common stock offering. This prospectus supplement does not constitute an offer to sell, or the solicitation of an offer to buy, any securities being offered in the concurrent common stock offering. See “The Concurrent Common Stock Offering.”</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will make only very limited covenants in the indenture, and these limited covenants may not protect your investment.</w:t>
      </w:r>
    </w:p>
    <w:p>
      <w:pPr>
        <w:spacing w:after="0" w:line="103" w:lineRule="exact"/>
        <w:rPr>
          <w:sz w:val="20"/>
          <w:szCs w:val="20"/>
          <w:color w:val="auto"/>
        </w:rPr>
      </w:pPr>
    </w:p>
    <w:p>
      <w:pPr>
        <w:ind w:left="360" w:right="399"/>
        <w:spacing w:after="0" w:line="278" w:lineRule="auto"/>
        <w:rPr>
          <w:sz w:val="20"/>
          <w:szCs w:val="20"/>
          <w:color w:val="auto"/>
        </w:rPr>
      </w:pPr>
      <w:r>
        <w:rPr>
          <w:rFonts w:ascii="Arial" w:cs="Arial" w:eastAsia="Arial" w:hAnsi="Arial"/>
          <w:sz w:val="12"/>
          <w:szCs w:val="12"/>
          <w:color w:val="auto"/>
        </w:rPr>
        <w:t>Many debt instruments contain provisions that restrict the borrower’s activities and operations in a manner that is designed to preserve the borrower’s ability to make payments on the related indebtedness when due. These provisions include financial and operating covenants, and restrictions on the payments of dividends, the incurrence of indebtedness or the issuance or repurchase of securities by the borrower or any of its subsidiaries. The indenture for the notes will not contain any of these covenants or restrictions or otherwise place any meaningful restrictions on our ability to operate our business as management deems appropriate. As a result, your investment in the notes may not be as protected as an investment in an instrument that contains some or all of these types of covenants and restrictions.</w:t>
      </w:r>
    </w:p>
    <w:p>
      <w:pPr>
        <w:spacing w:after="0" w:line="56" w:lineRule="exact"/>
        <w:rPr>
          <w:sz w:val="20"/>
          <w:szCs w:val="20"/>
          <w:color w:val="auto"/>
        </w:rPr>
      </w:pPr>
    </w:p>
    <w:p>
      <w:pPr>
        <w:ind w:left="360" w:right="639"/>
        <w:spacing w:after="0" w:line="261" w:lineRule="auto"/>
        <w:rPr>
          <w:sz w:val="20"/>
          <w:szCs w:val="20"/>
          <w:color w:val="auto"/>
        </w:rPr>
      </w:pPr>
      <w:r>
        <w:rPr>
          <w:rFonts w:ascii="Arial" w:cs="Arial" w:eastAsia="Arial" w:hAnsi="Arial"/>
          <w:sz w:val="14"/>
          <w:szCs w:val="14"/>
          <w:b w:val="1"/>
          <w:bCs w:val="1"/>
          <w:i w:val="1"/>
          <w:iCs w:val="1"/>
          <w:color w:val="auto"/>
        </w:rPr>
        <w:t>Regulatory actions, changes in market conditions and other events may adversely affect the trading price and liquidity of the notes and the ability of investors to implement a convertible note arbitrage trading strategy.</w:t>
      </w:r>
    </w:p>
    <w:p>
      <w:pPr>
        <w:spacing w:after="0" w:line="66" w:lineRule="exact"/>
        <w:rPr>
          <w:sz w:val="20"/>
          <w:szCs w:val="20"/>
          <w:color w:val="auto"/>
        </w:rPr>
      </w:pPr>
    </w:p>
    <w:p>
      <w:pPr>
        <w:ind w:left="360" w:right="379"/>
        <w:spacing w:after="0" w:line="235" w:lineRule="auto"/>
        <w:rPr>
          <w:sz w:val="20"/>
          <w:szCs w:val="20"/>
          <w:color w:val="auto"/>
        </w:rPr>
      </w:pPr>
      <w:r>
        <w:rPr>
          <w:rFonts w:ascii="Arial" w:cs="Arial" w:eastAsia="Arial" w:hAnsi="Arial"/>
          <w:sz w:val="14"/>
          <w:szCs w:val="14"/>
          <w:color w:val="auto"/>
        </w:rPr>
        <w:t>We expect that many investors in the notes, including potential purchasers of the notes from investors in this offering, will seek to employ a convertible note arbitrage strategy. Under this strategy, investors typically short sell a certain number of shares of our common stock and adjust their short position over time while they continue to hold the notes. Investors may also implement this type of strategy by entering into swaps on our common stock in lieu of, or in addition to, short selling shares of our common stock.</w:t>
      </w:r>
    </w:p>
    <w:p>
      <w:pPr>
        <w:spacing w:after="0" w:line="90"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The SEC and other regulatory authorities have implemented various rules and taken certain actions, and may in the future adopt additional rules and take other actions, that may impact those engaging in short selling activity involving equity securities (including our common stock). These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S-10</w:t>
      </w:r>
    </w:p>
    <w:p>
      <w:pPr>
        <w:sectPr>
          <w:pgSz w:w="11900" w:h="16838" w:orient="portrait"/>
          <w:cols w:equalWidth="0" w:num="1">
            <w:col w:w="9019"/>
          </w:cols>
          <w:pgMar w:left="1440" w:top="238" w:right="1440" w:bottom="1440" w:gutter="0" w:footer="0" w:header="0"/>
        </w:sectPr>
      </w:pPr>
    </w:p>
    <w:bookmarkStart w:id="13" w:name="page14"/>
    <w:bookmarkEnd w:id="13"/>
    <w:p>
      <w:pPr>
        <w:ind w:left="360" w:right="47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certain regulatory reforms required by the Dodd-Frank Wall Street Reform and Consumer Protection Act of 2010. Any governmental or regulatory action that restricts investors’ ability to effect short sales of our common stock or enter into equity swaps on our common stock could depress the trading price of, and the liquidity of the market for, the notes.</w:t>
      </w:r>
    </w:p>
    <w:p>
      <w:pPr>
        <w:spacing w:after="0" w:line="89"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In addition, the liquidity of the market for our common stock and other market conditions could deteriorate, which could reduce, or eliminate entirely, the number of shares available for lending in connection with short sale transactions and the number of counterparties willing to enter into an equity swap on our common stock with a note investor. These and other market events could make implementing a convertible note arbitrage strategy prohibitively expensive or infeasible. If investors in this offering or potential purchasers of the notes that seek to employ a convertible note arbitrage strategy are unable to do so on commercial terms, or at all, then the trading price of, and the liquidity of the market for, the notes may significantly decline.</w:t>
      </w:r>
    </w:p>
    <w:p>
      <w:pPr>
        <w:spacing w:after="0" w:line="81" w:lineRule="exact"/>
        <w:rPr>
          <w:sz w:val="20"/>
          <w:szCs w:val="20"/>
          <w:color w:val="auto"/>
        </w:rPr>
      </w:pPr>
    </w:p>
    <w:p>
      <w:pPr>
        <w:ind w:left="360" w:right="759"/>
        <w:spacing w:after="0" w:line="261" w:lineRule="auto"/>
        <w:rPr>
          <w:sz w:val="20"/>
          <w:szCs w:val="20"/>
          <w:color w:val="auto"/>
        </w:rPr>
      </w:pPr>
      <w:r>
        <w:rPr>
          <w:rFonts w:ascii="Arial" w:cs="Arial" w:eastAsia="Arial" w:hAnsi="Arial"/>
          <w:sz w:val="14"/>
          <w:szCs w:val="14"/>
          <w:b w:val="1"/>
          <w:bCs w:val="1"/>
          <w:i w:val="1"/>
          <w:iCs w:val="1"/>
          <w:color w:val="auto"/>
        </w:rPr>
        <w:t>You may be subject to tax if we adjust, or fail to adjust, the conversion rate of the notes, even though you will not receive a corresponding cash distribution.</w:t>
      </w:r>
    </w:p>
    <w:p>
      <w:pPr>
        <w:spacing w:after="0" w:line="66" w:lineRule="exact"/>
        <w:rPr>
          <w:sz w:val="20"/>
          <w:szCs w:val="20"/>
          <w:color w:val="auto"/>
        </w:rPr>
      </w:pPr>
    </w:p>
    <w:p>
      <w:pPr>
        <w:ind w:left="360" w:right="439"/>
        <w:spacing w:after="0" w:line="229" w:lineRule="auto"/>
        <w:rPr>
          <w:sz w:val="20"/>
          <w:szCs w:val="20"/>
          <w:color w:val="auto"/>
        </w:rPr>
      </w:pPr>
      <w:r>
        <w:rPr>
          <w:rFonts w:ascii="Arial" w:cs="Arial" w:eastAsia="Arial" w:hAnsi="Arial"/>
          <w:sz w:val="14"/>
          <w:szCs w:val="14"/>
          <w:color w:val="auto"/>
        </w:rPr>
        <w:t>We will adjust the conversion rate of the notes in certain circumstances, including the payment of cash dividends on our common stock. Adjustments (or failures to make adjustments) that have the effect of increasing your proportionate interest in our assets or earnings and profits may in some circumstances result in a deemed distribution, for U.S. federal income tax purposes, to you even though no cash or property is received. Adjustments to the conversion rate made pursuant to a bona fide, reasonable adjustment formula that has the effect of preventing the dilution of the interest of the holders of the notes, however, will generally not be considered to result in a deemed distribution to you. In addition, if we do not adjust (or adjust adequately) the conversion rate after an event that increases your proportionate interest in us, then you could be treated as having received a deemed taxable dividend. For example, if we adjust the conversion rate as a result of a distribution that is taxable to holders of our common stock, such as a cash dividend, then you may be deemed, for U.S. federal income tax purposes, to have received a taxable dividend to the extent of our earnings and profits, without the receipt of any cash or property. If a make-whole fundamental change occurs prior to the maturity date, under some circumstances, we will increase the conversion rate for notes converted in connection with that make-whole fundamental change. Such increase may also be treated as a distribution subject to U.S. federal income tax as a dividend.</w:t>
      </w:r>
    </w:p>
    <w:p>
      <w:pPr>
        <w:spacing w:after="0" w:line="95" w:lineRule="exact"/>
        <w:rPr>
          <w:sz w:val="20"/>
          <w:szCs w:val="20"/>
          <w:color w:val="auto"/>
        </w:rPr>
      </w:pPr>
    </w:p>
    <w:p>
      <w:pPr>
        <w:ind w:left="360" w:right="379"/>
        <w:spacing w:after="0" w:line="275" w:lineRule="auto"/>
        <w:rPr>
          <w:sz w:val="20"/>
          <w:szCs w:val="20"/>
          <w:color w:val="auto"/>
        </w:rPr>
      </w:pPr>
      <w:r>
        <w:rPr>
          <w:rFonts w:ascii="Arial" w:cs="Arial" w:eastAsia="Arial" w:hAnsi="Arial"/>
          <w:sz w:val="12"/>
          <w:szCs w:val="12"/>
          <w:color w:val="auto"/>
        </w:rPr>
        <w:t>If you are subject to backup withholding, or if you are a non-U.S. holder (as defined in “Material U.S. Federal Income Tax Considerations”) subject to U.S. federal withholding tax, such withholding may be withheld from or set off against subsequent payments on the notes or our common stock owned by you or from any proceeds of any subsequent sale, exchange or other disposition of such notes (including the retirement of such notes) or such common stock or other funds or assets held by you. The Internal Revenue Service has issued proposed regulations addressing the amount and timing of deemed distributions, obligations of withholding agents and filing and notice obligations of issuers, which, if adopted, could affect the U.S. federal income tax treatment of a holder of notes deemed to receive such a distribution. See “Description of Notes—Conversion Rights—Conversion Rate Adjustments” and “Material U.S. Federal Income Tax Considerations.”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 rating agency may not rate the notes or may assign a rating that is lower than expected.</w:t>
      </w:r>
    </w:p>
    <w:p>
      <w:pPr>
        <w:spacing w:after="0" w:line="103" w:lineRule="exact"/>
        <w:rPr>
          <w:sz w:val="20"/>
          <w:szCs w:val="20"/>
          <w:color w:val="auto"/>
        </w:rPr>
      </w:pPr>
    </w:p>
    <w:p>
      <w:pPr>
        <w:ind w:left="360" w:right="439"/>
        <w:spacing w:after="0" w:line="238" w:lineRule="auto"/>
        <w:rPr>
          <w:sz w:val="20"/>
          <w:szCs w:val="20"/>
          <w:color w:val="auto"/>
        </w:rPr>
      </w:pPr>
      <w:r>
        <w:rPr>
          <w:rFonts w:ascii="Arial" w:cs="Arial" w:eastAsia="Arial" w:hAnsi="Arial"/>
          <w:sz w:val="14"/>
          <w:szCs w:val="14"/>
          <w:color w:val="auto"/>
        </w:rPr>
        <w:t>We do not intend to seek to have the notes rated by any rating agency. However, if one or more rating agencies rate the notes and assign a rating that is lower than the rating that investors expect, or reduce their rating in the future, then the trading price of our common stock and the notes could significantly decline.</w:t>
      </w:r>
    </w:p>
    <w:p>
      <w:pPr>
        <w:spacing w:after="0" w:line="89" w:lineRule="exact"/>
        <w:rPr>
          <w:sz w:val="20"/>
          <w:szCs w:val="20"/>
          <w:color w:val="auto"/>
        </w:rPr>
      </w:pPr>
    </w:p>
    <w:p>
      <w:pPr>
        <w:ind w:left="360" w:right="459"/>
        <w:spacing w:after="0" w:line="238" w:lineRule="auto"/>
        <w:rPr>
          <w:sz w:val="20"/>
          <w:szCs w:val="20"/>
          <w:color w:val="auto"/>
        </w:rPr>
      </w:pPr>
      <w:r>
        <w:rPr>
          <w:rFonts w:ascii="Arial" w:cs="Arial" w:eastAsia="Arial" w:hAnsi="Arial"/>
          <w:sz w:val="14"/>
          <w:szCs w:val="14"/>
          <w:color w:val="auto"/>
        </w:rPr>
        <w:t>In addition, market perceptions of our creditworthiness will directly affect the trading price of the notes. Accordingly, if a ratings agency rates any of our indebtedness in the future or downgrades or withdraws the rating, or puts us on credit watch, then the trading price of the notes will likely decline.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S-11</w:t>
      </w:r>
    </w:p>
    <w:p>
      <w:pPr>
        <w:sectPr>
          <w:pgSz w:w="11900" w:h="16838" w:orient="portrait"/>
          <w:cols w:equalWidth="0" w:num="1">
            <w:col w:w="9019"/>
          </w:cols>
          <w:pgMar w:left="1440" w:top="238" w:right="1440" w:bottom="1440" w:gutter="0" w:footer="0" w:header="0"/>
        </w:sectPr>
      </w:pPr>
    </w:p>
    <w:bookmarkStart w:id="14" w:name="page15"/>
    <w:bookmarkEnd w:id="14"/>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Provisions in the indenture could delay or prevent an otherwise beneficial takeover of us.</w:t>
      </w:r>
    </w:p>
    <w:p>
      <w:pPr>
        <w:spacing w:after="0" w:line="103" w:lineRule="exact"/>
        <w:rPr>
          <w:sz w:val="20"/>
          <w:szCs w:val="20"/>
          <w:color w:val="auto"/>
        </w:rPr>
      </w:pPr>
    </w:p>
    <w:p>
      <w:pPr>
        <w:ind w:left="360" w:right="379"/>
        <w:spacing w:after="0" w:line="232" w:lineRule="auto"/>
        <w:rPr>
          <w:sz w:val="20"/>
          <w:szCs w:val="20"/>
          <w:color w:val="auto"/>
        </w:rPr>
      </w:pPr>
      <w:r>
        <w:rPr>
          <w:rFonts w:ascii="Arial" w:cs="Arial" w:eastAsia="Arial" w:hAnsi="Arial"/>
          <w:sz w:val="14"/>
          <w:szCs w:val="14"/>
          <w:color w:val="auto"/>
        </w:rPr>
        <w:t>Certain provisions in the notes and the indenture could make a third-party attempt to acquire us more difficult or expensive. For example, if a takeover constitutes a fundamental change, then, except as described in this prospectus supplement,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 party from acquiring us, including in a transaction that noteholders or holders of our common stock may view as favorable.</w:t>
      </w:r>
    </w:p>
    <w:p>
      <w:pPr>
        <w:spacing w:after="0" w:line="81" w:lineRule="exact"/>
        <w:rPr>
          <w:sz w:val="20"/>
          <w:szCs w:val="20"/>
          <w:color w:val="auto"/>
        </w:rPr>
      </w:pPr>
    </w:p>
    <w:p>
      <w:pPr>
        <w:ind w:left="360" w:right="399"/>
        <w:spacing w:after="0" w:line="261" w:lineRule="auto"/>
        <w:rPr>
          <w:sz w:val="20"/>
          <w:szCs w:val="20"/>
          <w:color w:val="auto"/>
        </w:rPr>
      </w:pPr>
      <w:r>
        <w:rPr>
          <w:rFonts w:ascii="Arial" w:cs="Arial" w:eastAsia="Arial" w:hAnsi="Arial"/>
          <w:sz w:val="14"/>
          <w:szCs w:val="14"/>
          <w:b w:val="1"/>
          <w:bCs w:val="1"/>
          <w:i w:val="1"/>
          <w:iCs w:val="1"/>
          <w:color w:val="auto"/>
        </w:rPr>
        <w:t>You may be unable to convert your notes before February 1, 2033, and the trading price of the notes could be less than the value of the consideration into which they could otherwise be converted.</w:t>
      </w:r>
    </w:p>
    <w:p>
      <w:pPr>
        <w:spacing w:after="0" w:line="66" w:lineRule="exact"/>
        <w:rPr>
          <w:sz w:val="20"/>
          <w:szCs w:val="20"/>
          <w:color w:val="auto"/>
        </w:rPr>
      </w:pPr>
    </w:p>
    <w:p>
      <w:pPr>
        <w:ind w:left="360" w:right="419"/>
        <w:spacing w:after="0" w:line="235" w:lineRule="auto"/>
        <w:rPr>
          <w:sz w:val="20"/>
          <w:szCs w:val="20"/>
          <w:color w:val="auto"/>
        </w:rPr>
      </w:pPr>
      <w:r>
        <w:rPr>
          <w:rFonts w:ascii="Arial" w:cs="Arial" w:eastAsia="Arial" w:hAnsi="Arial"/>
          <w:sz w:val="14"/>
          <w:szCs w:val="14"/>
          <w:color w:val="auto"/>
        </w:rPr>
        <w:t>Before February 1, 2033, you may convert your notes only if specific conditions are met. If these conditions are not met, then you will not be able to convert your notes and receive the cash, shares of our common stock or combination of cash and shares, as applicable, into which the notes would otherwise be convertible. As a result, the notes may trade at prices that are less than the value of the consideration into which they would otherwise be convertible.</w:t>
      </w:r>
    </w:p>
    <w:p>
      <w:pPr>
        <w:spacing w:after="0" w:line="90" w:lineRule="exact"/>
        <w:rPr>
          <w:sz w:val="20"/>
          <w:szCs w:val="20"/>
          <w:color w:val="auto"/>
        </w:rPr>
      </w:pPr>
    </w:p>
    <w:p>
      <w:pPr>
        <w:ind w:left="360" w:right="839"/>
        <w:spacing w:after="0" w:line="261" w:lineRule="auto"/>
        <w:rPr>
          <w:sz w:val="20"/>
          <w:szCs w:val="20"/>
          <w:color w:val="auto"/>
        </w:rPr>
      </w:pPr>
      <w:r>
        <w:rPr>
          <w:rFonts w:ascii="Arial" w:cs="Arial" w:eastAsia="Arial" w:hAnsi="Arial"/>
          <w:sz w:val="14"/>
          <w:szCs w:val="14"/>
          <w:b w:val="1"/>
          <w:bCs w:val="1"/>
          <w:i w:val="1"/>
          <w:iCs w:val="1"/>
          <w:color w:val="auto"/>
        </w:rPr>
        <w:t>Fluctuations in the trading price of our common stock after you elect to convert your notes may cause you to receive less valuable consideration than expected.</w:t>
      </w:r>
    </w:p>
    <w:p>
      <w:pPr>
        <w:spacing w:after="0" w:line="56" w:lineRule="exact"/>
        <w:rPr>
          <w:sz w:val="20"/>
          <w:szCs w:val="20"/>
          <w:color w:val="auto"/>
        </w:rPr>
      </w:pPr>
    </w:p>
    <w:p>
      <w:pPr>
        <w:ind w:left="360" w:right="579"/>
        <w:spacing w:after="0" w:line="275" w:lineRule="auto"/>
        <w:rPr>
          <w:sz w:val="20"/>
          <w:szCs w:val="20"/>
          <w:color w:val="auto"/>
        </w:rPr>
      </w:pPr>
      <w:r>
        <w:rPr>
          <w:rFonts w:ascii="Arial" w:cs="Arial" w:eastAsia="Arial" w:hAnsi="Arial"/>
          <w:sz w:val="12"/>
          <w:szCs w:val="12"/>
          <w:color w:val="auto"/>
        </w:rPr>
        <w:t>We will generally have the right to settle conversions in cash, shares of our common stock or a combination of cash and shares. If we elect to settle conversions solely in cash or in a combination of cash and shares, then the consideration due upon conversion will be determined based on the volume-weighted average price of our common stock during the related “observation period,” which is defined under the caption “Description of Notes—Definitions” and will consist of 30 “VWAP trading days.” Except in certain circumstances, the observation period will begin after the related conversion date. Accordingly, a considerable amount of time may lapse between the time you elect to convert your notes and the time you receive the consideration due upon conversion, and if the trading price of our common stock declines during this time, then you may receive less consideration, or consideration that is less valuable, than expected.</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Your investment in the notes may be harmed if we redeem the notes.</w:t>
      </w:r>
    </w:p>
    <w:p>
      <w:pPr>
        <w:spacing w:after="0" w:line="103"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We will have the right to redeem the notes, in whole or in part, in certain circumstances on or after May 6, 2030 and on or before the 31st scheduled trading day immediately before the maturity date. See “Description of Notes</w:t>
      </w:r>
      <w:r>
        <w:rPr>
          <w:rFonts w:ascii="Arial" w:cs="Arial" w:eastAsia="Arial" w:hAnsi="Arial"/>
          <w:sz w:val="14"/>
          <w:szCs w:val="14"/>
          <w:i w:val="1"/>
          <w:iCs w:val="1"/>
          <w:color w:val="auto"/>
        </w:rPr>
        <w:t>—</w:t>
      </w:r>
      <w:r>
        <w:rPr>
          <w:rFonts w:ascii="Arial" w:cs="Arial" w:eastAsia="Arial" w:hAnsi="Arial"/>
          <w:sz w:val="14"/>
          <w:szCs w:val="14"/>
          <w:color w:val="auto"/>
        </w:rPr>
        <w:t>Optional Redemption.” If we redeem your notes, then you may not be entitled to benefit from potential future appreciation in the trading price of our common stock, and you may be unable to reinvest any proceeds from the redemption in comparable investments at favorable interest rates. In addition, a redemption of less than all of the outstanding notes will likely harm the liquidity of the market for the unredeemed notes following the redemption. Accordingly, if your notes are not redeemed in a partial redemption, then you may be unable to sell your notes at the times you desire or at favorable prices, if at all, and the trading price of your notes may decline.</w:t>
      </w:r>
    </w:p>
    <w:p>
      <w:pPr>
        <w:spacing w:after="0" w:line="78" w:lineRule="exact"/>
        <w:rPr>
          <w:sz w:val="20"/>
          <w:szCs w:val="20"/>
          <w:color w:val="auto"/>
        </w:rPr>
      </w:pPr>
    </w:p>
    <w:p>
      <w:pPr>
        <w:ind w:left="360" w:right="519"/>
        <w:spacing w:after="0" w:line="261" w:lineRule="auto"/>
        <w:rPr>
          <w:sz w:val="20"/>
          <w:szCs w:val="20"/>
          <w:color w:val="auto"/>
        </w:rPr>
      </w:pPr>
      <w:r>
        <w:rPr>
          <w:rFonts w:ascii="Arial" w:cs="Arial" w:eastAsia="Arial" w:hAnsi="Arial"/>
          <w:sz w:val="14"/>
          <w:szCs w:val="14"/>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66" w:lineRule="exact"/>
        <w:rPr>
          <w:sz w:val="20"/>
          <w:szCs w:val="20"/>
          <w:color w:val="auto"/>
        </w:rPr>
      </w:pPr>
    </w:p>
    <w:p>
      <w:pPr>
        <w:ind w:left="360" w:right="519"/>
        <w:spacing w:after="0" w:line="235" w:lineRule="auto"/>
        <w:rPr>
          <w:sz w:val="20"/>
          <w:szCs w:val="20"/>
          <w:color w:val="auto"/>
        </w:rPr>
      </w:pPr>
      <w:r>
        <w:rPr>
          <w:rFonts w:ascii="Arial" w:cs="Arial" w:eastAsia="Arial" w:hAnsi="Arial"/>
          <w:sz w:val="14"/>
          <w:szCs w:val="14"/>
          <w:color w:val="auto"/>
        </w:rPr>
        <w:t>Although we have described in this prospectus supplement, under the caption “Use of Proceeds,” how we currently intend to use the net proceeds to us from this offering and, if it is consummated, the concurrent common stock offering, our management will have broad discretion to apply the net proceeds, and investors will rely on our judgment in spending the net proceeds with only limited information about our specific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S-12</w:t>
      </w:r>
    </w:p>
    <w:p>
      <w:pPr>
        <w:sectPr>
          <w:pgSz w:w="11900" w:h="16838" w:orient="portrait"/>
          <w:cols w:equalWidth="0" w:num="1">
            <w:col w:w="9019"/>
          </w:cols>
          <w:pgMar w:left="1440" w:top="238" w:right="1440" w:bottom="1440" w:gutter="0" w:footer="0" w:header="0"/>
        </w:sectPr>
      </w:pPr>
    </w:p>
    <w:bookmarkStart w:id="15" w:name="page16"/>
    <w:bookmarkEnd w:id="15"/>
    <w:p>
      <w:pPr>
        <w:jc w:val="both"/>
        <w:ind w:left="360" w:right="43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intentions for the use of the net proceeds. Our management may use the proceeds in ways that do not earn a profit or otherwise result in the creation of stockholder value. In addition, pending our use of the proceeds, we may invest the proceeds from this offering in a manner that does not produce income or that may lose value.</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accounting method for the notes could adversely affect our reported financial condition and results.</w:t>
      </w:r>
    </w:p>
    <w:p>
      <w:pPr>
        <w:spacing w:after="0" w:line="93" w:lineRule="exact"/>
        <w:rPr>
          <w:sz w:val="20"/>
          <w:szCs w:val="20"/>
          <w:color w:val="auto"/>
        </w:rPr>
      </w:pPr>
    </w:p>
    <w:p>
      <w:pPr>
        <w:jc w:val="both"/>
        <w:ind w:left="360" w:right="419"/>
        <w:spacing w:after="0" w:line="331" w:lineRule="auto"/>
        <w:rPr>
          <w:sz w:val="20"/>
          <w:szCs w:val="20"/>
          <w:color w:val="auto"/>
        </w:rPr>
      </w:pPr>
      <w:r>
        <w:rPr>
          <w:rFonts w:ascii="Arial" w:cs="Arial" w:eastAsia="Arial" w:hAnsi="Arial"/>
          <w:sz w:val="12"/>
          <w:szCs w:val="12"/>
          <w:color w:val="auto"/>
        </w:rPr>
        <w:t>The accounting method for reflecting the notes on our balance sheet, accruing interest expense for the notes and reflecting the underlying shares of our common stock in our reported diluted earnings per share may adversely affect our reported earnings and financial condition.</w:t>
      </w:r>
    </w:p>
    <w:p>
      <w:pPr>
        <w:spacing w:after="0" w:line="35" w:lineRule="exact"/>
        <w:rPr>
          <w:sz w:val="20"/>
          <w:szCs w:val="20"/>
          <w:color w:val="auto"/>
        </w:rPr>
      </w:pPr>
    </w:p>
    <w:p>
      <w:pPr>
        <w:ind w:left="360" w:right="399"/>
        <w:spacing w:after="0" w:line="234" w:lineRule="auto"/>
        <w:rPr>
          <w:sz w:val="20"/>
          <w:szCs w:val="20"/>
          <w:color w:val="auto"/>
        </w:rPr>
      </w:pPr>
      <w:r>
        <w:rPr>
          <w:rFonts w:ascii="Arial" w:cs="Arial" w:eastAsia="Arial" w:hAnsi="Arial"/>
          <w:sz w:val="14"/>
          <w:szCs w:val="14"/>
          <w:color w:val="auto"/>
        </w:rPr>
        <w:t>In accordance with applicable accounting standards, we expect that the notes we are offering will be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w:t>
      </w:r>
    </w:p>
    <w:p>
      <w:pPr>
        <w:spacing w:after="0" w:line="88"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In addition, we expect that the shares underlying the notes will be reflected in our diluted earnings per share using the “if converted” method. Under that method, diluted earnings per share would generally be calculated assuming that all the notes were converted solely into shares of our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78" w:lineRule="exact"/>
        <w:rPr>
          <w:sz w:val="20"/>
          <w:szCs w:val="20"/>
          <w:color w:val="auto"/>
        </w:rPr>
      </w:pPr>
    </w:p>
    <w:p>
      <w:pPr>
        <w:ind w:left="360" w:right="539"/>
        <w:spacing w:after="0" w:line="298" w:lineRule="auto"/>
        <w:rPr>
          <w:sz w:val="20"/>
          <w:szCs w:val="20"/>
          <w:color w:val="auto"/>
        </w:rPr>
      </w:pPr>
      <w:r>
        <w:rPr>
          <w:rFonts w:ascii="Arial" w:cs="Arial" w:eastAsia="Arial" w:hAnsi="Arial"/>
          <w:sz w:val="12"/>
          <w:szCs w:val="12"/>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not reached a final determination regarding the accounting treatment for the notes, and the description above is preliminary.</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Accordingly, we may account for the notes in a manner that is significantly different than described above.</w:t>
      </w:r>
    </w:p>
    <w:p>
      <w:pPr>
        <w:spacing w:after="0" w:line="91" w:lineRule="exact"/>
        <w:rPr>
          <w:sz w:val="20"/>
          <w:szCs w:val="20"/>
          <w:color w:val="auto"/>
        </w:rPr>
      </w:pPr>
    </w:p>
    <w:p>
      <w:pPr>
        <w:ind w:left="360" w:right="579"/>
        <w:spacing w:after="0" w:line="261" w:lineRule="auto"/>
        <w:rPr>
          <w:sz w:val="20"/>
          <w:szCs w:val="20"/>
          <w:color w:val="auto"/>
        </w:rPr>
      </w:pPr>
      <w:r>
        <w:rPr>
          <w:rFonts w:ascii="Arial" w:cs="Arial" w:eastAsia="Arial" w:hAnsi="Arial"/>
          <w:sz w:val="14"/>
          <w:szCs w:val="14"/>
          <w:b w:val="1"/>
          <w:bCs w:val="1"/>
          <w:i w:val="1"/>
          <w:iCs w:val="1"/>
          <w:color w:val="auto"/>
        </w:rPr>
        <w:t>Because the notes will initially be held in book-entry form, noteholders must rely on DTC’s procedures to exercise their rights and remedies.</w:t>
      </w:r>
    </w:p>
    <w:p>
      <w:pPr>
        <w:spacing w:after="0" w:line="56" w:lineRule="exact"/>
        <w:rPr>
          <w:sz w:val="20"/>
          <w:szCs w:val="20"/>
          <w:color w:val="auto"/>
        </w:rPr>
      </w:pPr>
    </w:p>
    <w:p>
      <w:pPr>
        <w:ind w:left="360" w:right="399"/>
        <w:spacing w:after="0" w:line="271" w:lineRule="auto"/>
        <w:rPr>
          <w:sz w:val="20"/>
          <w:szCs w:val="20"/>
          <w:color w:val="auto"/>
        </w:rPr>
      </w:pPr>
      <w:r>
        <w:rPr>
          <w:rFonts w:ascii="Arial" w:cs="Arial" w:eastAsia="Arial" w:hAnsi="Arial"/>
          <w:sz w:val="12"/>
          <w:szCs w:val="12"/>
          <w:color w:val="auto"/>
        </w:rPr>
        <w:t>We will initially issue the notes in the form of one or more “global notes” registered in the name of Cede &amp; Co., as nominee of DTC. Beneficial interests in global notes will be shown on, and transfers of global notes will be effected only through, the records maintained by DTC. Except in limited circumstances, we will not issue certificated notes. See “Description of Notes—Book Entry, Settlement and Clearance.” Accordingly, if you own a beneficial interest in a global note, then you will not be considered an owner or holder of the notes. Instead, DTC or its nominee will be the sole holder of the notes. Payments of principal, interest and other amounts on global notes will be made to the paying agent, who will remit the payments to DTC. We expect that DTC will then credit those payments to the DTC participant accounts that hold book-entry interests in the global notes and that those participants will credit the payments to indirect DTC participants. Unlike persons who have certificated notes registered in their names, owners of beneficial interests in global notes will not have the direct right to act on our solicitations for consents or requests for waivers or other actions from noteholders. Instead, those beneficial owners will be permitted to act only to the extent that they have received appropriate proxies to do so from DTC or, if applicable, a DTC participant. The applicable procedures for the granting of these proxies may not be sufficient to enable owners of beneficial interests in global notes to vote on any requested actions on a timely basis.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S-13</w:t>
      </w:r>
    </w:p>
    <w:p>
      <w:pPr>
        <w:sectPr>
          <w:pgSz w:w="11900" w:h="16838" w:orient="portrait"/>
          <w:cols w:equalWidth="0" w:num="1">
            <w:col w:w="9019"/>
          </w:cols>
          <w:pgMar w:left="1440" w:top="238" w:right="1440" w:bottom="1440" w:gutter="0" w:footer="0" w:header="0"/>
        </w:sectPr>
      </w:pPr>
    </w:p>
    <w:bookmarkStart w:id="16" w:name="page17"/>
    <w:bookmarkEnd w:id="16"/>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Holding notes will not, in itself, confer any rights with respect to our common stock.</w:t>
      </w:r>
    </w:p>
    <w:p>
      <w:pPr>
        <w:spacing w:after="0" w:line="103" w:lineRule="exact"/>
        <w:rPr>
          <w:sz w:val="20"/>
          <w:szCs w:val="20"/>
          <w:color w:val="auto"/>
        </w:rPr>
      </w:pPr>
    </w:p>
    <w:p>
      <w:pPr>
        <w:ind w:left="360" w:right="459"/>
        <w:spacing w:after="0" w:line="278" w:lineRule="auto"/>
        <w:rPr>
          <w:sz w:val="20"/>
          <w:szCs w:val="20"/>
          <w:color w:val="auto"/>
        </w:rPr>
      </w:pPr>
      <w:r>
        <w:rPr>
          <w:rFonts w:ascii="Arial" w:cs="Arial" w:eastAsia="Arial" w:hAnsi="Arial"/>
          <w:sz w:val="12"/>
          <w:szCs w:val="12"/>
          <w:color w:val="auto"/>
        </w:rPr>
        <w:t>Noteholders will generally not be entitled to any rights with respect to our common stock (including voting rights and rights to receive any dividends or other distributions on our common stock). However, noteholders will be subject to all changes affecting our common stock to the extent the trading price of the notes depends on the market price of our common stock and to the extent they receive shares of our common stock upon conversion of their notes. For example, if we propose an amendment to our charter documents that requires stockholder approval, then a noteholder will not, as such, be entitled to vote on the amendment, although the noteholder will be subject to any changes implemented by that amendment in the powers, preferences or special rights of our common stock.</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S-14</w:t>
      </w:r>
    </w:p>
    <w:p>
      <w:pPr>
        <w:sectPr>
          <w:pgSz w:w="11900" w:h="16838" w:orient="portrait"/>
          <w:cols w:equalWidth="0" w:num="1">
            <w:col w:w="9019"/>
          </w:cols>
          <w:pgMar w:left="1440" w:top="239" w:right="1440" w:bottom="1440" w:gutter="0" w:footer="0" w:header="0"/>
        </w:sectPr>
      </w:pPr>
    </w:p>
    <w:bookmarkStart w:id="17" w:name="page18"/>
    <w:bookmarkEnd w:id="17"/>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Cautionary Note Regarding Forward-looking Statements</w:t>
      </w:r>
    </w:p>
    <w:p>
      <w:pPr>
        <w:spacing w:after="0" w:line="125" w:lineRule="exact"/>
        <w:rPr>
          <w:sz w:val="20"/>
          <w:szCs w:val="20"/>
          <w:color w:val="auto"/>
        </w:rPr>
      </w:pPr>
    </w:p>
    <w:p>
      <w:pPr>
        <w:ind w:left="360" w:right="439"/>
        <w:spacing w:after="0" w:line="230" w:lineRule="auto"/>
        <w:rPr>
          <w:sz w:val="20"/>
          <w:szCs w:val="20"/>
          <w:color w:val="auto"/>
        </w:rPr>
      </w:pPr>
      <w:r>
        <w:rPr>
          <w:rFonts w:ascii="Arial" w:cs="Arial" w:eastAsia="Arial" w:hAnsi="Arial"/>
          <w:sz w:val="14"/>
          <w:szCs w:val="14"/>
          <w:color w:val="auto"/>
        </w:rPr>
        <w:t>This prospectus supplement, the accompanying prospectus, including the documents incorporated by reference herein and therein, and any free writing prospectus that we have authorized for use in connection with this offering may contain “forward-looking statements” within the meaning of the Private Securities Litigation Reform Act of 1995 concerning our business, operations and financial performance and condition, as well as our plans, objectives and expectations for our business operations and financial performance and condition. Any statements contained, or incorporated by reference,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91" w:lineRule="exact"/>
        <w:rPr>
          <w:sz w:val="20"/>
          <w:szCs w:val="20"/>
          <w:color w:val="auto"/>
        </w:rPr>
      </w:pPr>
    </w:p>
    <w:p>
      <w:pPr>
        <w:ind w:left="520" w:right="63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scope, progress, results and costs of developing our product candidates or any other future product candidates, and conducting preclinical studies and clinical trials;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scope, progress, results and costs related to the research and development of our pipeline;</w:t>
      </w:r>
    </w:p>
    <w:p>
      <w:pPr>
        <w:spacing w:after="0" w:line="102" w:lineRule="exact"/>
        <w:rPr>
          <w:rFonts w:ascii="Arial" w:cs="Arial" w:eastAsia="Arial" w:hAnsi="Arial"/>
          <w:sz w:val="14"/>
          <w:szCs w:val="14"/>
          <w:color w:val="auto"/>
        </w:rPr>
      </w:pPr>
    </w:p>
    <w:p>
      <w:pPr>
        <w:ind w:left="520" w:right="63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timing of and costs involved in obtaining and maintaining regulatory approval for any of our current or future product candidates, and any related restrictions, limitations and/or warnings in the label of an approved product candidate;</w:t>
      </w:r>
    </w:p>
    <w:p>
      <w:pPr>
        <w:spacing w:after="0" w:line="82" w:lineRule="exact"/>
        <w:rPr>
          <w:rFonts w:ascii="Arial" w:cs="Arial" w:eastAsia="Arial" w:hAnsi="Arial"/>
          <w:sz w:val="14"/>
          <w:szCs w:val="14"/>
          <w:color w:val="auto"/>
        </w:rPr>
      </w:pPr>
    </w:p>
    <w:p>
      <w:pPr>
        <w:ind w:left="520" w:right="61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regarding the potential market size and size of the potential patient populations for our product candidates and any future product candidates, if approved for commercial use;</w:t>
      </w:r>
    </w:p>
    <w:p>
      <w:pPr>
        <w:spacing w:after="0" w:line="82" w:lineRule="exact"/>
        <w:rPr>
          <w:rFonts w:ascii="Arial" w:cs="Arial" w:eastAsia="Arial" w:hAnsi="Arial"/>
          <w:sz w:val="14"/>
          <w:szCs w:val="14"/>
          <w:color w:val="auto"/>
        </w:rPr>
      </w:pPr>
    </w:p>
    <w:p>
      <w:pPr>
        <w:ind w:left="520" w:right="111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and establish new collaborations, licensing or other arrangements and the financial terms of any such agreements;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expectations;</w:t>
      </w:r>
    </w:p>
    <w:p>
      <w:pPr>
        <w:spacing w:after="0" w:line="102" w:lineRule="exact"/>
        <w:rPr>
          <w:rFonts w:ascii="Arial" w:cs="Arial" w:eastAsia="Arial" w:hAnsi="Arial"/>
          <w:sz w:val="14"/>
          <w:szCs w:val="14"/>
          <w:color w:val="auto"/>
        </w:rPr>
      </w:pPr>
    </w:p>
    <w:p>
      <w:pPr>
        <w:ind w:left="520" w:right="101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rate and degree of market acceptance of our product candidates, as well as the pricing and reimbursement of our product candidates, if approved;</w:t>
      </w:r>
    </w:p>
    <w:p>
      <w:pPr>
        <w:spacing w:after="0" w:line="82" w:lineRule="exact"/>
        <w:rPr>
          <w:rFonts w:ascii="Arial" w:cs="Arial" w:eastAsia="Arial" w:hAnsi="Arial"/>
          <w:sz w:val="14"/>
          <w:szCs w:val="14"/>
          <w:color w:val="auto"/>
        </w:rPr>
      </w:pPr>
    </w:p>
    <w:p>
      <w:pPr>
        <w:ind w:left="520" w:right="41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implementation of our business model and strategic plans for our business, product candidates and technology, including additional indications which we may pursue;</w:t>
      </w:r>
    </w:p>
    <w:p>
      <w:pPr>
        <w:spacing w:after="0" w:line="82" w:lineRule="exact"/>
        <w:rPr>
          <w:rFonts w:ascii="Arial" w:cs="Arial" w:eastAsia="Arial" w:hAnsi="Arial"/>
          <w:sz w:val="14"/>
          <w:szCs w:val="14"/>
          <w:color w:val="auto"/>
        </w:rPr>
      </w:pPr>
    </w:p>
    <w:p>
      <w:pPr>
        <w:ind w:left="520" w:right="49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scope of protection we are able to establish and maintain for intellectual property rights covering our product candidates, including the projected term of patent protection;</w:t>
      </w:r>
    </w:p>
    <w:p>
      <w:pPr>
        <w:spacing w:after="0" w:line="82" w:lineRule="exact"/>
        <w:rPr>
          <w:rFonts w:ascii="Arial" w:cs="Arial" w:eastAsia="Arial" w:hAnsi="Arial"/>
          <w:sz w:val="14"/>
          <w:szCs w:val="14"/>
          <w:color w:val="auto"/>
        </w:rPr>
      </w:pPr>
    </w:p>
    <w:p>
      <w:pPr>
        <w:ind w:left="520" w:right="89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regarding our ability to obtain, maintain, enforce and defend our intellectual property protection for our product candidates;</w:t>
      </w:r>
    </w:p>
    <w:p>
      <w:pPr>
        <w:spacing w:after="0" w:line="82" w:lineRule="exact"/>
        <w:rPr>
          <w:rFonts w:ascii="Arial" w:cs="Arial" w:eastAsia="Arial" w:hAnsi="Arial"/>
          <w:sz w:val="14"/>
          <w:szCs w:val="14"/>
          <w:color w:val="auto"/>
        </w:rPr>
      </w:pPr>
    </w:p>
    <w:p>
      <w:pPr>
        <w:ind w:left="520" w:right="559" w:hanging="157"/>
        <w:spacing w:after="0" w:line="249"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estimates of our expenses, future revenue, capital requirements, our needs for additional financing and our ability to obtain additional capital;</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developments and projections relating to our competitors and our industry, including competing therapies and procedures;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regulatory and legal developments in the United States and foreign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S-15</w:t>
      </w:r>
    </w:p>
    <w:p>
      <w:pPr>
        <w:sectPr>
          <w:pgSz w:w="11900" w:h="16838" w:orient="portrait"/>
          <w:cols w:equalWidth="0" w:num="1">
            <w:col w:w="9019"/>
          </w:cols>
          <w:pgMar w:left="1440" w:top="226" w:right="1440" w:bottom="1440" w:gutter="0" w:footer="0" w:header="0"/>
        </w:sectPr>
      </w:pPr>
    </w:p>
    <w:bookmarkStart w:id="18" w:name="page19"/>
    <w:bookmarkEnd w:id="18"/>
    <w:p>
      <w:pPr>
        <w:ind w:left="520" w:hanging="1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performance of our third-party suppliers and manufacturers;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attract and retain key scientific or management personnel;</w:t>
      </w:r>
    </w:p>
    <w:p>
      <w:pPr>
        <w:spacing w:after="0" w:line="102" w:lineRule="exact"/>
        <w:rPr>
          <w:rFonts w:ascii="Arial" w:cs="Arial" w:eastAsia="Arial" w:hAnsi="Arial"/>
          <w:sz w:val="14"/>
          <w:szCs w:val="14"/>
          <w:color w:val="auto"/>
        </w:rPr>
      </w:pPr>
    </w:p>
    <w:p>
      <w:pPr>
        <w:ind w:left="520" w:right="579" w:hanging="157"/>
        <w:spacing w:after="0" w:line="249"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expectations regarding the completion of, and anticipated use of the net proceeds from, this offering and the concurrent common stock offering; and</w:t>
      </w:r>
    </w:p>
    <w:p>
      <w:pPr>
        <w:spacing w:after="0" w:line="82" w:lineRule="exact"/>
        <w:rPr>
          <w:rFonts w:ascii="Arial" w:cs="Arial" w:eastAsia="Arial" w:hAnsi="Arial"/>
          <w:sz w:val="14"/>
          <w:szCs w:val="14"/>
          <w:color w:val="auto"/>
        </w:rPr>
      </w:pPr>
    </w:p>
    <w:p>
      <w:pPr>
        <w:ind w:left="520" w:right="499" w:hanging="157"/>
        <w:spacing w:after="0" w:line="23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risks and uncertainties, including those listed under the caption “Risk Factors” and elsewhere in this prospectus supplement, the accompanying prospectus and the documents incorporated by reference in this prospectus supplement and the accompanying prospectus.</w:t>
      </w:r>
    </w:p>
    <w:p>
      <w:pPr>
        <w:spacing w:after="0" w:line="89" w:lineRule="exact"/>
        <w:rPr>
          <w:sz w:val="20"/>
          <w:szCs w:val="20"/>
          <w:color w:val="auto"/>
        </w:rPr>
      </w:pPr>
    </w:p>
    <w:p>
      <w:pPr>
        <w:ind w:left="360" w:right="439"/>
        <w:spacing w:after="0" w:line="271" w:lineRule="auto"/>
        <w:rPr>
          <w:sz w:val="20"/>
          <w:szCs w:val="20"/>
          <w:color w:val="auto"/>
        </w:rPr>
      </w:pPr>
      <w:r>
        <w:rPr>
          <w:rFonts w:ascii="Arial" w:cs="Arial" w:eastAsia="Arial" w:hAnsi="Arial"/>
          <w:sz w:val="12"/>
          <w:szCs w:val="12"/>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and the accompanying prospectus may turn out to be inaccurate. Factors that may cause actual results to differ materially from current expectations include, among other things, those listed under “Risk Factors” and elsewhere and incorporated by reference in this prospectus supplement. Potential investors are urged to consider these factors carefully in evaluating the forward-looking statements. 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 Incorporation by Reference” for additional information.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S-16</w:t>
      </w:r>
    </w:p>
    <w:p>
      <w:pPr>
        <w:sectPr>
          <w:pgSz w:w="11900" w:h="16838" w:orient="portrait"/>
          <w:cols w:equalWidth="0" w:num="1">
            <w:col w:w="9019"/>
          </w:cols>
          <w:pgMar w:left="1440" w:top="238" w:right="1440" w:bottom="1440" w:gutter="0" w:footer="0" w:header="0"/>
        </w:sectPr>
      </w:pPr>
    </w:p>
    <w:bookmarkStart w:id="19" w:name="page20"/>
    <w:bookmarkEnd w:id="19"/>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Use of Proceeds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estimate that the net proceeds to us from this offering will be approximately $486.8 million, after deducting the underwriting discounts</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and commissions and our estimated offering expenses. We estimate that the net proceeds to us from the concurrent common stock</w:t>
      </w:r>
    </w:p>
    <w:p>
      <w:pPr>
        <w:ind w:left="360"/>
        <w:spacing w:after="0" w:line="226" w:lineRule="auto"/>
        <w:rPr>
          <w:sz w:val="20"/>
          <w:szCs w:val="20"/>
          <w:color w:val="auto"/>
        </w:rPr>
      </w:pPr>
      <w:r>
        <w:rPr>
          <w:rFonts w:ascii="Arial" w:cs="Arial" w:eastAsia="Arial" w:hAnsi="Arial"/>
          <w:sz w:val="14"/>
          <w:szCs w:val="14"/>
          <w:color w:val="auto"/>
        </w:rPr>
        <w:t>offering described in this prospectus supplement, if it is consummated, will be approximately $1,435.0 million (or approximately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$1,650.4 million if the underwriters of the concurrent common stock offering exercise in full their option to purchase additional shares of</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common stock), after deducting the underwriting discounts and commissions and our estimated offering expenses.</w:t>
      </w:r>
    </w:p>
    <w:p>
      <w:pPr>
        <w:spacing w:after="0" w:line="81" w:lineRule="exact"/>
        <w:rPr>
          <w:sz w:val="20"/>
          <w:szCs w:val="20"/>
          <w:color w:val="auto"/>
        </w:rPr>
      </w:pPr>
    </w:p>
    <w:p>
      <w:pPr>
        <w:ind w:left="360" w:right="399"/>
        <w:spacing w:after="0" w:line="281" w:lineRule="auto"/>
        <w:rPr>
          <w:sz w:val="20"/>
          <w:szCs w:val="20"/>
          <w:color w:val="auto"/>
        </w:rPr>
      </w:pPr>
      <w:r>
        <w:rPr>
          <w:rFonts w:ascii="Arial" w:cs="Arial" w:eastAsia="Arial" w:hAnsi="Arial"/>
          <w:sz w:val="12"/>
          <w:szCs w:val="12"/>
          <w:color w:val="auto"/>
        </w:rPr>
        <w:t>We intend to use the net proceeds from this offering and, if it is consummated, the concurrent common stock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as of the date of this prospectus supplement.</w:t>
      </w:r>
    </w:p>
    <w:p>
      <w:pPr>
        <w:spacing w:after="0" w:line="65" w:lineRule="exact"/>
        <w:rPr>
          <w:sz w:val="20"/>
          <w:szCs w:val="20"/>
          <w:color w:val="auto"/>
        </w:rPr>
      </w:pPr>
    </w:p>
    <w:p>
      <w:pPr>
        <w:jc w:val="both"/>
        <w:ind w:left="360" w:right="539"/>
        <w:spacing w:after="0" w:line="287" w:lineRule="auto"/>
        <w:rPr>
          <w:sz w:val="20"/>
          <w:szCs w:val="20"/>
          <w:color w:val="auto"/>
        </w:rPr>
      </w:pPr>
      <w:r>
        <w:rPr>
          <w:rFonts w:ascii="Arial" w:cs="Arial" w:eastAsia="Arial" w:hAnsi="Arial"/>
          <w:sz w:val="12"/>
          <w:szCs w:val="12"/>
          <w:color w:val="auto"/>
        </w:rPr>
        <w:t>The amounts and timing of our actual expenditures will depend on numerous factors, including our development and commercialization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w:t>
      </w:r>
    </w:p>
    <w:p>
      <w:pPr>
        <w:spacing w:after="0" w:line="61" w:lineRule="exact"/>
        <w:rPr>
          <w:sz w:val="20"/>
          <w:szCs w:val="20"/>
          <w:color w:val="auto"/>
        </w:rPr>
      </w:pPr>
    </w:p>
    <w:p>
      <w:pPr>
        <w:ind w:left="360" w:right="759"/>
        <w:spacing w:after="0" w:line="249" w:lineRule="auto"/>
        <w:rPr>
          <w:sz w:val="20"/>
          <w:szCs w:val="20"/>
          <w:color w:val="auto"/>
        </w:rPr>
      </w:pPr>
      <w:r>
        <w:rPr>
          <w:rFonts w:ascii="Arial" w:cs="Arial" w:eastAsia="Arial" w:hAnsi="Arial"/>
          <w:sz w:val="14"/>
          <w:szCs w:val="14"/>
          <w:color w:val="auto"/>
        </w:rPr>
        <w:t>Pending the use of the net proceeds from this offering, we intend to invest the net proceeds in short-term investment-grade, interest-bearing securities.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S-17</w:t>
      </w:r>
    </w:p>
    <w:p>
      <w:pPr>
        <w:sectPr>
          <w:pgSz w:w="11900" w:h="16838" w:orient="portrait"/>
          <w:cols w:equalWidth="0" w:num="1">
            <w:col w:w="9019"/>
          </w:cols>
          <w:pgMar w:left="1440" w:top="226" w:right="1440" w:bottom="1440" w:gutter="0" w:footer="0" w:header="0"/>
        </w:sectPr>
      </w:pPr>
    </w:p>
    <w:bookmarkStart w:id="20" w:name="page21"/>
    <w:bookmarkEnd w:id="20"/>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our cash, cash equivalents and marketable securities and our capitalization as of December 31, 2025:</w:t>
      </w:r>
    </w:p>
    <w:p>
      <w:pPr>
        <w:spacing w:after="0" w:line="103" w:lineRule="exact"/>
        <w:rPr>
          <w:sz w:val="20"/>
          <w:szCs w:val="20"/>
          <w:color w:val="auto"/>
        </w:rPr>
      </w:pPr>
    </w:p>
    <w:p>
      <w:pPr>
        <w:ind w:left="520" w:hanging="157"/>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02" w:lineRule="exact"/>
        <w:rPr>
          <w:rFonts w:ascii="Arial" w:cs="Arial" w:eastAsia="Arial" w:hAnsi="Arial"/>
          <w:sz w:val="14"/>
          <w:szCs w:val="14"/>
          <w:color w:val="auto"/>
        </w:rPr>
      </w:pPr>
    </w:p>
    <w:p>
      <w:pPr>
        <w:ind w:left="520" w:right="899" w:hanging="157"/>
        <w:spacing w:after="0" w:line="249"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an as adjusted basis to give effect to the issuance and sale of $500,000,000 aggregate principal amount of the notes we are offering, after deducting the underwriting discounts and commissions and our estimated offering expenses; and</w:t>
      </w:r>
    </w:p>
    <w:p>
      <w:pPr>
        <w:spacing w:after="0" w:line="82" w:lineRule="exact"/>
        <w:rPr>
          <w:rFonts w:ascii="Arial" w:cs="Arial" w:eastAsia="Arial" w:hAnsi="Arial"/>
          <w:sz w:val="14"/>
          <w:szCs w:val="14"/>
          <w:color w:val="auto"/>
        </w:rPr>
      </w:pPr>
    </w:p>
    <w:p>
      <w:pPr>
        <w:ind w:left="520" w:right="419" w:hanging="157"/>
        <w:spacing w:after="0" w:line="235"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 pro forma as adjusted basis to give further effect to the issuance and sale of our common stock in the concurrent common stock offering (assuming no exercise of the option of the underwriters of the concurrent common stock offering to purchase additional shares of our common stock), after deducting the underwriting discounts and commissions and our estimated offering expenses, assuming the concurrent common stock offering is consummated.</w:t>
      </w:r>
    </w:p>
    <w:p>
      <w:pPr>
        <w:spacing w:after="0" w:line="80"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The information in the table below is illustrative only, and our capitalization following the completion of this offering and the concurrent common stock offering, if it is completed, will depend on the final terms of the offerings. Moreover, because the completion of this offering is not contingent on the completion of the concurrent common stock offering, you should not assume that the concurrent common stock offering, as reflected in the pro forma as adjusted column in the table below, will take place.</w:t>
      </w:r>
    </w:p>
    <w:p>
      <w:pPr>
        <w:spacing w:after="0" w:line="90" w:lineRule="exact"/>
        <w:rPr>
          <w:sz w:val="20"/>
          <w:szCs w:val="20"/>
          <w:color w:val="auto"/>
        </w:rPr>
      </w:pPr>
    </w:p>
    <w:p>
      <w:pPr>
        <w:ind w:left="360" w:right="579"/>
        <w:spacing w:after="0" w:line="249" w:lineRule="auto"/>
        <w:rPr>
          <w:sz w:val="20"/>
          <w:szCs w:val="20"/>
          <w:color w:val="auto"/>
        </w:rPr>
      </w:pPr>
      <w:r>
        <w:rPr>
          <w:rFonts w:ascii="Arial" w:cs="Arial" w:eastAsia="Arial" w:hAnsi="Arial"/>
          <w:sz w:val="14"/>
          <w:szCs w:val="14"/>
          <w:color w:val="auto"/>
        </w:rPr>
        <w:t>This table should be read in conjunction with the other information included or incorporated by reference in this prospectus supplement, including our consolidated financial statements and related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60325</wp:posOffset>
            </wp:positionV>
            <wp:extent cx="525907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p>
      <w:pPr>
        <w:spacing w:after="0" w:line="11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As of December 31, 2025</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300"/>
              <w:spacing w:after="0"/>
              <w:rPr>
                <w:sz w:val="20"/>
                <w:szCs w:val="20"/>
                <w:color w:val="auto"/>
              </w:rPr>
            </w:pPr>
            <w:r>
              <w:rPr>
                <w:rFonts w:ascii="Arial" w:cs="Arial" w:eastAsia="Arial" w:hAnsi="Arial"/>
                <w:sz w:val="12"/>
                <w:szCs w:val="12"/>
                <w:b w:val="1"/>
                <w:bCs w:val="1"/>
                <w:color w:val="auto"/>
              </w:rPr>
              <w:t>Actual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As adjusted</w:t>
            </w:r>
          </w:p>
        </w:tc>
        <w:tc>
          <w:tcPr>
            <w:tcW w:w="14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100" w:type="dxa"/>
            <w:vAlign w:val="bottom"/>
            <w:tcBorders>
              <w:top w:val="single" w:sz="8" w:color="auto"/>
              <w:bottom w:val="single" w:sz="8" w:color="auto"/>
            </w:tcBorders>
            <w:gridSpan w:val="9"/>
          </w:tcPr>
          <w:p>
            <w:pPr>
              <w:jc w:val="right"/>
              <w:ind w:right="20"/>
              <w:spacing w:after="0" w:line="132" w:lineRule="exact"/>
              <w:rPr>
                <w:sz w:val="20"/>
                <w:szCs w:val="20"/>
                <w:color w:val="auto"/>
              </w:rPr>
            </w:pPr>
            <w:r>
              <w:rPr>
                <w:rFonts w:ascii="Arial" w:cs="Arial" w:eastAsia="Arial" w:hAnsi="Arial"/>
                <w:sz w:val="12"/>
                <w:szCs w:val="12"/>
                <w:b w:val="1"/>
                <w:bCs w:val="1"/>
                <w:color w:val="auto"/>
              </w:rPr>
              <w:t>(In thousands, except share and per share data)</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cash equivalents and marketable securities</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2,025,679</w:t>
            </w:r>
          </w:p>
        </w:tc>
        <w:tc>
          <w:tcPr>
            <w:tcW w:w="4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2,512,434</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3,947,414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rPr>
                <w:sz w:val="20"/>
                <w:szCs w:val="20"/>
                <w:color w:val="auto"/>
              </w:rPr>
            </w:pPr>
            <w:r>
              <w:rPr>
                <w:rFonts w:ascii="Arial" w:cs="Arial" w:eastAsia="Arial" w:hAnsi="Arial"/>
                <w:sz w:val="14"/>
                <w:szCs w:val="14"/>
                <w:color w:val="auto"/>
              </w:rPr>
              <w:t>Debt:</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Principal amount of 0.50% convertible senior notes due 2033 we are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offering(1)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20" w:type="dxa"/>
            <w:vAlign w:val="bottom"/>
            <w:gridSpan w:val="2"/>
          </w:tcPr>
          <w:p>
            <w:pPr>
              <w:spacing w:after="0" w:line="153" w:lineRule="exact"/>
              <w:rPr>
                <w:sz w:val="20"/>
                <w:szCs w:val="20"/>
                <w:color w:val="auto"/>
              </w:rPr>
            </w:pPr>
            <w:r>
              <w:rPr>
                <w:rFonts w:ascii="Arial" w:cs="Arial" w:eastAsia="Arial" w:hAnsi="Arial"/>
                <w:sz w:val="14"/>
                <w:szCs w:val="14"/>
                <w:color w:val="auto"/>
              </w:rPr>
              <w:t>Total debt(2)</w:t>
            </w: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500,000</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500,000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5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0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0" w:type="dxa"/>
            <w:vAlign w:val="bottom"/>
          </w:tcPr>
          <w:p>
            <w:pPr>
              <w:ind w:left="120"/>
              <w:spacing w:after="0" w:line="140" w:lineRule="exact"/>
              <w:rPr>
                <w:sz w:val="20"/>
                <w:szCs w:val="20"/>
                <w:color w:val="auto"/>
              </w:rPr>
            </w:pPr>
            <w:r>
              <w:rPr>
                <w:rFonts w:ascii="Arial" w:cs="Arial" w:eastAsia="Arial" w:hAnsi="Arial"/>
                <w:sz w:val="14"/>
                <w:szCs w:val="14"/>
                <w:color w:val="auto"/>
              </w:rPr>
              <w:t>Preferred stock, $0.0001 par value per share; 10,000,000 shares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tcPr>
          <w:p>
            <w:pPr>
              <w:ind w:left="260"/>
              <w:spacing w:after="0" w:line="152" w:lineRule="exact"/>
              <w:rPr>
                <w:sz w:val="20"/>
                <w:szCs w:val="20"/>
                <w:color w:val="auto"/>
              </w:rPr>
            </w:pPr>
            <w:r>
              <w:rPr>
                <w:rFonts w:ascii="Arial" w:cs="Arial" w:eastAsia="Arial" w:hAnsi="Arial"/>
                <w:sz w:val="14"/>
                <w:szCs w:val="14"/>
                <w:color w:val="auto"/>
              </w:rPr>
              <w:t>authorized, no shares outstanding, actual, as adjusted and pro forma as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tcPr>
          <w:p>
            <w:pPr>
              <w:ind w:left="260"/>
              <w:spacing w:after="0"/>
              <w:rPr>
                <w:sz w:val="20"/>
                <w:szCs w:val="20"/>
                <w:color w:val="auto"/>
              </w:rPr>
            </w:pPr>
            <w:r>
              <w:rPr>
                <w:rFonts w:ascii="Arial" w:cs="Arial" w:eastAsia="Arial" w:hAnsi="Arial"/>
                <w:sz w:val="14"/>
                <w:szCs w:val="14"/>
                <w:color w:val="auto"/>
              </w:rPr>
              <w:t>adjusted</w:t>
            </w: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0" w:type="dxa"/>
            <w:vAlign w:val="bottom"/>
            <w:shd w:val="clear" w:color="auto" w:fill="CCEEFF"/>
          </w:tcPr>
          <w:p>
            <w:pPr>
              <w:ind w:left="120"/>
              <w:spacing w:after="0" w:line="140" w:lineRule="exact"/>
              <w:rPr>
                <w:sz w:val="20"/>
                <w:szCs w:val="20"/>
                <w:color w:val="auto"/>
              </w:rPr>
            </w:pPr>
            <w:r>
              <w:rPr>
                <w:rFonts w:ascii="Arial" w:cs="Arial" w:eastAsia="Arial" w:hAnsi="Arial"/>
                <w:sz w:val="14"/>
                <w:szCs w:val="14"/>
                <w:color w:val="auto"/>
              </w:rPr>
              <w:t>Common stock, $0.0001 par value per share; 300,000,000 shares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rPr>
              <w:t>authorized; 197,001,401 shares outstanding, actual and as adjusted;</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207,564,782 shares outstanding, pro forma as adjusted</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tcPr>
          <w:p>
            <w:pPr>
              <w:ind w:left="120"/>
              <w:spacing w:after="0" w:line="152"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3"/>
                <w:szCs w:val="13"/>
                <w:color w:val="auto"/>
              </w:rPr>
            </w:pPr>
          </w:p>
        </w:tc>
        <w:tc>
          <w:tcPr>
            <w:tcW w:w="72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4,497,143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60"/>
              <w:spacing w:after="0" w:line="152" w:lineRule="exact"/>
              <w:rPr>
                <w:sz w:val="20"/>
                <w:szCs w:val="20"/>
                <w:color w:val="auto"/>
              </w:rPr>
            </w:pPr>
            <w:r>
              <w:rPr>
                <w:rFonts w:ascii="Arial" w:cs="Arial" w:eastAsia="Arial" w:hAnsi="Arial"/>
                <w:sz w:val="14"/>
                <w:szCs w:val="14"/>
                <w:color w:val="auto"/>
              </w:rPr>
              <w:t>4,497,143</w:t>
            </w:r>
          </w:p>
        </w:tc>
        <w:tc>
          <w:tcPr>
            <w:tcW w:w="140" w:type="dxa"/>
            <w:vAlign w:val="bottom"/>
          </w:tcPr>
          <w:p>
            <w:pPr>
              <w:spacing w:after="0"/>
              <w:rPr>
                <w:sz w:val="13"/>
                <w:szCs w:val="13"/>
                <w:color w:val="auto"/>
              </w:rPr>
            </w:pPr>
          </w:p>
        </w:tc>
        <w:tc>
          <w:tcPr>
            <w:tcW w:w="740" w:type="dxa"/>
            <w:vAlign w:val="bottom"/>
            <w:gridSpan w:val="2"/>
          </w:tcPr>
          <w:p>
            <w:pPr>
              <w:jc w:val="right"/>
              <w:ind w:right="20"/>
              <w:spacing w:after="0" w:line="152" w:lineRule="exact"/>
              <w:rPr>
                <w:sz w:val="20"/>
                <w:szCs w:val="20"/>
                <w:color w:val="auto"/>
              </w:rPr>
            </w:pPr>
            <w:r>
              <w:rPr>
                <w:rFonts w:ascii="Arial" w:cs="Arial" w:eastAsia="Arial" w:hAnsi="Arial"/>
                <w:sz w:val="14"/>
                <w:szCs w:val="14"/>
                <w:color w:val="auto"/>
              </w:rPr>
              <w:t>5,932,121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Accumulated other comprehensive income</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2" w:lineRule="exact"/>
              <w:rPr>
                <w:sz w:val="20"/>
                <w:szCs w:val="20"/>
                <w:color w:val="auto"/>
              </w:rPr>
            </w:pPr>
            <w:r>
              <w:rPr>
                <w:rFonts w:ascii="Arial" w:cs="Arial" w:eastAsia="Arial" w:hAnsi="Arial"/>
                <w:sz w:val="14"/>
                <w:szCs w:val="14"/>
                <w:color w:val="auto"/>
              </w:rPr>
              <w:t>3,237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line="152" w:lineRule="exact"/>
              <w:rPr>
                <w:sz w:val="20"/>
                <w:szCs w:val="20"/>
                <w:color w:val="auto"/>
              </w:rPr>
            </w:pPr>
            <w:r>
              <w:rPr>
                <w:rFonts w:ascii="Arial" w:cs="Arial" w:eastAsia="Arial" w:hAnsi="Arial"/>
                <w:sz w:val="14"/>
                <w:szCs w:val="14"/>
                <w:color w:val="auto"/>
              </w:rPr>
              <w:t>3,237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2" w:lineRule="exact"/>
              <w:rPr>
                <w:sz w:val="20"/>
                <w:szCs w:val="20"/>
                <w:color w:val="auto"/>
              </w:rPr>
            </w:pPr>
            <w:r>
              <w:rPr>
                <w:rFonts w:ascii="Arial" w:cs="Arial" w:eastAsia="Arial" w:hAnsi="Arial"/>
                <w:sz w:val="14"/>
                <w:szCs w:val="14"/>
                <w:color w:val="auto"/>
              </w:rPr>
              <w:t>3,237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0" w:type="dxa"/>
            <w:vAlign w:val="bottom"/>
          </w:tcPr>
          <w:p>
            <w:pPr>
              <w:ind w:left="3980"/>
              <w:spacing w:after="0"/>
              <w:rPr>
                <w:sz w:val="20"/>
                <w:szCs w:val="20"/>
                <w:color w:val="auto"/>
              </w:rPr>
            </w:pPr>
            <w:r>
              <w:rPr>
                <w:rFonts w:ascii="Arial" w:cs="Arial" w:eastAsia="Arial" w:hAnsi="Arial"/>
                <w:sz w:val="14"/>
                <w:szCs w:val="14"/>
                <w:color w:val="auto"/>
              </w:rPr>
              <w:t>S-18</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drawing>
          <wp:anchor simplePos="0" relativeHeight="251657728" behindDoc="1" locked="0" layoutInCell="0" allowOverlap="1">
            <wp:simplePos x="0" y="0"/>
            <wp:positionH relativeFrom="page">
              <wp:posOffset>1144905</wp:posOffset>
            </wp:positionH>
            <wp:positionV relativeFrom="page">
              <wp:posOffset>160020</wp:posOffset>
            </wp:positionV>
            <wp:extent cx="525907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As of December 31, 2025</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Pro forma</w:t>
            </w:r>
          </w:p>
        </w:tc>
      </w:tr>
      <w:tr>
        <w:trPr>
          <w:trHeight w:val="153"/>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2"/>
                <w:szCs w:val="12"/>
                <w:b w:val="1"/>
                <w:bCs w:val="1"/>
                <w:color w:val="auto"/>
              </w:rPr>
              <w:t>Actual</w:t>
            </w:r>
          </w:p>
        </w:tc>
        <w:tc>
          <w:tcPr>
            <w:tcW w:w="16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As adjusted</w:t>
            </w:r>
          </w:p>
        </w:tc>
        <w:tc>
          <w:tcPr>
            <w:tcW w:w="2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as adjusted</w:t>
            </w:r>
          </w:p>
        </w:tc>
      </w:tr>
      <w:tr>
        <w:trPr>
          <w:trHeight w:val="132"/>
        </w:trPr>
        <w:tc>
          <w:tcPr>
            <w:tcW w:w="20" w:type="dxa"/>
            <w:vAlign w:val="bottom"/>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c>
          <w:tcPr>
            <w:tcW w:w="3180" w:type="dxa"/>
            <w:vAlign w:val="bottom"/>
            <w:tcBorders>
              <w:top w:val="single" w:sz="8" w:color="auto"/>
              <w:bottom w:val="single" w:sz="8" w:color="auto"/>
            </w:tcBorders>
            <w:gridSpan w:val="8"/>
          </w:tcPr>
          <w:p>
            <w:pPr>
              <w:jc w:val="right"/>
              <w:ind w:right="20"/>
              <w:spacing w:after="0" w:line="132" w:lineRule="exact"/>
              <w:rPr>
                <w:sz w:val="20"/>
                <w:szCs w:val="20"/>
                <w:color w:val="auto"/>
              </w:rPr>
            </w:pPr>
            <w:r>
              <w:rPr>
                <w:rFonts w:ascii="Arial" w:cs="Arial" w:eastAsia="Arial" w:hAnsi="Arial"/>
                <w:sz w:val="12"/>
                <w:szCs w:val="12"/>
                <w:b w:val="1"/>
                <w:bCs w:val="1"/>
                <w:color w:val="auto"/>
              </w:rPr>
              <w:t>(In thousands, except share and per share data)</w:t>
            </w:r>
          </w:p>
        </w:tc>
        <w:tc>
          <w:tcPr>
            <w:tcW w:w="60" w:type="dxa"/>
            <w:vAlign w:val="bottom"/>
            <w:tcBorders>
              <w:bottom w:val="single" w:sz="8" w:color="auto"/>
            </w:tcBorders>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502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Accumulated deficit</w:t>
            </w:r>
          </w:p>
        </w:tc>
        <w:tc>
          <w:tcPr>
            <w:tcW w:w="1000" w:type="dxa"/>
            <w:vAlign w:val="bottom"/>
            <w:gridSpan w:val="2"/>
            <w:shd w:val="clear" w:color="auto" w:fill="CCEEFF"/>
          </w:tcPr>
          <w:p>
            <w:pPr>
              <w:jc w:val="right"/>
              <w:ind w:right="79"/>
              <w:spacing w:after="0" w:line="143" w:lineRule="exact"/>
              <w:rPr>
                <w:sz w:val="20"/>
                <w:szCs w:val="20"/>
                <w:color w:val="auto"/>
              </w:rPr>
            </w:pPr>
            <w:r>
              <w:rPr>
                <w:rFonts w:ascii="Arial" w:cs="Arial" w:eastAsia="Arial" w:hAnsi="Arial"/>
                <w:sz w:val="14"/>
                <w:szCs w:val="14"/>
                <w:color w:val="auto"/>
              </w:rPr>
              <w:t>(2,869,102)</w:t>
            </w:r>
          </w:p>
        </w:tc>
        <w:tc>
          <w:tcPr>
            <w:tcW w:w="1300" w:type="dxa"/>
            <w:vAlign w:val="bottom"/>
            <w:gridSpan w:val="3"/>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(2,869,102)</w:t>
            </w:r>
          </w:p>
        </w:tc>
        <w:tc>
          <w:tcPr>
            <w:tcW w:w="94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(2,869,102)</w:t>
            </w:r>
          </w:p>
        </w:tc>
      </w:tr>
      <w:tr>
        <w:trPr>
          <w:trHeight w:val="153"/>
        </w:trPr>
        <w:tc>
          <w:tcPr>
            <w:tcW w:w="5040" w:type="dxa"/>
            <w:vAlign w:val="bottom"/>
            <w:gridSpan w:val="2"/>
          </w:tcPr>
          <w:p>
            <w:pPr>
              <w:spacing w:after="0" w:line="153" w:lineRule="exact"/>
              <w:rPr>
                <w:sz w:val="20"/>
                <w:szCs w:val="20"/>
                <w:color w:val="auto"/>
              </w:rPr>
            </w:pPr>
            <w:r>
              <w:rPr>
                <w:rFonts w:ascii="Arial" w:cs="Arial" w:eastAsia="Arial" w:hAnsi="Arial"/>
                <w:sz w:val="14"/>
                <w:szCs w:val="14"/>
                <w:color w:val="auto"/>
              </w:rPr>
              <w:t>Total stockholders’ equity</w:t>
            </w: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1,631,297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1,631,297</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3,066,277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0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capitalization</w:t>
            </w:r>
          </w:p>
        </w:tc>
        <w:tc>
          <w:tcPr>
            <w:tcW w:w="1000" w:type="dxa"/>
            <w:vAlign w:val="bottom"/>
            <w:gridSpan w:val="2"/>
            <w:shd w:val="clear" w:color="auto" w:fill="CCEEFF"/>
          </w:tcPr>
          <w:p>
            <w:pPr>
              <w:jc w:val="right"/>
              <w:ind w:right="119"/>
              <w:spacing w:after="0" w:line="152" w:lineRule="exact"/>
              <w:rPr>
                <w:sz w:val="20"/>
                <w:szCs w:val="20"/>
                <w:color w:val="auto"/>
              </w:rPr>
            </w:pPr>
            <w:r>
              <w:rPr>
                <w:rFonts w:ascii="Arial" w:cs="Arial" w:eastAsia="Arial" w:hAnsi="Arial"/>
                <w:sz w:val="14"/>
                <w:szCs w:val="14"/>
                <w:color w:val="auto"/>
              </w:rPr>
              <w:t>$  1,631,297</w:t>
            </w:r>
          </w:p>
        </w:tc>
        <w:tc>
          <w:tcPr>
            <w:tcW w:w="1300" w:type="dxa"/>
            <w:vAlign w:val="bottom"/>
            <w:gridSpan w:val="3"/>
            <w:shd w:val="clear" w:color="auto" w:fill="CCEEFF"/>
          </w:tcPr>
          <w:p>
            <w:pPr>
              <w:jc w:val="right"/>
              <w:ind w:right="320"/>
              <w:spacing w:after="0" w:line="152" w:lineRule="exact"/>
              <w:rPr>
                <w:sz w:val="20"/>
                <w:szCs w:val="20"/>
                <w:color w:val="auto"/>
              </w:rPr>
            </w:pPr>
            <w:r>
              <w:rPr>
                <w:rFonts w:ascii="Arial" w:cs="Arial" w:eastAsia="Arial" w:hAnsi="Arial"/>
                <w:sz w:val="14"/>
                <w:szCs w:val="14"/>
                <w:color w:val="auto"/>
              </w:rPr>
              <w:t>$  2,131,297</w:t>
            </w:r>
          </w:p>
        </w:tc>
        <w:tc>
          <w:tcPr>
            <w:tcW w:w="880" w:type="dxa"/>
            <w:vAlign w:val="bottom"/>
            <w:gridSpan w:val="3"/>
            <w:shd w:val="clear" w:color="auto" w:fill="CCEEFF"/>
          </w:tcPr>
          <w:p>
            <w:pPr>
              <w:jc w:val="right"/>
              <w:ind w:right="20"/>
              <w:spacing w:after="0" w:line="152" w:lineRule="exact"/>
              <w:rPr>
                <w:sz w:val="20"/>
                <w:szCs w:val="20"/>
                <w:color w:val="auto"/>
              </w:rPr>
            </w:pPr>
            <w:r>
              <w:rPr>
                <w:rFonts w:ascii="Arial" w:cs="Arial" w:eastAsia="Arial" w:hAnsi="Arial"/>
                <w:sz w:val="14"/>
                <w:szCs w:val="14"/>
                <w:color w:val="auto"/>
              </w:rPr>
              <w:t>$  3,566,277</w:t>
            </w:r>
          </w:p>
        </w:tc>
        <w:tc>
          <w:tcPr>
            <w:tcW w:w="6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96520</wp:posOffset>
            </wp:positionV>
            <wp:extent cx="52006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00650" cy="6350"/>
                    </a:xfrm>
                    <a:prstGeom prst="rect">
                      <a:avLst/>
                    </a:prstGeom>
                    <a:noFill/>
                  </pic:spPr>
                </pic:pic>
              </a:graphicData>
            </a:graphic>
          </wp:anchor>
        </w:drawing>
      </w:r>
    </w:p>
    <w:p>
      <w:pPr>
        <w:spacing w:after="0" w:line="193" w:lineRule="exact"/>
        <w:rPr>
          <w:sz w:val="20"/>
          <w:szCs w:val="20"/>
          <w:color w:val="auto"/>
        </w:rPr>
      </w:pPr>
    </w:p>
    <w:p>
      <w:pPr>
        <w:ind w:left="600" w:right="459" w:hanging="237"/>
        <w:spacing w:after="0" w:line="246" w:lineRule="auto"/>
        <w:tabs>
          <w:tab w:leader="none" w:pos="600"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amounts shown in the table above for the notes we are offering represent their principal amount. However, we expect that the initial liability carrying amount of the notes for accounting purposes will be recorded net of issuance costs, which will be treated as a debt discount for accounting purposes and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w:t>
      </w:r>
    </w:p>
    <w:p>
      <w:pPr>
        <w:spacing w:after="0" w:line="35" w:lineRule="exact"/>
        <w:rPr>
          <w:rFonts w:ascii="Arial" w:cs="Arial" w:eastAsia="Arial" w:hAnsi="Arial"/>
          <w:sz w:val="10"/>
          <w:szCs w:val="10"/>
          <w:color w:val="auto"/>
        </w:rPr>
      </w:pPr>
    </w:p>
    <w:p>
      <w:pPr>
        <w:ind w:left="600" w:hanging="237"/>
        <w:spacing w:after="0"/>
        <w:tabs>
          <w:tab w:leader="none" w:pos="600" w:val="left"/>
        </w:tabs>
        <w:numPr>
          <w:ilvl w:val="0"/>
          <w:numId w:val="7"/>
        </w:numPr>
        <w:rPr>
          <w:rFonts w:ascii="Arial" w:cs="Arial" w:eastAsia="Arial" w:hAnsi="Arial"/>
          <w:sz w:val="10"/>
          <w:szCs w:val="10"/>
          <w:color w:val="auto"/>
        </w:rPr>
      </w:pPr>
      <w:r>
        <w:rPr>
          <w:rFonts w:ascii="Arial" w:cs="Arial" w:eastAsia="Arial" w:hAnsi="Arial"/>
          <w:sz w:val="10"/>
          <w:szCs w:val="10"/>
          <w:color w:val="auto"/>
        </w:rPr>
        <w:t>Excludes $268.4 million of liabilities relating to our sale of future royalties pursuant to the Royalty Purchase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S-19</w:t>
      </w:r>
    </w:p>
    <w:p>
      <w:pPr>
        <w:sectPr>
          <w:pgSz w:w="11900" w:h="16838" w:orient="portrait"/>
          <w:cols w:equalWidth="0" w:num="1">
            <w:col w:w="9019"/>
          </w:cols>
          <w:pgMar w:left="1440" w:top="291" w:right="1440" w:bottom="1440" w:gutter="0" w:footer="0" w:header="0"/>
        </w:sectPr>
      </w:pPr>
    </w:p>
    <w:bookmarkStart w:id="22" w:name="page23"/>
    <w:bookmarkEnd w:id="22"/>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Dividend Policy</w:t>
      </w:r>
    </w:p>
    <w:p>
      <w:pPr>
        <w:spacing w:after="0" w:line="125" w:lineRule="exact"/>
        <w:rPr>
          <w:sz w:val="20"/>
          <w:szCs w:val="20"/>
          <w:color w:val="auto"/>
        </w:rPr>
      </w:pPr>
    </w:p>
    <w:p>
      <w:pPr>
        <w:ind w:left="360" w:right="379"/>
        <w:spacing w:after="0" w:line="281" w:lineRule="auto"/>
        <w:rPr>
          <w:sz w:val="20"/>
          <w:szCs w:val="20"/>
          <w:color w:val="auto"/>
        </w:rPr>
      </w:pPr>
      <w:r>
        <w:rPr>
          <w:rFonts w:ascii="Arial" w:cs="Arial" w:eastAsia="Arial" w:hAnsi="Arial"/>
          <w:sz w:val="12"/>
          <w:szCs w:val="12"/>
          <w:color w:val="auto"/>
        </w:rPr>
        <w:t>We have never declared or paid, and do not anticipate declaring or paying in the foreseeable future, any dividends on our capital stock. Any future determination as to the declaration and payment of dividends, if any, will be at the discretion of our board of directors, subject to applicable laws and will depend on then-existing conditions, including our financial condition, results of operations, capital requirements, contractual restrictions, such as those that are included in current agreements or that may be contained in future agreements and financing instruments, business prospects and other factors our board of directors may deem relevant.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S-20</w:t>
      </w:r>
    </w:p>
    <w:p>
      <w:pPr>
        <w:sectPr>
          <w:pgSz w:w="11900" w:h="16838" w:orient="portrait"/>
          <w:cols w:equalWidth="0" w:num="1">
            <w:col w:w="9019"/>
          </w:cols>
          <w:pgMar w:left="1440" w:top="226" w:right="1440" w:bottom="1440" w:gutter="0" w:footer="0" w:header="0"/>
        </w:sectPr>
      </w:pPr>
    </w:p>
    <w:bookmarkStart w:id="23" w:name="page24"/>
    <w:bookmarkEnd w:id="23"/>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Notes</w:t>
      </w:r>
    </w:p>
    <w:p>
      <w:pPr>
        <w:spacing w:after="0" w:line="125" w:lineRule="exact"/>
        <w:rPr>
          <w:sz w:val="20"/>
          <w:szCs w:val="20"/>
          <w:color w:val="auto"/>
        </w:rPr>
      </w:pPr>
    </w:p>
    <w:p>
      <w:pPr>
        <w:ind w:left="360" w:right="439"/>
        <w:spacing w:after="0" w:line="298" w:lineRule="auto"/>
        <w:rPr>
          <w:sz w:val="20"/>
          <w:szCs w:val="20"/>
          <w:color w:val="auto"/>
        </w:rPr>
      </w:pPr>
      <w:r>
        <w:rPr>
          <w:rFonts w:ascii="Arial" w:cs="Arial" w:eastAsia="Arial" w:hAnsi="Arial"/>
          <w:sz w:val="12"/>
          <w:szCs w:val="12"/>
          <w:color w:val="auto"/>
        </w:rPr>
        <w:t>We will issue the notes under an indenture (the “base indenture”), to be dated as of the initial closing date of this offering, between us and U.S. Bank Trust Company, National Association, as trustee (the “trustee”), as supplemented by a supplemental indenture (the base indenture, as so supplemented, the “indenture”), to be dated as of the initial closing date of this offering, between us and the trustee.</w:t>
      </w:r>
    </w:p>
    <w:p>
      <w:pPr>
        <w:spacing w:after="0" w:line="44" w:lineRule="exact"/>
        <w:rPr>
          <w:sz w:val="20"/>
          <w:szCs w:val="20"/>
          <w:color w:val="auto"/>
        </w:rPr>
      </w:pPr>
    </w:p>
    <w:p>
      <w:pPr>
        <w:ind w:left="360" w:right="379"/>
        <w:spacing w:after="0" w:line="234" w:lineRule="auto"/>
        <w:rPr>
          <w:sz w:val="20"/>
          <w:szCs w:val="20"/>
          <w:color w:val="auto"/>
        </w:rPr>
      </w:pPr>
      <w:r>
        <w:rPr>
          <w:rFonts w:ascii="Arial" w:cs="Arial" w:eastAsia="Arial" w:hAnsi="Arial"/>
          <w:sz w:val="14"/>
          <w:szCs w:val="14"/>
          <w:color w:val="auto"/>
        </w:rPr>
        <w:t>The following is a summary of certain provisions of the notes and the indenture. It is only a summary and is not complete. We qualify this summary by referring you to the indenture and the notes, because they, and not this summary, define your rights as a holder of the notes. We will provide you with a copy of the indenture, which includes the form of the notes, as provided under the caption “Where You Can Find Additional Information.” In addition, the indenture and the notes will be deemed to include certain terms that are made a part of the indenture and the notes pursuant to the Trust Indenture Act of 1939, as amended (the “Trust Indenture Act”).</w:t>
      </w:r>
    </w:p>
    <w:p>
      <w:pPr>
        <w:spacing w:after="0" w:line="88"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This “Description of Notes” section supplements and, to the extent inconsistent therewith, supersedes the information in the accompanying prospectus under the caption “Description of Debt Securities.”</w:t>
      </w:r>
    </w:p>
    <w:p>
      <w:pPr>
        <w:spacing w:after="0" w:line="82" w:lineRule="exact"/>
        <w:rPr>
          <w:sz w:val="20"/>
          <w:szCs w:val="20"/>
          <w:color w:val="auto"/>
        </w:rPr>
      </w:pPr>
    </w:p>
    <w:p>
      <w:pPr>
        <w:ind w:left="360" w:right="659"/>
        <w:spacing w:after="0" w:line="249" w:lineRule="auto"/>
        <w:rPr>
          <w:sz w:val="20"/>
          <w:szCs w:val="20"/>
          <w:color w:val="auto"/>
        </w:rPr>
      </w:pPr>
      <w:r>
        <w:rPr>
          <w:rFonts w:ascii="Arial" w:cs="Arial" w:eastAsia="Arial" w:hAnsi="Arial"/>
          <w:sz w:val="14"/>
          <w:szCs w:val="14"/>
          <w:color w:val="auto"/>
        </w:rPr>
        <w:t>Certain terms used in this summary are defined below under the caption “—Definitions.” Certain other terms used in this summary are defined in the indenture.</w:t>
      </w:r>
    </w:p>
    <w:p>
      <w:pPr>
        <w:spacing w:after="0" w:line="72" w:lineRule="exact"/>
        <w:rPr>
          <w:sz w:val="20"/>
          <w:szCs w:val="20"/>
          <w:color w:val="auto"/>
        </w:rPr>
      </w:pPr>
    </w:p>
    <w:p>
      <w:pPr>
        <w:ind w:left="360" w:right="519"/>
        <w:spacing w:after="0" w:line="249" w:lineRule="auto"/>
        <w:rPr>
          <w:sz w:val="20"/>
          <w:szCs w:val="20"/>
          <w:color w:val="auto"/>
        </w:rPr>
      </w:pPr>
      <w:r>
        <w:rPr>
          <w:rFonts w:ascii="Arial" w:cs="Arial" w:eastAsia="Arial" w:hAnsi="Arial"/>
          <w:sz w:val="14"/>
          <w:szCs w:val="14"/>
          <w:color w:val="auto"/>
        </w:rPr>
        <w:t>In this section, references to (i) “we,” “us” and “our” refer to Revolution Medicines, Inc. only and not to any of its subsidiaries; and (ii) any “note” refer to any authorized denomination of a note, unless the context requires otherwise.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Generally</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notes will:</w:t>
      </w:r>
    </w:p>
    <w:p>
      <w:pPr>
        <w:spacing w:after="0" w:line="103" w:lineRule="exact"/>
        <w:rPr>
          <w:sz w:val="20"/>
          <w:szCs w:val="20"/>
          <w:color w:val="auto"/>
        </w:rPr>
      </w:pPr>
    </w:p>
    <w:p>
      <w:pPr>
        <w:ind w:left="520" w:hanging="157"/>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 our senior, unsecured obligations;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initially be limited to an aggregate principal amount of $500,000,000;</w:t>
      </w:r>
    </w:p>
    <w:p>
      <w:pPr>
        <w:spacing w:after="0" w:line="102" w:lineRule="exact"/>
        <w:rPr>
          <w:rFonts w:ascii="Arial" w:cs="Arial" w:eastAsia="Arial" w:hAnsi="Arial"/>
          <w:sz w:val="14"/>
          <w:szCs w:val="14"/>
          <w:color w:val="auto"/>
        </w:rPr>
      </w:pPr>
    </w:p>
    <w:p>
      <w:pPr>
        <w:ind w:left="520" w:right="1099" w:hanging="157"/>
        <w:spacing w:after="0" w:line="24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bear interest from, and including, April 17, 2026, at an annual rate of 0.50%, payable semi-annually in arrears on May 1 and November 1 of each year, beginning on November 1, 2026;</w:t>
      </w:r>
    </w:p>
    <w:p>
      <w:pPr>
        <w:spacing w:after="0" w:line="82" w:lineRule="exact"/>
        <w:rPr>
          <w:rFonts w:ascii="Arial" w:cs="Arial" w:eastAsia="Arial" w:hAnsi="Arial"/>
          <w:sz w:val="14"/>
          <w:szCs w:val="14"/>
          <w:color w:val="auto"/>
        </w:rPr>
      </w:pPr>
    </w:p>
    <w:p>
      <w:pPr>
        <w:ind w:left="520" w:right="559" w:hanging="157"/>
        <w:spacing w:after="0" w:line="249"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bear special interest in the circumstances described below under the caption “—Events of Default—Special Interest as Sole Remedy for Certain Reporting Defaults”;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mature on May 1, 2033, unless earlier repurchased, redeemed or converted;</w:t>
      </w:r>
    </w:p>
    <w:p>
      <w:pPr>
        <w:spacing w:after="0" w:line="102" w:lineRule="exact"/>
        <w:rPr>
          <w:rFonts w:ascii="Arial" w:cs="Arial" w:eastAsia="Arial" w:hAnsi="Arial"/>
          <w:sz w:val="14"/>
          <w:szCs w:val="14"/>
          <w:color w:val="auto"/>
        </w:rPr>
      </w:pPr>
    </w:p>
    <w:p>
      <w:pPr>
        <w:ind w:left="520" w:right="499" w:hanging="157"/>
        <w:spacing w:after="0" w:line="281"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be redeemable, in whole or in part (subject to certain limitations), at our option, at any time, and from time to time, on or after May 6, 2030 and on or before the 31st “scheduled trading day” (as defined below under the caption “—Definitions”) immediately before the maturity date, at a cash redemption price equal to the principal amount of the notes to be redeemed, plus accrued and unpaid interest to, but excluding, the redemption date (subject to the right of noteholders on a regular record date to receive the related interest payment), but only if certain conditions are satisfied, as described below under the caption “—Optional Redemption”;</w:t>
      </w:r>
    </w:p>
    <w:p>
      <w:pPr>
        <w:spacing w:after="0" w:line="64" w:lineRule="exact"/>
        <w:rPr>
          <w:rFonts w:ascii="Arial" w:cs="Arial" w:eastAsia="Arial" w:hAnsi="Arial"/>
          <w:sz w:val="12"/>
          <w:szCs w:val="12"/>
          <w:color w:val="auto"/>
        </w:rPr>
      </w:pPr>
    </w:p>
    <w:p>
      <w:pPr>
        <w:ind w:left="520" w:right="399" w:hanging="157"/>
        <w:spacing w:after="0" w:line="234"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 subject to repurchase by us at the noteholders’ option if a “fundamental change” (as defined below under the caption “—Definitions”) occurs, at a cash repurchase price equal to the principal amount of the notes to be repurchased, plus accrued and unpaid interest to, but excluding, the fundamental change repurchase date (subject to the right of noteholders on a regular record date to receive the related interest payment), as described, and subject to the limited exception set forth, below under the caption “—Fundamental Change Permits Noteholders to Require Us to Repurchase Notes”;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S-21</w:t>
      </w:r>
    </w:p>
    <w:p>
      <w:pPr>
        <w:sectPr>
          <w:pgSz w:w="11900" w:h="16838" w:orient="portrait"/>
          <w:cols w:equalWidth="0" w:num="1">
            <w:col w:w="9019"/>
          </w:cols>
          <w:pgMar w:left="1440" w:top="226" w:right="1440" w:bottom="1440" w:gutter="0" w:footer="0" w:header="0"/>
        </w:sectPr>
      </w:pPr>
    </w:p>
    <w:bookmarkStart w:id="24" w:name="page25"/>
    <w:bookmarkEnd w:id="24"/>
    <w:p>
      <w:pPr>
        <w:ind w:left="520" w:right="499" w:hanging="157"/>
        <w:spacing w:after="0" w:line="275"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be convertible, at the noteholders’ option, into cash, shares of our common stock or a combination of cash and shares of our common stock (together with cash in lieu of any fractional share, if applicable), at our election, based on an initial conversion rate of</w:t>
      </w:r>
    </w:p>
    <w:p>
      <w:pPr>
        <w:ind w:left="520" w:right="499"/>
        <w:spacing w:after="0" w:line="236" w:lineRule="auto"/>
        <w:rPr>
          <w:rFonts w:ascii="Arial" w:cs="Arial" w:eastAsia="Arial" w:hAnsi="Arial"/>
          <w:sz w:val="12"/>
          <w:szCs w:val="12"/>
          <w:color w:val="auto"/>
        </w:rPr>
      </w:pPr>
      <w:r>
        <w:rPr>
          <w:rFonts w:ascii="Arial" w:cs="Arial" w:eastAsia="Arial" w:hAnsi="Arial"/>
          <w:sz w:val="14"/>
          <w:szCs w:val="14"/>
          <w:color w:val="auto"/>
        </w:rPr>
        <w:t>5.0302 shares per $1,000 principal amount of notes (which represents an initial conversion price of approximately $198.80 per share), under the conditions, and subject to the adjustments, described below under the caption “—Conversion Rights”;</w:t>
      </w:r>
    </w:p>
    <w:p>
      <w:pPr>
        <w:spacing w:after="0" w:line="87" w:lineRule="exact"/>
        <w:rPr>
          <w:rFonts w:ascii="Arial" w:cs="Arial" w:eastAsia="Arial" w:hAnsi="Arial"/>
          <w:sz w:val="12"/>
          <w:szCs w:val="12"/>
          <w:color w:val="auto"/>
        </w:rPr>
      </w:pPr>
    </w:p>
    <w:p>
      <w:pPr>
        <w:ind w:left="520" w:right="699" w:hanging="157"/>
        <w:spacing w:after="0" w:line="249"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 issued in principal amount denominations of $1,000 or any integral multiple of $1,000 in excess thereof, which we refer to as an “authorized denomination”; and</w:t>
      </w:r>
    </w:p>
    <w:p>
      <w:pPr>
        <w:spacing w:after="0" w:line="82" w:lineRule="exact"/>
        <w:rPr>
          <w:rFonts w:ascii="Arial" w:cs="Arial" w:eastAsia="Arial" w:hAnsi="Arial"/>
          <w:sz w:val="14"/>
          <w:szCs w:val="14"/>
          <w:color w:val="auto"/>
        </w:rPr>
      </w:pPr>
    </w:p>
    <w:p>
      <w:pPr>
        <w:ind w:left="520" w:right="639" w:hanging="157"/>
        <w:spacing w:after="0" w:line="249"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initially be represented by one or more registered notes in global form, but may, in certain circumstances, be exchanged for notes in definitive form, as described below under the caption “—Book Entry, Settlement and Clearance.”</w:t>
      </w:r>
    </w:p>
    <w:p>
      <w:pPr>
        <w:spacing w:after="0" w:line="82"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The indenture will not contain any financial covenants and will not limit us or our subsidiaries from incurring additional indebtedness, paying dividends or issuing or repurchasing any securities. Except to the extent described below under the captions “—Conversion Rights —Increase in Conversion Rate in Connection with a Make-Whole Fundamental Change,” “—Fundamental Change Permits Noteholders to Require Us to Repurchase Notes” and “—Consolidation, Merger and Asset Sale,” the indenture will not contain any provisions designed to protect noteholders upon a highly leveraged transaction involving us or a decline in our credit rating as a result of a recapitalization, takeover, highly leveraged transaction or other restructuring involving us.</w:t>
      </w:r>
    </w:p>
    <w:p>
      <w:pPr>
        <w:spacing w:after="0" w:line="81"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Without the consent of any noteholder, we may issue additional notes under the indenture with the same terms as the notes we are offering (except for certain differences, such as the date as of which interest begins to accrue on, and the first interest payment date for, such additional notes). However, such additional notes (and any notes that have been resold after they have been purchased or otherwise acquired by us or our subsidiaries) must be identified by a separate CUSIP number or by no CUSIP number if they are not fungible with other notes we issue under the indenture for purposes of federal income tax or federal securities laws or, if applicable, the “depositary procedures” (as defined below under the caption “—Definitions”).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do not intend to list the notes on any securities exchange or include them in any automated inter-dealer quotation system.</w:t>
      </w:r>
    </w:p>
    <w:p>
      <w:pPr>
        <w:spacing w:after="0" w:line="103" w:lineRule="exact"/>
        <w:rPr>
          <w:sz w:val="20"/>
          <w:szCs w:val="20"/>
          <w:color w:val="auto"/>
        </w:rPr>
      </w:pPr>
    </w:p>
    <w:p>
      <w:pPr>
        <w:ind w:left="360" w:right="379"/>
        <w:spacing w:after="0" w:line="238" w:lineRule="auto"/>
        <w:rPr>
          <w:sz w:val="20"/>
          <w:szCs w:val="20"/>
          <w:color w:val="auto"/>
        </w:rPr>
      </w:pPr>
      <w:r>
        <w:rPr>
          <w:rFonts w:ascii="Arial" w:cs="Arial" w:eastAsia="Arial" w:hAnsi="Arial"/>
          <w:sz w:val="14"/>
          <w:szCs w:val="14"/>
          <w:color w:val="auto"/>
        </w:rPr>
        <w:t>Absent manifest error, a person in whose name a note is registered on the registrar’s books will be considered to be the holder of that note for all purposes, and only registered noteholders (which, in the case of notes held through DTC, will initially be DTC’s nominee, Cede &amp; Co.) will have rights under the indenture as noteholders.</w:t>
      </w:r>
    </w:p>
    <w:p>
      <w:pPr>
        <w:spacing w:after="0" w:line="79"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Subject to applicable law, we or our subsidiaries may directly or indirectly repurchase notes in the open market or otherwise, whether through private or public tender or exchange offers, cash-settled swaps or other cash-settled derivatives. Any notes that we or our subsidiaries have purchased or otherwise acquired will be deemed to remain outstanding until such time as we deliver them to the trustee for cancellation. However, subject to the terms of the indenture, notes that we or any of our affiliates own will be deemed not to be outstanding for purposes of determining whether the noteholders have concurred in any direction, waiver or consent.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S-22</w:t>
      </w:r>
    </w:p>
    <w:p>
      <w:pPr>
        <w:sectPr>
          <w:pgSz w:w="11900" w:h="16838" w:orient="portrait"/>
          <w:cols w:equalWidth="0" w:num="1">
            <w:col w:w="9019"/>
          </w:cols>
          <w:pgMar w:left="1440" w:top="238" w:right="1440" w:bottom="1440" w:gutter="0" w:footer="0" w:header="0"/>
        </w:sectPr>
      </w:pPr>
    </w:p>
    <w:bookmarkStart w:id="25" w:name="page26"/>
    <w:bookmarkEnd w:id="2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Payments on the Notes</w:t>
      </w:r>
    </w:p>
    <w:p>
      <w:pPr>
        <w:spacing w:after="0" w:line="119" w:lineRule="exact"/>
        <w:rPr>
          <w:sz w:val="20"/>
          <w:szCs w:val="20"/>
          <w:color w:val="auto"/>
        </w:rPr>
      </w:pPr>
    </w:p>
    <w:p>
      <w:pPr>
        <w:ind w:left="360" w:right="559"/>
        <w:spacing w:after="0" w:line="249" w:lineRule="auto"/>
        <w:rPr>
          <w:sz w:val="20"/>
          <w:szCs w:val="20"/>
          <w:color w:val="auto"/>
        </w:rPr>
      </w:pPr>
      <w:r>
        <w:rPr>
          <w:rFonts w:ascii="Arial" w:cs="Arial" w:eastAsia="Arial" w:hAnsi="Arial"/>
          <w:sz w:val="14"/>
          <w:szCs w:val="14"/>
          <w:color w:val="auto"/>
        </w:rPr>
        <w:t>We will pay (or cause the paying agent to pay) the principal of, and interest on, any global note by wire transfer of immediately available funds. We will pay (or cause the paying agent to pay) the principal of, and interest on, any physical note as follows:</w:t>
      </w:r>
    </w:p>
    <w:p>
      <w:pPr>
        <w:spacing w:after="0" w:line="82" w:lineRule="exact"/>
        <w:rPr>
          <w:sz w:val="20"/>
          <w:szCs w:val="20"/>
          <w:color w:val="auto"/>
        </w:rPr>
      </w:pPr>
    </w:p>
    <w:p>
      <w:pPr>
        <w:ind w:left="520" w:right="399" w:hanging="157"/>
        <w:spacing w:after="0" w:line="235"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the principal amount of such note is at least $5.0 million (or such lower amount as we may choose in our sole and absolute discretion) and the holder of such note entitled to such payment has delivered to the paying agent or the trustee, no later than the time set forth below, a written request to receive payment by wire transfer to an account of such holder within the United States, by wire transfer of immediately available funds to such account; and</w:t>
      </w:r>
    </w:p>
    <w:p>
      <w:pPr>
        <w:spacing w:after="0" w:line="90" w:lineRule="exact"/>
        <w:rPr>
          <w:rFonts w:ascii="Arial" w:cs="Arial" w:eastAsia="Arial" w:hAnsi="Arial"/>
          <w:sz w:val="14"/>
          <w:szCs w:val="14"/>
          <w:color w:val="auto"/>
        </w:rPr>
      </w:pPr>
    </w:p>
    <w:p>
      <w:pPr>
        <w:ind w:left="520" w:hanging="157"/>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all other cases, by check mailed to the address of such holder set forth in the note register.</w:t>
      </w:r>
    </w:p>
    <w:p>
      <w:pPr>
        <w:spacing w:after="0" w:line="93" w:lineRule="exact"/>
        <w:rPr>
          <w:sz w:val="20"/>
          <w:szCs w:val="20"/>
          <w:color w:val="auto"/>
        </w:rPr>
      </w:pPr>
    </w:p>
    <w:p>
      <w:pPr>
        <w:ind w:left="360" w:right="499"/>
        <w:spacing w:after="0" w:line="235" w:lineRule="auto"/>
        <w:rPr>
          <w:sz w:val="20"/>
          <w:szCs w:val="20"/>
          <w:color w:val="auto"/>
        </w:rPr>
      </w:pPr>
      <w:r>
        <w:rPr>
          <w:rFonts w:ascii="Arial" w:cs="Arial" w:eastAsia="Arial" w:hAnsi="Arial"/>
          <w:sz w:val="14"/>
          <w:szCs w:val="14"/>
          <w:color w:val="auto"/>
        </w:rPr>
        <w:t>To be timely, a written request referred to in the first bullet point above must be delivered no later than the “close of business” (as defined below under the caption “—Definitions”) on the following date: (i) with respect to the payment of any interest due on an interest payment date, the immediately preceding regular record date; and (ii) with respect to any other payment, the date that is 15 calendar days immediately before the date such payment is due.</w:t>
      </w:r>
    </w:p>
    <w:p>
      <w:pPr>
        <w:spacing w:after="0" w:line="90"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If the due date for a payment on a note is not a “business day” (as defined below under the caption “—Definitions”), then such payment may be made on the immediately following business day with the same force and effect as if such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Registrar, Paying Agent and Conversion Agent</w:t>
      </w:r>
    </w:p>
    <w:p>
      <w:pPr>
        <w:spacing w:after="0" w:line="119"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We will maintain one or more offices or agencies in the continental United States where notes may be presented for registration of transfer or for exchange, payment and conversion, which we refer to as the “registrar,” “paying agent” and “conversion agent,” respectively. We have appointed the trustee as the initial registrar, paying agent and conversion agent and its office in the United States as a place where notes may be presented for payment. However, without prior notice to the noteholders, we may change the registrar, paying agent and conversion agent and we or any of our subsidiaries may choose to act in that capacity as well (except that the registrar, paying agent or conversion agent with respect to any global note must at all times be a person that is eligible to act in that capacity under the depositary procedures).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Transfers and Exchanges</w:t>
      </w:r>
    </w:p>
    <w:p>
      <w:pPr>
        <w:spacing w:after="0" w:line="119" w:lineRule="exact"/>
        <w:rPr>
          <w:sz w:val="20"/>
          <w:szCs w:val="20"/>
          <w:color w:val="auto"/>
        </w:rPr>
      </w:pPr>
    </w:p>
    <w:p>
      <w:pPr>
        <w:ind w:left="360" w:right="719"/>
        <w:spacing w:after="0" w:line="331" w:lineRule="auto"/>
        <w:rPr>
          <w:sz w:val="20"/>
          <w:szCs w:val="20"/>
          <w:color w:val="auto"/>
        </w:rPr>
      </w:pPr>
      <w:r>
        <w:rPr>
          <w:rFonts w:ascii="Arial" w:cs="Arial" w:eastAsia="Arial" w:hAnsi="Arial"/>
          <w:sz w:val="12"/>
          <w:szCs w:val="12"/>
          <w:color w:val="auto"/>
        </w:rPr>
        <w:t>For purposes of the notes, the description below under this section titled “—Transfers and Exchanges” supersedes, in its entirety, the information in the accompanying prospectus under the caption “Description of Debt Securities—Transfer and Exchange.”</w:t>
      </w:r>
    </w:p>
    <w:p>
      <w:pPr>
        <w:spacing w:after="0" w:line="35"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A noteholder may transfer or exchange its notes at the office of the registrar in accordance with the indenture. We, the trustee and the registrar may require the noteholder to, among other things, deliver appropriate endorsements or transfer instruments, and such certificates or other documentation or evidence as we or they may reasonably require to determine that such transfer or exchange complies with applicable securities laws. We, the trustee and the registrar may refuse to register the transfer or exchange of any note that is subject to conversion, redemption or required repurchase.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S-23</w:t>
      </w:r>
    </w:p>
    <w:p>
      <w:pPr>
        <w:sectPr>
          <w:pgSz w:w="11900" w:h="16838" w:orient="portrait"/>
          <w:cols w:equalWidth="0" w:num="1">
            <w:col w:w="9019"/>
          </w:cols>
          <w:pgMar w:left="1440" w:top="230" w:right="1440" w:bottom="1440" w:gutter="0" w:footer="0" w:header="0"/>
        </w:sectPr>
      </w:pPr>
    </w:p>
    <w:bookmarkStart w:id="26" w:name="page27"/>
    <w:bookmarkEnd w:id="26"/>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Interest</w:t>
      </w:r>
    </w:p>
    <w:p>
      <w:pPr>
        <w:spacing w:after="0" w:line="119" w:lineRule="exact"/>
        <w:rPr>
          <w:sz w:val="20"/>
          <w:szCs w:val="20"/>
          <w:color w:val="auto"/>
        </w:rPr>
      </w:pPr>
    </w:p>
    <w:p>
      <w:pPr>
        <w:ind w:left="360" w:right="519"/>
        <w:spacing w:after="0" w:line="232" w:lineRule="auto"/>
        <w:rPr>
          <w:sz w:val="20"/>
          <w:szCs w:val="20"/>
          <w:color w:val="auto"/>
        </w:rPr>
      </w:pPr>
      <w:r>
        <w:rPr>
          <w:rFonts w:ascii="Arial" w:cs="Arial" w:eastAsia="Arial" w:hAnsi="Arial"/>
          <w:sz w:val="14"/>
          <w:szCs w:val="14"/>
          <w:color w:val="auto"/>
        </w:rPr>
        <w:t>The notes will bear cash interest at an annual rate of 0.50% (which we refer to as the “stated interest”), payable semi-annually in arrears on May 1 and November 1 of each year, beginning on November 1, 2026, to the noteholders of record of the notes as of the close of business on the immediately preceding April 15 and October 15, respectively. Interest will accrue from, and including, the last date to which interest has been paid or duly provided for (or, if no interest has been paid or duly provided for, from, and including, the date the notes are initially issued) to, but excluding, the next interest payment date. Interest will be computed on the basis of a 360-day year comprised of twelve 30-day months.</w:t>
      </w:r>
    </w:p>
    <w:p>
      <w:pPr>
        <w:spacing w:after="0" w:line="81"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In addition to the stated interest on the notes referred to above, special interest will accrue on the notes in the circumstances described below under the caption “—Events of Default—Special Interest as Sole Remedy for Certain Reporting Defaults.” All references in this prospectus supplement to interest on the notes include any special interest and default interest (as described below under the caption “— Events of Default—Default Interest”) payable on the notes, unless the context requires otherwise.</w:t>
      </w:r>
    </w:p>
    <w:p>
      <w:pPr>
        <w:spacing w:after="0" w:line="90" w:lineRule="exact"/>
        <w:rPr>
          <w:sz w:val="20"/>
          <w:szCs w:val="20"/>
          <w:color w:val="auto"/>
        </w:rPr>
      </w:pPr>
    </w:p>
    <w:p>
      <w:pPr>
        <w:ind w:left="360" w:right="459"/>
        <w:spacing w:after="0" w:line="234" w:lineRule="auto"/>
        <w:rPr>
          <w:sz w:val="20"/>
          <w:szCs w:val="20"/>
          <w:color w:val="auto"/>
        </w:rPr>
      </w:pPr>
      <w:r>
        <w:rPr>
          <w:rFonts w:ascii="Arial" w:cs="Arial" w:eastAsia="Arial" w:hAnsi="Arial"/>
          <w:sz w:val="14"/>
          <w:szCs w:val="14"/>
          <w:color w:val="auto"/>
        </w:rPr>
        <w:t>If the first date on which any special interest begins to accrue on any global note is on or after the fifth business day before a regular record date and before the next interest payment date, then, notwithstanding anything to the contrary,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Ranking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notes will be our senior, unsecured obligations and will be:</w:t>
      </w:r>
    </w:p>
    <w:p>
      <w:pPr>
        <w:spacing w:after="0" w:line="103" w:lineRule="exact"/>
        <w:rPr>
          <w:sz w:val="20"/>
          <w:szCs w:val="20"/>
          <w:color w:val="auto"/>
        </w:rPr>
      </w:pPr>
    </w:p>
    <w:p>
      <w:pPr>
        <w:ind w:left="520" w:hanging="1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equal in right of payment with our existing and future senior, unsecured indebtedness;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senior in right of payment to our existing and future indebtedness that is expressly subordinated to the notes;</w:t>
      </w:r>
    </w:p>
    <w:p>
      <w:pPr>
        <w:spacing w:after="0" w:line="102" w:lineRule="exact"/>
        <w:rPr>
          <w:rFonts w:ascii="Arial" w:cs="Arial" w:eastAsia="Arial" w:hAnsi="Arial"/>
          <w:sz w:val="14"/>
          <w:szCs w:val="14"/>
          <w:color w:val="auto"/>
        </w:rPr>
      </w:pPr>
    </w:p>
    <w:p>
      <w:pPr>
        <w:ind w:left="520" w:right="859" w:hanging="157"/>
        <w:spacing w:after="0" w:line="249"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effectively subordinated to our existing and future secured indebtedness, to the extent of the value of the collateral securing that indebtedness; and</w:t>
      </w:r>
    </w:p>
    <w:p>
      <w:pPr>
        <w:spacing w:after="0" w:line="82" w:lineRule="exact"/>
        <w:rPr>
          <w:rFonts w:ascii="Arial" w:cs="Arial" w:eastAsia="Arial" w:hAnsi="Arial"/>
          <w:sz w:val="14"/>
          <w:szCs w:val="14"/>
          <w:color w:val="auto"/>
        </w:rPr>
      </w:pPr>
    </w:p>
    <w:p>
      <w:pPr>
        <w:ind w:left="520" w:right="439" w:hanging="157"/>
        <w:spacing w:after="0" w:line="249"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structurally subordinated to all existing and future indebtedness and other liabilities, including trade payables, and (to the extent we are not a holder thereof) preferred equity, if any, of our subsidiaries.</w:t>
      </w:r>
    </w:p>
    <w:p>
      <w:pPr>
        <w:spacing w:after="0" w:line="82"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The indenture will not prohibit us from incurring additional indebtedness, including secured indebtedness, which would be effectively senior to the notes to the extent of the value of the collateral securing that indebtedness, or indebtedness that would rank equal in right of payment with the notes. The indenture will also not prohibit our subsidiaries from incurring any additional indebtedness or other liabilities that would be structurally senior to our obligations under the notes.</w:t>
      </w:r>
    </w:p>
    <w:p>
      <w:pPr>
        <w:spacing w:after="0" w:line="80" w:lineRule="exact"/>
        <w:rPr>
          <w:sz w:val="20"/>
          <w:szCs w:val="20"/>
          <w:color w:val="auto"/>
        </w:rPr>
      </w:pPr>
    </w:p>
    <w:p>
      <w:pPr>
        <w:ind w:left="360" w:right="539"/>
        <w:spacing w:after="0" w:line="232" w:lineRule="auto"/>
        <w:rPr>
          <w:sz w:val="20"/>
          <w:szCs w:val="20"/>
          <w:color w:val="auto"/>
        </w:rPr>
      </w:pPr>
      <w:r>
        <w:rPr>
          <w:rFonts w:ascii="Arial" w:cs="Arial" w:eastAsia="Arial" w:hAnsi="Arial"/>
          <w:sz w:val="14"/>
          <w:szCs w:val="14"/>
          <w:color w:val="auto"/>
        </w:rPr>
        <w:t>In the event of our bankruptcy, liquidation, reorganization or other winding up, our assets that secure any indebtedness will not be available to make payments under the notes unless all of that indebtedness is first paid in full. In the event of the bankruptcy, liquidation, reorganization or other winding up of any of our subsidiaries, we, as a common equity holder of that subsidiary, and, therefore, the noteholders, will rank behind that subsidiary’s creditors, including that subsidiary’s trade creditors, and (to the extent we are not a holder thereof) that subsidiary’s preferred equity holders. Even if we were a creditor of any of our subsidiaries, our rights as a creditor would be effectively subordinated to any security interest of others in the assets of that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S-24</w:t>
      </w:r>
    </w:p>
    <w:p>
      <w:pPr>
        <w:sectPr>
          <w:pgSz w:w="11900" w:h="16838" w:orient="portrait"/>
          <w:cols w:equalWidth="0" w:num="1">
            <w:col w:w="9019"/>
          </w:cols>
          <w:pgMar w:left="1440" w:top="230" w:right="1440" w:bottom="1440" w:gutter="0" w:footer="0" w:header="0"/>
        </w:sectPr>
      </w:pPr>
    </w:p>
    <w:bookmarkStart w:id="27" w:name="page28"/>
    <w:bookmarkEnd w:id="27"/>
    <w:p>
      <w:pPr>
        <w:ind w:left="360" w:right="59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subsidiary, to the extent of the value of those assets, and would be subordinated to any indebtedness of that subsidiary that is senior in right of payment to that held by us.</w:t>
      </w:r>
    </w:p>
    <w:p>
      <w:pPr>
        <w:spacing w:after="0" w:line="82" w:lineRule="exact"/>
        <w:rPr>
          <w:sz w:val="20"/>
          <w:szCs w:val="20"/>
          <w:color w:val="auto"/>
        </w:rPr>
      </w:pPr>
    </w:p>
    <w:p>
      <w:pPr>
        <w:ind w:left="360" w:right="459"/>
        <w:spacing w:after="0" w:line="298" w:lineRule="auto"/>
        <w:rPr>
          <w:sz w:val="20"/>
          <w:szCs w:val="20"/>
          <w:color w:val="auto"/>
        </w:rPr>
      </w:pPr>
      <w:r>
        <w:rPr>
          <w:rFonts w:ascii="Arial" w:cs="Arial" w:eastAsia="Arial" w:hAnsi="Arial"/>
          <w:sz w:val="12"/>
          <w:szCs w:val="12"/>
          <w:color w:val="auto"/>
        </w:rPr>
        <w:t>Our subsidiaries will have no obligations under the notes. The ability of our subsidiaries to pay dividends or make other payments to us is restricted by, among other things, corporate and other laws and by agreements to which our subsidiaries may become a party. Accordingly, we may be unable to gain access to the cash flow or assets of our subsidiaries to enable us to make payments on the notes.</w:t>
      </w:r>
    </w:p>
    <w:p>
      <w:pPr>
        <w:spacing w:after="0" w:line="44" w:lineRule="exact"/>
        <w:rPr>
          <w:sz w:val="20"/>
          <w:szCs w:val="20"/>
          <w:color w:val="auto"/>
        </w:rPr>
      </w:pPr>
    </w:p>
    <w:p>
      <w:pPr>
        <w:ind w:left="360" w:right="479"/>
        <w:spacing w:after="0" w:line="249" w:lineRule="auto"/>
        <w:rPr>
          <w:sz w:val="20"/>
          <w:szCs w:val="20"/>
          <w:color w:val="auto"/>
        </w:rPr>
      </w:pPr>
      <w:r>
        <w:rPr>
          <w:rFonts w:ascii="Arial" w:cs="Arial" w:eastAsia="Arial" w:hAnsi="Arial"/>
          <w:sz w:val="14"/>
          <w:szCs w:val="14"/>
          <w:color w:val="auto"/>
        </w:rPr>
        <w:t>As of December 31, 2025, we had no indebtedness for borrowed money and approximately $268.4 million of liabilities relating to our sale of future royalties pursuant to the Royalty Purchase Agreement, and our subsidiaries had no indebtedness or other liabilities.</w:t>
      </w:r>
    </w:p>
    <w:p>
      <w:pPr>
        <w:spacing w:after="0" w:line="82" w:lineRule="exact"/>
        <w:rPr>
          <w:sz w:val="20"/>
          <w:szCs w:val="20"/>
          <w:color w:val="auto"/>
        </w:rPr>
      </w:pPr>
    </w:p>
    <w:p>
      <w:pPr>
        <w:ind w:left="360" w:right="1139"/>
        <w:spacing w:after="0" w:line="249" w:lineRule="auto"/>
        <w:rPr>
          <w:sz w:val="20"/>
          <w:szCs w:val="20"/>
          <w:color w:val="auto"/>
        </w:rPr>
      </w:pPr>
      <w:r>
        <w:rPr>
          <w:rFonts w:ascii="Arial" w:cs="Arial" w:eastAsia="Arial" w:hAnsi="Arial"/>
          <w:sz w:val="14"/>
          <w:szCs w:val="14"/>
          <w:color w:val="auto"/>
        </w:rPr>
        <w:t>See “Risk Factors—The notes will be effectively subordinated to our existing and future secured indebtedness and structurally subordinated to the liabilities of our subsidiaries.”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Optional Redemption</w:t>
      </w:r>
    </w:p>
    <w:p>
      <w:pPr>
        <w:spacing w:after="0" w:line="119" w:lineRule="exact"/>
        <w:rPr>
          <w:sz w:val="20"/>
          <w:szCs w:val="20"/>
          <w:color w:val="auto"/>
        </w:rPr>
      </w:pPr>
    </w:p>
    <w:p>
      <w:pPr>
        <w:ind w:left="360" w:right="379"/>
        <w:spacing w:after="0" w:line="229" w:lineRule="auto"/>
        <w:rPr>
          <w:sz w:val="20"/>
          <w:szCs w:val="20"/>
          <w:color w:val="auto"/>
        </w:rPr>
      </w:pPr>
      <w:r>
        <w:rPr>
          <w:rFonts w:ascii="Arial" w:cs="Arial" w:eastAsia="Arial" w:hAnsi="Arial"/>
          <w:sz w:val="14"/>
          <w:szCs w:val="14"/>
          <w:color w:val="auto"/>
        </w:rPr>
        <w:t>We may not redeem the notes at our option at any time before May 6, 2030. Subject to the terms of the indenture, we have the right, at our election, to redeem all, or any portion in an authorized denomination, of the notes, at any time, and from time to time, on a redemption date on or after May 6, 2030 and on or before the 31st scheduled trading day immediately before the maturity date, for cash, but only if the “last reported sale price” (as defined below under the caption “—Definitions”) per share of our common stock exceeds 130% of the “conversion price” (as defined below under the caption “—Definitions”) on (i) each of at least 20 “trading days” (as defined below under the caption “—Definitions”), whether or not consecutive, during the 30 consecutive trading days ending on, and including, the trading day immediately before the date we send the related redemption notice; and (ii) the trading day immediately before the date we send such notice. However, we will not call less than all of the outstanding notes for redemption unless the excess of the principal amount of notes outstanding as of the time we send the related redemption notice over the aggregate principal amount of notes set forth in such redemption notice as being subject to redemption is at least $100.0 million. In addition, calling any note for redemption will constitute a “make-whole fundamental change” (as defined below under the caption “—Definitions”) with respect to that note, in which case the conversion rate applicable to the conversion of that note will be increased in certain circumstances if it is converted after it is called for redemption. If we elect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w:t>
      </w:r>
    </w:p>
    <w:p>
      <w:pPr>
        <w:spacing w:after="0" w:line="90"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The redemption date will be a business day of our choosing that is no more than 55, nor less than 35, scheduled trading days after the date we send the related redemption notice, as described below. However, if, in accordance with the provisions described below under the caption “—Conversion Rights—Settlement Upon Conversion—Settlement Method,” we elect to settle all conversions with a conversion date that occurs on or after the date we send such redemption notice and on or before the second business day immediately before the related redemption date by physical settlement, then we may instead elect to choose a redemption date that is a business day no more than 60, nor less than 15, calendar days after the date we send such redemption notice.</w:t>
      </w:r>
    </w:p>
    <w:p>
      <w:pPr>
        <w:spacing w:after="0" w:line="81" w:lineRule="exact"/>
        <w:rPr>
          <w:sz w:val="20"/>
          <w:szCs w:val="20"/>
          <w:color w:val="auto"/>
        </w:rPr>
      </w:pPr>
    </w:p>
    <w:p>
      <w:pPr>
        <w:ind w:left="360" w:right="379"/>
        <w:spacing w:after="0" w:line="235" w:lineRule="auto"/>
        <w:rPr>
          <w:sz w:val="20"/>
          <w:szCs w:val="20"/>
          <w:color w:val="auto"/>
        </w:rPr>
      </w:pPr>
      <w:r>
        <w:rPr>
          <w:rFonts w:ascii="Arial" w:cs="Arial" w:eastAsia="Arial" w:hAnsi="Arial"/>
          <w:sz w:val="14"/>
          <w:szCs w:val="14"/>
          <w:color w:val="auto"/>
        </w:rPr>
        <w:t>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S-25</w:t>
      </w:r>
    </w:p>
    <w:p>
      <w:pPr>
        <w:sectPr>
          <w:pgSz w:w="11900" w:h="16838" w:orient="portrait"/>
          <w:cols w:equalWidth="0" w:num="1">
            <w:col w:w="9019"/>
          </w:cols>
          <w:pgMar w:left="1440" w:top="238" w:right="1440" w:bottom="1440" w:gutter="0" w:footer="0" w:header="0"/>
        </w:sectPr>
      </w:pPr>
    </w:p>
    <w:bookmarkStart w:id="28" w:name="page29"/>
    <w:bookmarkEnd w:id="28"/>
    <w:p>
      <w:pPr>
        <w:ind w:left="360" w:right="41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on or, at our election, before such interest payment date, the unpaid interest that would have accrued on such note to, but excluding, such interest payment date; and (ii) the redemption price will not include accrued and unpaid interest on such note to, but excluding, such redemption date.</w:t>
      </w:r>
    </w:p>
    <w:p>
      <w:pPr>
        <w:spacing w:after="0" w:line="89" w:lineRule="exact"/>
        <w:rPr>
          <w:sz w:val="20"/>
          <w:szCs w:val="20"/>
          <w:color w:val="auto"/>
        </w:rPr>
      </w:pPr>
    </w:p>
    <w:p>
      <w:pPr>
        <w:ind w:left="360" w:right="479"/>
        <w:spacing w:after="0" w:line="249" w:lineRule="auto"/>
        <w:rPr>
          <w:sz w:val="20"/>
          <w:szCs w:val="20"/>
          <w:color w:val="auto"/>
        </w:rPr>
      </w:pPr>
      <w:r>
        <w:rPr>
          <w:rFonts w:ascii="Arial" w:cs="Arial" w:eastAsia="Arial" w:hAnsi="Arial"/>
          <w:sz w:val="14"/>
          <w:szCs w:val="14"/>
          <w:color w:val="auto"/>
        </w:rPr>
        <w:t>We will send to each applicable noteholder notice of the redemption containing certain information set forth in the indenture, including the redemption price and the redemption date.</w:t>
      </w:r>
    </w:p>
    <w:p>
      <w:pPr>
        <w:spacing w:after="0" w:line="72" w:lineRule="exact"/>
        <w:rPr>
          <w:sz w:val="20"/>
          <w:szCs w:val="20"/>
          <w:color w:val="auto"/>
        </w:rPr>
      </w:pPr>
    </w:p>
    <w:p>
      <w:pPr>
        <w:ind w:left="360" w:right="399"/>
        <w:spacing w:after="0" w:line="249" w:lineRule="auto"/>
        <w:rPr>
          <w:sz w:val="20"/>
          <w:szCs w:val="20"/>
          <w:color w:val="auto"/>
        </w:rPr>
      </w:pPr>
      <w:r>
        <w:rPr>
          <w:rFonts w:ascii="Arial" w:cs="Arial" w:eastAsia="Arial" w:hAnsi="Arial"/>
          <w:sz w:val="14"/>
          <w:szCs w:val="14"/>
          <w:color w:val="auto"/>
        </w:rPr>
        <w:t>If only a portion of a note is subject to redemption and that note is converted in part, then the converted portion of that note will be deemed to be from the portion of that note that was subject to redemption.</w:t>
      </w:r>
    </w:p>
    <w:p>
      <w:pPr>
        <w:spacing w:after="0" w:line="82" w:lineRule="exact"/>
        <w:rPr>
          <w:sz w:val="20"/>
          <w:szCs w:val="20"/>
          <w:color w:val="auto"/>
        </w:rPr>
      </w:pPr>
    </w:p>
    <w:p>
      <w:pPr>
        <w:ind w:left="360" w:right="379"/>
        <w:spacing w:after="0" w:line="270" w:lineRule="auto"/>
        <w:rPr>
          <w:sz w:val="20"/>
          <w:szCs w:val="20"/>
          <w:color w:val="auto"/>
        </w:rPr>
      </w:pPr>
      <w:r>
        <w:rPr>
          <w:rFonts w:ascii="Arial" w:cs="Arial" w:eastAsia="Arial" w:hAnsi="Arial"/>
          <w:sz w:val="12"/>
          <w:szCs w:val="12"/>
          <w:color w:val="auto"/>
        </w:rPr>
        <w:t>If we elect to redeem less than all of the outstanding notes, and the holder of any note, or any owner of a beneficial interest in any global note, is reasonably not able to determine, before the close of business on the 32nd scheduled trading day (or, if, as described above, we irrevocably elect physical settlement for all conversions with a conversion date that occurs on or after the date we send the related redemption notice and on or before the second business day immediately before the related redemption date, the 10th calendar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business day immediately before such redemption date, and each such conversion will be deemed to be of a note called for redemption for purposes of these redemption provisions and the provisions described below under the captions “—Conversion Rights—When the Notes May Be Converted—Conversion Upon Redemption” and “—Conversion Rights— Increase in Conversion Rate in Connection with a Make-Whole Fundamental Change.” For the avoidance of doubt, each reference in this prospectus supplement to (i) any note that is called for redemption (or similar language) includes any note that is deemed to be called for redemption pursuant to the provision described in this paragraph; and (ii) any note that is not called for redemption (or similar language) excludes any note that is deemed to be called for redemption pursuant to the provision described in this paragraph.</w:t>
      </w:r>
    </w:p>
    <w:p>
      <w:pPr>
        <w:spacing w:after="0" w:line="228" w:lineRule="exact"/>
        <w:rPr>
          <w:sz w:val="20"/>
          <w:szCs w:val="20"/>
          <w:color w:val="auto"/>
        </w:rPr>
      </w:pPr>
    </w:p>
    <w:p>
      <w:pPr>
        <w:ind w:left="360" w:right="519"/>
        <w:spacing w:after="0" w:line="238" w:lineRule="auto"/>
        <w:rPr>
          <w:sz w:val="20"/>
          <w:szCs w:val="20"/>
          <w:color w:val="auto"/>
        </w:rPr>
      </w:pPr>
      <w:r>
        <w:rPr>
          <w:rFonts w:ascii="Arial" w:cs="Arial" w:eastAsia="Arial" w:hAnsi="Arial"/>
          <w:sz w:val="14"/>
          <w:szCs w:val="14"/>
          <w:color w:val="auto"/>
        </w:rPr>
        <w:t>Notwithstanding anything to the contrary above, we may not redeem any notes if the principal amount of the notes has been accelerated and such acceleration has not been rescinded on or before the redemption date (including as a result of the payment of the related redemption price and any related interest described above on the redemption date).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Conversion Rights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Generally</w:t>
      </w:r>
    </w:p>
    <w:p>
      <w:pPr>
        <w:spacing w:after="0" w:line="93" w:lineRule="exact"/>
        <w:rPr>
          <w:sz w:val="20"/>
          <w:szCs w:val="20"/>
          <w:color w:val="auto"/>
        </w:rPr>
      </w:pPr>
    </w:p>
    <w:p>
      <w:pPr>
        <w:ind w:left="360" w:right="779"/>
        <w:spacing w:after="0" w:line="271" w:lineRule="auto"/>
        <w:rPr>
          <w:sz w:val="20"/>
          <w:szCs w:val="20"/>
          <w:color w:val="auto"/>
        </w:rPr>
      </w:pPr>
      <w:r>
        <w:rPr>
          <w:rFonts w:ascii="Arial" w:cs="Arial" w:eastAsia="Arial" w:hAnsi="Arial"/>
          <w:sz w:val="12"/>
          <w:szCs w:val="12"/>
          <w:color w:val="auto"/>
        </w:rPr>
        <w:t>Noteholders will have the right to convert their notes (or any portion of a note in an authorized denomination), in the circumstances described below, into consideration that consists, at our election, of cash, shares of our common stock or a combination of cash and shares of our common stock (together with cash in lieu of any fractional share, if applicable), based on an initial conversion rate of</w:t>
      </w:r>
    </w:p>
    <w:p>
      <w:pPr>
        <w:spacing w:after="0" w:line="1" w:lineRule="exact"/>
        <w:rPr>
          <w:sz w:val="20"/>
          <w:szCs w:val="20"/>
          <w:color w:val="auto"/>
        </w:rPr>
      </w:pPr>
    </w:p>
    <w:p>
      <w:pPr>
        <w:ind w:left="360" w:right="399"/>
        <w:spacing w:after="0" w:line="504" w:lineRule="auto"/>
        <w:rPr>
          <w:sz w:val="20"/>
          <w:szCs w:val="20"/>
          <w:color w:val="auto"/>
        </w:rPr>
      </w:pPr>
      <w:r>
        <w:rPr>
          <w:rFonts w:ascii="Arial" w:cs="Arial" w:eastAsia="Arial" w:hAnsi="Arial"/>
          <w:sz w:val="12"/>
          <w:szCs w:val="12"/>
          <w:color w:val="auto"/>
        </w:rPr>
        <w:t>5.0302 shares per $1,000 principal amount of notes (which represents an initial conversion price of approximately $198.80 per share). Noteholders may convert their notes only in the circumstances described below under the caption “—When the Notes May Be Converted.”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Treatment of Interest Upon Conversion</w:t>
      </w:r>
    </w:p>
    <w:p>
      <w:pPr>
        <w:spacing w:after="0" w:line="103" w:lineRule="exact"/>
        <w:rPr>
          <w:sz w:val="20"/>
          <w:szCs w:val="20"/>
          <w:color w:val="auto"/>
        </w:rPr>
      </w:pPr>
    </w:p>
    <w:p>
      <w:pPr>
        <w:ind w:left="360" w:right="899"/>
        <w:spacing w:after="0" w:line="249" w:lineRule="auto"/>
        <w:rPr>
          <w:sz w:val="20"/>
          <w:szCs w:val="20"/>
          <w:color w:val="auto"/>
        </w:rPr>
      </w:pPr>
      <w:r>
        <w:rPr>
          <w:rFonts w:ascii="Arial" w:cs="Arial" w:eastAsia="Arial" w:hAnsi="Arial"/>
          <w:sz w:val="14"/>
          <w:szCs w:val="14"/>
          <w:color w:val="auto"/>
        </w:rPr>
        <w:t>We will not adjust the conversion rate to account for any accrued and unpaid interest on any note being converted, and, except as described below, our delivery of the consideration due in respect of the conversion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S-26</w:t>
      </w:r>
    </w:p>
    <w:p>
      <w:pPr>
        <w:sectPr>
          <w:pgSz w:w="11900" w:h="16838" w:orient="portrait"/>
          <w:cols w:equalWidth="0" w:num="1">
            <w:col w:w="9019"/>
          </w:cols>
          <w:pgMar w:left="1440" w:top="238" w:right="1440" w:bottom="1440" w:gutter="0" w:footer="0" w:header="0"/>
        </w:sectPr>
      </w:pPr>
    </w:p>
    <w:bookmarkStart w:id="29" w:name="page30"/>
    <w:bookmarkEnd w:id="29"/>
    <w:p>
      <w:pPr>
        <w:ind w:left="360" w:right="43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will be deemed to fully satisfy and discharge our obligation to pay the principal of, and accrued and unpaid interest, if any, on, such note to, but excluding, the “conversion date” (as defined below under the caption “—Conversion Procedures”). As a result, except as described below, any accrued and unpaid interest on a converted note will be deemed to be paid in full rather than cancelled, extinguished or forfeited. In addition, if the consideration due upon conversion consists of both cash and shares of our common stock, then accrued and unpaid interest that is deemed to be paid therewith will be deemed to be paid first out of such cash.</w:t>
      </w:r>
    </w:p>
    <w:p>
      <w:pPr>
        <w:spacing w:after="0" w:line="88" w:lineRule="exact"/>
        <w:rPr>
          <w:sz w:val="20"/>
          <w:szCs w:val="20"/>
          <w:color w:val="auto"/>
        </w:rPr>
      </w:pPr>
    </w:p>
    <w:p>
      <w:pPr>
        <w:ind w:left="360" w:right="499"/>
        <w:spacing w:after="0" w:line="249" w:lineRule="auto"/>
        <w:rPr>
          <w:sz w:val="20"/>
          <w:szCs w:val="20"/>
          <w:color w:val="auto"/>
        </w:rPr>
      </w:pPr>
      <w:r>
        <w:rPr>
          <w:rFonts w:ascii="Arial" w:cs="Arial" w:eastAsia="Arial" w:hAnsi="Arial"/>
          <w:sz w:val="14"/>
          <w:szCs w:val="14"/>
          <w:color w:val="auto"/>
        </w:rPr>
        <w:t>Notwithstanding anything to the contrary above, if the conversion date of a note is after a regular record date and before the next interest payment date, then:</w:t>
      </w:r>
    </w:p>
    <w:p>
      <w:pPr>
        <w:spacing w:after="0" w:line="82" w:lineRule="exact"/>
        <w:rPr>
          <w:sz w:val="20"/>
          <w:szCs w:val="20"/>
          <w:color w:val="auto"/>
        </w:rPr>
      </w:pPr>
    </w:p>
    <w:p>
      <w:pPr>
        <w:ind w:left="520" w:right="719" w:hanging="157"/>
        <w:spacing w:after="0" w:line="23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holder of such note at the close of business on such regular record date will be entitled, notwithstanding such conversion, to receive, on or, at our election, before such interest payment date, the unpaid interest that would have accrued on such note to, but excluding, such interest payment date; and</w:t>
      </w:r>
    </w:p>
    <w:p>
      <w:pPr>
        <w:spacing w:after="0" w:line="89" w:lineRule="exact"/>
        <w:rPr>
          <w:rFonts w:ascii="Arial" w:cs="Arial" w:eastAsia="Arial" w:hAnsi="Arial"/>
          <w:sz w:val="14"/>
          <w:szCs w:val="14"/>
          <w:color w:val="auto"/>
        </w:rPr>
      </w:pPr>
    </w:p>
    <w:p>
      <w:pPr>
        <w:ind w:left="520" w:right="499" w:hanging="157"/>
        <w:spacing w:after="0" w:line="249"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noteholder surrendering such note for conversion must deliver, at the time it surrenders such note, an amount of cash equal to the amount of such interest.</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However, such noteholder need not deliver such cash:</w:t>
      </w:r>
    </w:p>
    <w:p>
      <w:pPr>
        <w:spacing w:after="0" w:line="103" w:lineRule="exact"/>
        <w:rPr>
          <w:sz w:val="20"/>
          <w:szCs w:val="20"/>
          <w:color w:val="auto"/>
        </w:rPr>
      </w:pPr>
    </w:p>
    <w:p>
      <w:pPr>
        <w:ind w:left="520" w:right="659" w:hanging="157"/>
        <w:spacing w:after="0" w:line="249"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have specified a redemption date that is after such regular record date and on or before the second business day immediately after such interest payment date;</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such conversion date occurs after the regular record date immediately before the maturity date;</w:t>
      </w:r>
    </w:p>
    <w:p>
      <w:pPr>
        <w:spacing w:after="0" w:line="102" w:lineRule="exact"/>
        <w:rPr>
          <w:rFonts w:ascii="Arial" w:cs="Arial" w:eastAsia="Arial" w:hAnsi="Arial"/>
          <w:sz w:val="14"/>
          <w:szCs w:val="14"/>
          <w:color w:val="auto"/>
        </w:rPr>
      </w:pPr>
    </w:p>
    <w:p>
      <w:pPr>
        <w:ind w:left="520" w:right="439" w:hanging="157"/>
        <w:spacing w:after="0" w:line="238"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have specified a “fundamental change repurchase date” (as defined below under the caption “—Fundamental Change Permits Noteholders to Require Us to Repurchase Notes”) that is after such regular record date and on or before the business day immediately after such interest payment date; or</w:t>
      </w:r>
    </w:p>
    <w:p>
      <w:pPr>
        <w:spacing w:after="0" w:line="89" w:lineRule="exact"/>
        <w:rPr>
          <w:rFonts w:ascii="Arial" w:cs="Arial" w:eastAsia="Arial" w:hAnsi="Arial"/>
          <w:sz w:val="14"/>
          <w:szCs w:val="14"/>
          <w:color w:val="auto"/>
        </w:rPr>
      </w:pPr>
    </w:p>
    <w:p>
      <w:pPr>
        <w:ind w:left="520" w:hanging="1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the extent of any special interest, overdue interest or interest that has accrued on any overdue interest.</w:t>
      </w:r>
    </w:p>
    <w:p>
      <w:pPr>
        <w:spacing w:after="0" w:line="103" w:lineRule="exact"/>
        <w:rPr>
          <w:sz w:val="20"/>
          <w:szCs w:val="20"/>
          <w:color w:val="auto"/>
        </w:rPr>
      </w:pPr>
    </w:p>
    <w:p>
      <w:pPr>
        <w:ind w:left="360" w:right="539"/>
        <w:spacing w:after="0" w:line="238" w:lineRule="auto"/>
        <w:rPr>
          <w:sz w:val="20"/>
          <w:szCs w:val="20"/>
          <w:color w:val="auto"/>
        </w:rPr>
      </w:pPr>
      <w:r>
        <w:rPr>
          <w:rFonts w:ascii="Arial" w:cs="Arial" w:eastAsia="Arial" w:hAnsi="Arial"/>
          <w:sz w:val="14"/>
          <w:szCs w:val="14"/>
          <w:color w:val="auto"/>
        </w:rPr>
        <w:t>Accordingly, for the avoidance of doubt, all noteholders as of the close of business on the regular record date immediately before the maturity date will receive the full interest payment that would have been due on the maturity date regardless of whether their notes have been converted after such regular record date.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When the Notes May Be Converted</w:t>
      </w:r>
    </w:p>
    <w:p>
      <w:pPr>
        <w:spacing w:after="0" w:line="103" w:lineRule="exact"/>
        <w:rPr>
          <w:sz w:val="20"/>
          <w:szCs w:val="20"/>
          <w:color w:val="auto"/>
        </w:rPr>
      </w:pPr>
    </w:p>
    <w:p>
      <w:pPr>
        <w:ind w:left="360" w:right="659"/>
        <w:spacing w:after="0" w:line="249" w:lineRule="auto"/>
        <w:rPr>
          <w:sz w:val="20"/>
          <w:szCs w:val="20"/>
          <w:color w:val="auto"/>
        </w:rPr>
      </w:pPr>
      <w:r>
        <w:rPr>
          <w:rFonts w:ascii="Arial" w:cs="Arial" w:eastAsia="Arial" w:hAnsi="Arial"/>
          <w:sz w:val="14"/>
          <w:szCs w:val="14"/>
          <w:color w:val="auto"/>
        </w:rPr>
        <w:t>Noteholders may convert their notes only in the circumstances set forth below. However, in no event may notes be converted after the close of business on the second scheduled trading day immediately before the maturity date.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 Upon Satisfaction of Common Stock Sale Price Condition</w:t>
      </w:r>
    </w:p>
    <w:p>
      <w:pPr>
        <w:spacing w:after="0" w:line="103" w:lineRule="exact"/>
        <w:rPr>
          <w:sz w:val="20"/>
          <w:szCs w:val="20"/>
          <w:color w:val="auto"/>
        </w:rPr>
      </w:pPr>
    </w:p>
    <w:p>
      <w:pPr>
        <w:ind w:left="360" w:right="399"/>
        <w:spacing w:after="0" w:line="235" w:lineRule="auto"/>
        <w:rPr>
          <w:sz w:val="20"/>
          <w:szCs w:val="20"/>
          <w:color w:val="auto"/>
        </w:rPr>
      </w:pPr>
      <w:r>
        <w:rPr>
          <w:rFonts w:ascii="Arial" w:cs="Arial" w:eastAsia="Arial" w:hAnsi="Arial"/>
          <w:sz w:val="14"/>
          <w:szCs w:val="14"/>
          <w:color w:val="auto"/>
        </w:rPr>
        <w:t>A noteholder may convert its notes during any calendar quarter (and only during such calendar quarter) commencing after the calendar quarter ending on September 30, 2026,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 Upon Satisfaction of Note Trading Price Condition</w:t>
      </w:r>
    </w:p>
    <w:p>
      <w:pPr>
        <w:spacing w:after="0" w:line="103" w:lineRule="exact"/>
        <w:rPr>
          <w:sz w:val="20"/>
          <w:szCs w:val="20"/>
          <w:color w:val="auto"/>
        </w:rPr>
      </w:pPr>
    </w:p>
    <w:p>
      <w:pPr>
        <w:ind w:left="360" w:right="659"/>
        <w:spacing w:after="0" w:line="249" w:lineRule="auto"/>
        <w:rPr>
          <w:sz w:val="20"/>
          <w:szCs w:val="20"/>
          <w:color w:val="auto"/>
        </w:rPr>
      </w:pPr>
      <w:r>
        <w:rPr>
          <w:rFonts w:ascii="Arial" w:cs="Arial" w:eastAsia="Arial" w:hAnsi="Arial"/>
          <w:sz w:val="14"/>
          <w:szCs w:val="14"/>
          <w:color w:val="auto"/>
        </w:rPr>
        <w:t>A noteholder may convert its notes during the five consecutive business days immediately after any 10 consecutive trading day period (such 10 consecutive trading day period, the “measurement period”) if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S-27</w:t>
      </w:r>
    </w:p>
    <w:p>
      <w:pPr>
        <w:sectPr>
          <w:pgSz w:w="11900" w:h="16838" w:orient="portrait"/>
          <w:cols w:equalWidth="0" w:num="1">
            <w:col w:w="9019"/>
          </w:cols>
          <w:pgMar w:left="1440" w:top="238" w:right="1440" w:bottom="1440" w:gutter="0" w:footer="0" w:header="0"/>
        </w:sectPr>
      </w:pPr>
    </w:p>
    <w:bookmarkStart w:id="30" w:name="page31"/>
    <w:bookmarkEnd w:id="30"/>
    <w:p>
      <w:pPr>
        <w:ind w:left="360" w:right="639"/>
        <w:spacing w:after="0" w:line="23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“trading price” (as defined below under the caption “—Definitions”) per $1,000 principal amount of notes, as determined following a request by a noteholder in accordance with the procedures described below, for each trading day of the measurement period was less than 98% of the product of the last reported sale price per share of our common stock on such trading day and the conversion rate on such trading day. We refer to this condition as the “trading price condition.”</w:t>
      </w:r>
    </w:p>
    <w:p>
      <w:pPr>
        <w:spacing w:after="0" w:line="90" w:lineRule="exact"/>
        <w:rPr>
          <w:sz w:val="20"/>
          <w:szCs w:val="20"/>
          <w:color w:val="auto"/>
        </w:rPr>
      </w:pPr>
    </w:p>
    <w:p>
      <w:pPr>
        <w:ind w:left="360" w:right="379"/>
        <w:spacing w:after="0" w:line="229" w:lineRule="auto"/>
        <w:rPr>
          <w:sz w:val="20"/>
          <w:szCs w:val="20"/>
          <w:color w:val="auto"/>
        </w:rPr>
      </w:pPr>
      <w:r>
        <w:rPr>
          <w:rFonts w:ascii="Arial" w:cs="Arial" w:eastAsia="Arial" w:hAnsi="Arial"/>
          <w:sz w:val="14"/>
          <w:szCs w:val="14"/>
          <w:color w:val="auto"/>
        </w:rPr>
        <w:t>The trading price will be determined by the bid solicitation agent as described below and in the definition of “trading price.” The bid solicitation agent (if not us) will have no obligation to determine the trading price of the notes unless we have requested such determination in writing, and we will have no obligation to make such request (or seek bids ourselves) unless a noteholder provides us with reasonable evidence that the trading price per $1,000 principal amount of notes would be less than 98% of the product of the last reported sale price per share of our common stock and the conversion rate. If a noteholder provides such evidence, then we will instruct the bid solicitation agent to (or, if we are acting as the bid solicitation agent, we will) determine the trading price of the notes beginning on the next trading day and on each successive trading day until the trading price per $ 1,000 principal amount of notes is greater than or equal to 98% of the product of the last reported sale price per share of our common stock on such trading day and the conversion rate on such trading day. If the trading price condition has been met as described above, then we will notify the noteholders of the same. If, on any trading day after the trading price condition has been met as described above, the trading price per $1,000 principal amount of notes is greater than or equal to 98% of the product of the last reported sale price per share of our common stock on such trading day and the conversion rate on such trading day, then we will notify the noteholders of the same.</w:t>
      </w:r>
    </w:p>
    <w:p>
      <w:pPr>
        <w:spacing w:after="0" w:line="85" w:lineRule="exact"/>
        <w:rPr>
          <w:sz w:val="20"/>
          <w:szCs w:val="20"/>
          <w:color w:val="auto"/>
        </w:rPr>
      </w:pPr>
    </w:p>
    <w:p>
      <w:pPr>
        <w:ind w:left="360" w:right="959"/>
        <w:spacing w:after="0" w:line="249" w:lineRule="auto"/>
        <w:rPr>
          <w:sz w:val="20"/>
          <w:szCs w:val="20"/>
          <w:color w:val="auto"/>
        </w:rPr>
      </w:pPr>
      <w:r>
        <w:rPr>
          <w:rFonts w:ascii="Arial" w:cs="Arial" w:eastAsia="Arial" w:hAnsi="Arial"/>
          <w:sz w:val="14"/>
          <w:szCs w:val="14"/>
          <w:color w:val="auto"/>
        </w:rPr>
        <w:t>We will act as the initial bid solicitation agent. However, we may change the bid solicitation agent, and we may appoint any of our subsidiaries to act in that capacity as well, without prior notice to the noteholders.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 Upon Specified Corporate Events</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Certain Distributions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before February 1, 2033, we elect to:</w:t>
      </w:r>
    </w:p>
    <w:p>
      <w:pPr>
        <w:spacing w:after="0" w:line="103" w:lineRule="exact"/>
        <w:rPr>
          <w:sz w:val="20"/>
          <w:szCs w:val="20"/>
          <w:color w:val="auto"/>
        </w:rPr>
      </w:pPr>
    </w:p>
    <w:p>
      <w:pPr>
        <w:ind w:left="520" w:right="379" w:hanging="157"/>
        <w:spacing w:after="0" w:line="275"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distribute, to all or substantially all holders of our common stock, any rights, options or warrants (other than rights issued pursuant to a stockholder rights plan, so long as such rights have not separated from our common stock and are not exercisable until the occurrence of a triggering event, except that such rights will be deemed to be distributed under this bullet point upon their separation from our common stock or upon the occurrence of such triggering event) entitling them, for a period of not more than 60 calendar days after the date such distribution is first publicly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(determined in accordance with the provisions described in the third paragraph of clause (2) under the heading “—Conversion Rate Adjustments—Generally” below); or</w:t>
      </w:r>
    </w:p>
    <w:p>
      <w:pPr>
        <w:spacing w:after="0" w:line="222" w:lineRule="exact"/>
        <w:rPr>
          <w:rFonts w:ascii="Arial" w:cs="Arial" w:eastAsia="Arial" w:hAnsi="Arial"/>
          <w:sz w:val="12"/>
          <w:szCs w:val="12"/>
          <w:color w:val="auto"/>
        </w:rPr>
      </w:pPr>
    </w:p>
    <w:p>
      <w:pPr>
        <w:jc w:val="both"/>
        <w:ind w:left="520" w:right="439" w:hanging="157"/>
        <w:spacing w:after="0" w:line="298"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distribute, to all or substantially all holders of our common stock, assets or securities of ours or rights to purchase our securities, which distribution per share of our common stock has a value, as reasonably determined by our board of directors, exceeding 10% of the last reported sale price per share of our common stock on the trading day immediately before the date such distribution is announced,</w:t>
      </w:r>
    </w:p>
    <w:p>
      <w:pPr>
        <w:spacing w:after="0" w:line="54" w:lineRule="exact"/>
        <w:rPr>
          <w:sz w:val="20"/>
          <w:szCs w:val="20"/>
          <w:color w:val="auto"/>
        </w:rPr>
      </w:pPr>
    </w:p>
    <w:p>
      <w:pPr>
        <w:jc w:val="both"/>
        <w:ind w:left="360" w:right="459"/>
        <w:spacing w:after="0" w:line="238" w:lineRule="auto"/>
        <w:rPr>
          <w:sz w:val="20"/>
          <w:szCs w:val="20"/>
          <w:color w:val="auto"/>
        </w:rPr>
      </w:pPr>
      <w:r>
        <w:rPr>
          <w:rFonts w:ascii="Arial" w:cs="Arial" w:eastAsia="Arial" w:hAnsi="Arial"/>
          <w:sz w:val="14"/>
          <w:szCs w:val="14"/>
          <w:color w:val="auto"/>
        </w:rPr>
        <w:t>then, in either case, we will send notice of such distribution, and of the related right to convert notes, to noteholders at least 35 scheduled trading days before the “ex-dividend date” (as defined below under the caption “—Definitions”) for such distribution (or, if later in the case of any such separation of rights issued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S-28</w:t>
      </w:r>
    </w:p>
    <w:p>
      <w:pPr>
        <w:sectPr>
          <w:pgSz w:w="11900" w:h="16838" w:orient="portrait"/>
          <w:cols w:equalWidth="0" w:num="1">
            <w:col w:w="9019"/>
          </w:cols>
          <w:pgMar w:left="1440" w:top="238" w:right="1440" w:bottom="1440" w:gutter="0" w:footer="0" w:header="0"/>
        </w:sectPr>
      </w:pPr>
    </w:p>
    <w:bookmarkStart w:id="31" w:name="page32"/>
    <w:bookmarkEnd w:id="31"/>
    <w:p>
      <w:pPr>
        <w:ind w:left="360" w:right="399"/>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pursuant to a stockholder rights plan or the occurrence of any such triggering event under a stockholder rights plan, as soon as reasonably practicable after we become aware that such separation or triggering event has occurred or will occur). However, if we are then otherwise permitted to settle conversions by physical settlement (and, for the avoidance of doubt, we have not elected another settlement method to apply, including pursuant to the provision described in the third sentence under the caption “—Settlement Upon Conversion—Settlement Method” below), then we may instead elect to provide such notice at least 10 scheduled trading days before such ex-dividend date. In that event, we will be required to settle all conversions with a conversion date occurring on or after the date we provide such notice and on or before the business day immediately before the ex-dividend date for such distribution (or any earlier announcement by us that such distribution will not take place) by physical settlement, and we will describe the same in the notice. Once we have sent such notice, noteholders may convert their notes at any time until the earlier of the close of business on the business day immediately before such ex-dividend date and our announcement that such distribution will not take place. However, the notes will not become convertible on account of such distribution (but we will still be required to send notice of such distribution as described above) if each noteholder participates, at the same time and on the same terms as holders of our common stock, and solely by virtue of being a noteholder, in such distribution without having to convert such noteholder’s notes and as if such noteholder held a number of shares of our common stock equal to the product of (i) the conversion rate in effect on the record date for such distribution; and (ii) the aggregate principal amount (expressed in thousands) of notes held by such noteholder on such record date.</w:t>
      </w:r>
    </w:p>
    <w:p>
      <w:pPr>
        <w:spacing w:after="0" w:line="200" w:lineRule="exact"/>
        <w:rPr>
          <w:sz w:val="20"/>
          <w:szCs w:val="20"/>
          <w:color w:val="auto"/>
        </w:rPr>
      </w:pPr>
    </w:p>
    <w:p>
      <w:pPr>
        <w:spacing w:after="0" w:line="286"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Certain Corporate Events</w:t>
      </w:r>
    </w:p>
    <w:p>
      <w:pPr>
        <w:spacing w:after="0" w:line="103" w:lineRule="exact"/>
        <w:rPr>
          <w:sz w:val="20"/>
          <w:szCs w:val="20"/>
          <w:color w:val="auto"/>
        </w:rPr>
      </w:pPr>
    </w:p>
    <w:p>
      <w:pPr>
        <w:ind w:left="360" w:right="399"/>
        <w:spacing w:after="0" w:line="229" w:lineRule="auto"/>
        <w:rPr>
          <w:sz w:val="20"/>
          <w:szCs w:val="20"/>
          <w:color w:val="auto"/>
        </w:rPr>
      </w:pPr>
      <w:r>
        <w:rPr>
          <w:rFonts w:ascii="Arial" w:cs="Arial" w:eastAsia="Arial" w:hAnsi="Arial"/>
          <w:sz w:val="14"/>
          <w:szCs w:val="14"/>
          <w:color w:val="auto"/>
        </w:rPr>
        <w:t>If a fundamental change, make-whole fundamental change (other than a make-whole fundamental change pursuant to clause (ii) of the definition thereof) or “common stock change event” (as defined below under the caption “—Effect of Common Stock Change Event”) occurs (other than a merger or other business combination transaction that is effected solely to change our jurisdiction of incorporation and that does not constitute a fundamental change or a make-whole fundamental change), then, in each case, noteholders may convert their notes at any time from, and including, the effective date of such transaction or event to, and including, the 35th trading day after such effective date (or, if such transaction or event also constitutes a fundamental change (other than an “exempted fundamental change,” as defined below under the caption “—Fundamental Change Permits Noteholders to Require Us to Repurchase Notes—No Repurchase Right in Certain Circumstances”), to, but excluding, the related fundamental change repurchase date). No later than the second business day after such effective date, we will send notice to the noteholders of such transaction or event, such effective date and the related right to convert notes. If we do not provide such notice by the second business day after the effective date, then the last day on which the notes are convertible will be extended by the number of business days from, and including, the second business day after the effective date to, but excluding, the date we provide the notice.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 Upon Redemption</w:t>
      </w:r>
    </w:p>
    <w:p>
      <w:pPr>
        <w:spacing w:after="0" w:line="103" w:lineRule="exact"/>
        <w:rPr>
          <w:sz w:val="20"/>
          <w:szCs w:val="20"/>
          <w:color w:val="auto"/>
        </w:rPr>
      </w:pPr>
    </w:p>
    <w:p>
      <w:pPr>
        <w:ind w:left="360" w:right="599"/>
        <w:spacing w:after="0" w:line="238" w:lineRule="auto"/>
        <w:rPr>
          <w:sz w:val="20"/>
          <w:szCs w:val="20"/>
          <w:color w:val="auto"/>
        </w:rPr>
      </w:pPr>
      <w:r>
        <w:rPr>
          <w:rFonts w:ascii="Arial" w:cs="Arial" w:eastAsia="Arial" w:hAnsi="Arial"/>
          <w:sz w:val="14"/>
          <w:szCs w:val="14"/>
          <w:color w:val="auto"/>
        </w:rPr>
        <w:t>If we call any note for redemption, then the holder of such note may convert such note at any time before the close of business on the second business day immediately before the related redemption date (or, if we fail to pay the redemption price due on such redemption date in full, at any time until such time as we pay such redemption price in full).</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Conversions During Free Convertibility Period</w:t>
      </w:r>
    </w:p>
    <w:p>
      <w:pPr>
        <w:spacing w:after="0" w:line="103" w:lineRule="exact"/>
        <w:rPr>
          <w:sz w:val="20"/>
          <w:szCs w:val="20"/>
          <w:color w:val="auto"/>
        </w:rPr>
      </w:pPr>
    </w:p>
    <w:p>
      <w:pPr>
        <w:ind w:left="360" w:right="459"/>
        <w:spacing w:after="0" w:line="249" w:lineRule="auto"/>
        <w:rPr>
          <w:sz w:val="20"/>
          <w:szCs w:val="20"/>
          <w:color w:val="auto"/>
        </w:rPr>
      </w:pPr>
      <w:r>
        <w:rPr>
          <w:rFonts w:ascii="Arial" w:cs="Arial" w:eastAsia="Arial" w:hAnsi="Arial"/>
          <w:sz w:val="14"/>
          <w:szCs w:val="14"/>
          <w:color w:val="auto"/>
        </w:rPr>
        <w:t>A noteholder may convert its notes at any time from, and including, February 1, 2033 until the close of business on the second scheduled trading day immediately before the maturity date.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S-29</w:t>
      </w:r>
    </w:p>
    <w:p>
      <w:pPr>
        <w:sectPr>
          <w:pgSz w:w="11900" w:h="16838" w:orient="portrait"/>
          <w:cols w:equalWidth="0" w:num="1">
            <w:col w:w="9019"/>
          </w:cols>
          <w:pgMar w:left="1440" w:top="238" w:right="1440" w:bottom="1440" w:gutter="0" w:footer="0" w:header="0"/>
        </w:sectPr>
      </w:pPr>
    </w:p>
    <w:bookmarkStart w:id="32" w:name="page33"/>
    <w:bookmarkEnd w:id="32"/>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Conversion Procedures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 convert a beneficial interest in a global note, the owner of the beneficial interest must:</w:t>
      </w:r>
    </w:p>
    <w:p>
      <w:pPr>
        <w:spacing w:after="0" w:line="103" w:lineRule="exact"/>
        <w:rPr>
          <w:sz w:val="20"/>
          <w:szCs w:val="20"/>
          <w:color w:val="auto"/>
        </w:rPr>
      </w:pPr>
    </w:p>
    <w:p>
      <w:pPr>
        <w:ind w:left="520" w:hanging="157"/>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comply with the depositary procedures for converting the beneficial interest (at which time such conversion will become irrevocable);</w:t>
      </w:r>
    </w:p>
    <w:p>
      <w:pPr>
        <w:spacing w:after="0" w:line="125" w:lineRule="exact"/>
        <w:rPr>
          <w:rFonts w:ascii="Arial" w:cs="Arial" w:eastAsia="Arial" w:hAnsi="Arial"/>
          <w:sz w:val="12"/>
          <w:szCs w:val="12"/>
          <w:color w:val="auto"/>
        </w:rPr>
      </w:pPr>
    </w:p>
    <w:p>
      <w:pPr>
        <w:ind w:left="520" w:right="399" w:hanging="157"/>
        <w:spacing w:after="0" w:line="249"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applicable, pay any interest payable on the next interest payment date, as described above under the caption “—Treatment of Interest Upon Conversion”; and</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applicable, pay any documentary or other taxes as described below.</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 convert all or a portion of a physical note, the holder of such note must:</w:t>
      </w:r>
    </w:p>
    <w:p>
      <w:pPr>
        <w:spacing w:after="0" w:line="103" w:lineRule="exact"/>
        <w:rPr>
          <w:sz w:val="20"/>
          <w:szCs w:val="20"/>
          <w:color w:val="auto"/>
        </w:rPr>
      </w:pPr>
    </w:p>
    <w:p>
      <w:pPr>
        <w:ind w:left="520" w:right="939" w:hanging="157"/>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complete, manually sign and deliver to the conversion agent the conversion notice attached to such note or a facsimile of such conversion notice;</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deliver such note to the conversion agent (at which time such conversion will become irrevocable);</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 any endorsements and transfer documents that we or the conversion agent may require;</w:t>
      </w:r>
    </w:p>
    <w:p>
      <w:pPr>
        <w:spacing w:after="0" w:line="102" w:lineRule="exact"/>
        <w:rPr>
          <w:rFonts w:ascii="Arial" w:cs="Arial" w:eastAsia="Arial" w:hAnsi="Arial"/>
          <w:sz w:val="14"/>
          <w:szCs w:val="14"/>
          <w:color w:val="auto"/>
        </w:rPr>
      </w:pPr>
    </w:p>
    <w:p>
      <w:pPr>
        <w:ind w:left="520" w:right="399" w:hanging="157"/>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applicable, pay any interest payable on the next interest payment date, as described above under the caption “—Treatment of Interest Upon Conversion”; and</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applicable, pay any documentary or other taxes as described below.</w:t>
      </w:r>
    </w:p>
    <w:p>
      <w:pPr>
        <w:spacing w:after="0" w:line="103" w:lineRule="exact"/>
        <w:rPr>
          <w:sz w:val="20"/>
          <w:szCs w:val="20"/>
          <w:color w:val="auto"/>
        </w:rPr>
      </w:pPr>
    </w:p>
    <w:p>
      <w:pPr>
        <w:ind w:left="360" w:right="399"/>
        <w:spacing w:after="0" w:line="249" w:lineRule="auto"/>
        <w:rPr>
          <w:sz w:val="20"/>
          <w:szCs w:val="20"/>
          <w:color w:val="auto"/>
        </w:rPr>
      </w:pPr>
      <w:r>
        <w:rPr>
          <w:rFonts w:ascii="Arial" w:cs="Arial" w:eastAsia="Arial" w:hAnsi="Arial"/>
          <w:sz w:val="14"/>
          <w:szCs w:val="14"/>
          <w:color w:val="auto"/>
        </w:rPr>
        <w:t>Notes may be surrendered for conversion only after the “open of business” (as defined below under the caption “—Definitions”) and before the close of business on a day that is a business day.</w:t>
      </w:r>
    </w:p>
    <w:p>
      <w:pPr>
        <w:spacing w:after="0" w:line="82" w:lineRule="exact"/>
        <w:rPr>
          <w:sz w:val="20"/>
          <w:szCs w:val="20"/>
          <w:color w:val="auto"/>
        </w:rPr>
      </w:pPr>
    </w:p>
    <w:p>
      <w:pPr>
        <w:ind w:left="360" w:right="519"/>
        <w:spacing w:after="0" w:line="238" w:lineRule="auto"/>
        <w:rPr>
          <w:sz w:val="20"/>
          <w:szCs w:val="20"/>
          <w:color w:val="auto"/>
        </w:rPr>
      </w:pPr>
      <w:r>
        <w:rPr>
          <w:rFonts w:ascii="Arial" w:cs="Arial" w:eastAsia="Arial" w:hAnsi="Arial"/>
          <w:sz w:val="14"/>
          <w:szCs w:val="14"/>
          <w:color w:val="auto"/>
        </w:rPr>
        <w:t>We will pay any documentary, stamp or similar issue or transfer tax or duty due on the issue or delivery of any shares of our common stock upon conversion. However, if any tax or duty is due because the converting noteholder requests those shares to be registered in a name other than such noteholder’s name, then such noteholder must pay such tax or duty.</w:t>
      </w:r>
    </w:p>
    <w:p>
      <w:pPr>
        <w:spacing w:after="0" w:line="79" w:lineRule="exact"/>
        <w:rPr>
          <w:sz w:val="20"/>
          <w:szCs w:val="20"/>
          <w:color w:val="auto"/>
        </w:rPr>
      </w:pPr>
    </w:p>
    <w:p>
      <w:pPr>
        <w:jc w:val="both"/>
        <w:ind w:left="360" w:right="679"/>
        <w:spacing w:after="0" w:line="238" w:lineRule="auto"/>
        <w:rPr>
          <w:sz w:val="20"/>
          <w:szCs w:val="20"/>
          <w:color w:val="auto"/>
        </w:rPr>
      </w:pPr>
      <w:r>
        <w:rPr>
          <w:rFonts w:ascii="Arial" w:cs="Arial" w:eastAsia="Arial" w:hAnsi="Arial"/>
          <w:sz w:val="14"/>
          <w:szCs w:val="14"/>
          <w:color w:val="auto"/>
        </w:rPr>
        <w:t>We refer to the first business day on which the requirements described above to convert a note are satisfied as the “conversion date,” subject to the provision described in the last sentence under the caption “—Settlement Upon Conversion—Delivery of the Conversion Consideration.”</w:t>
      </w:r>
    </w:p>
    <w:p>
      <w:pPr>
        <w:spacing w:after="0" w:line="89" w:lineRule="exact"/>
        <w:rPr>
          <w:sz w:val="20"/>
          <w:szCs w:val="20"/>
          <w:color w:val="auto"/>
        </w:rPr>
      </w:pPr>
    </w:p>
    <w:p>
      <w:pPr>
        <w:ind w:left="360" w:right="399"/>
        <w:spacing w:after="0" w:line="235" w:lineRule="auto"/>
        <w:rPr>
          <w:sz w:val="20"/>
          <w:szCs w:val="20"/>
          <w:color w:val="auto"/>
        </w:rPr>
      </w:pPr>
      <w:r>
        <w:rPr>
          <w:rFonts w:ascii="Arial" w:cs="Arial" w:eastAsia="Arial" w:hAnsi="Arial"/>
          <w:sz w:val="14"/>
          <w:szCs w:val="14"/>
          <w:color w:val="auto"/>
        </w:rPr>
        <w:t>If a noteholder has validly delivered a “fundamental change repurchase notice” (as defined below under the caption “—Fundamental Change Permits Noteholders to Require Us to Repurchase Notes”) with respect to a note, then such note may not be converted, except to the extent (i) such notice is withdrawn in accordance with the procedures described below; or (ii) we fail to pay the related fundamental change repurchase price for such note.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Settlement Upon Conversion</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Generally</w:t>
      </w:r>
    </w:p>
    <w:p>
      <w:pPr>
        <w:spacing w:after="0" w:line="103" w:lineRule="exact"/>
        <w:rPr>
          <w:sz w:val="20"/>
          <w:szCs w:val="20"/>
          <w:color w:val="auto"/>
        </w:rPr>
      </w:pPr>
    </w:p>
    <w:p>
      <w:pPr>
        <w:ind w:left="360" w:right="479"/>
        <w:spacing w:after="0" w:line="234" w:lineRule="auto"/>
        <w:rPr>
          <w:sz w:val="20"/>
          <w:szCs w:val="20"/>
          <w:color w:val="auto"/>
        </w:rPr>
      </w:pPr>
      <w:r>
        <w:rPr>
          <w:rFonts w:ascii="Arial" w:cs="Arial" w:eastAsia="Arial" w:hAnsi="Arial"/>
          <w:sz w:val="14"/>
          <w:szCs w:val="14"/>
          <w:color w:val="auto"/>
        </w:rPr>
        <w:t>Upon conversion, we may choose to pay or deliver, as applicable, either cash (“cash settlement”), shares of our common stock (“physical settlement”) or a combination of cash and shares of our common stock (“combination settlement”), as described below. We refer to each of these settlement methods as a “settlement method.” If cash settlement or combination settlement applies to a conversion, then the consideration due will be determined based on the conversion rate, the “daily VWAPs” per share of our common stock over an “observation period” consisting of 30 consecutive “VWAP trading days” and, in the case of combination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S-30</w:t>
      </w:r>
    </w:p>
    <w:p>
      <w:pPr>
        <w:sectPr>
          <w:pgSz w:w="11900" w:h="16838" w:orient="portrait"/>
          <w:cols w:equalWidth="0" w:num="1">
            <w:col w:w="9019"/>
          </w:cols>
          <w:pgMar w:left="1440" w:top="239" w:right="1440" w:bottom="1440" w:gutter="0" w:footer="0" w:header="0"/>
        </w:sectPr>
      </w:pPr>
    </w:p>
    <w:bookmarkStart w:id="33" w:name="page34"/>
    <w:bookmarkEnd w:id="33"/>
    <w:p>
      <w:pPr>
        <w:ind w:left="360" w:right="103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settlement, the “specified dollar amount” (as those terms are defined below under the caption “—Definitions”) that applies to the conversion.</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Settlement Method</w:t>
      </w:r>
    </w:p>
    <w:p>
      <w:pPr>
        <w:spacing w:after="0" w:line="103" w:lineRule="exact"/>
        <w:rPr>
          <w:sz w:val="20"/>
          <w:szCs w:val="20"/>
          <w:color w:val="auto"/>
        </w:rPr>
      </w:pPr>
    </w:p>
    <w:p>
      <w:pPr>
        <w:ind w:left="360" w:right="379"/>
        <w:spacing w:after="0" w:line="269" w:lineRule="auto"/>
        <w:rPr>
          <w:sz w:val="20"/>
          <w:szCs w:val="20"/>
          <w:color w:val="auto"/>
        </w:rPr>
      </w:pPr>
      <w:r>
        <w:rPr>
          <w:rFonts w:ascii="Arial" w:cs="Arial" w:eastAsia="Arial" w:hAnsi="Arial"/>
          <w:sz w:val="12"/>
          <w:szCs w:val="12"/>
          <w:color w:val="auto"/>
        </w:rPr>
        <w:t>We will have the right, as described below, to elect the settlement method applicable to the conversion of any notes. Except as described below, we must use the same settlement method for all conversions with the same conversion date, but we will not be obligated to use the same settlement method for conversions with different conversion dates. All conversions with a conversion date that occurs on or after February 1, 2033 will be settled using the same settlement method, and we will send notice of such settlement method to noteholders no later than the open of business on February 1, 2033. If we elect a settlement method for a conversion with a conversion date that occurs before February 1, 2033, then we will send notice of such settlement method to the converting noteholder no later than the close of business on the business day immediately after the conversion date. However, as described above under the captions “—Optional Redemption” and “—When the Notes May Be Converted—Conversion Upon Specified Corporate Events—Certain Distributions,” we may in certain circumstances elect that physical settlement apply to all conversions with a conversion date occurring during the periods referred to under those captions. Notwithstanding anything to the contrary described above, if we call any notes for redemption, then (i) we will specify in the related redemption notice (and, in the case of a redemption of less than all outstanding notes, in a notice simultaneously sent to all holders of notes not called for redemption) the settlement method that will apply to all conversions with a conversion date that occurs on or after the date we send such redemption notice and on or before the second business day before the related redemption date; and (ii) if the related redemption date is on or after February 1, 2033, then such settlement method must be the same settlement method that applies to all conversions with a conversion date that occurs on or after February 1, 2033.</w:t>
      </w:r>
    </w:p>
    <w:p>
      <w:pPr>
        <w:spacing w:after="0" w:line="230" w:lineRule="exact"/>
        <w:rPr>
          <w:sz w:val="20"/>
          <w:szCs w:val="20"/>
          <w:color w:val="auto"/>
        </w:rPr>
      </w:pPr>
    </w:p>
    <w:p>
      <w:pPr>
        <w:ind w:left="360" w:right="419"/>
        <w:spacing w:after="0" w:line="234" w:lineRule="auto"/>
        <w:rPr>
          <w:sz w:val="20"/>
          <w:szCs w:val="20"/>
          <w:color w:val="auto"/>
        </w:rPr>
      </w:pPr>
      <w:r>
        <w:rPr>
          <w:rFonts w:ascii="Arial" w:cs="Arial" w:eastAsia="Arial" w:hAnsi="Arial"/>
          <w:sz w:val="14"/>
          <w:szCs w:val="14"/>
          <w:color w:val="auto"/>
        </w:rPr>
        <w:t>If we do not timely elect a settlement method with respect to any conversion, then we will be deemed to have elected the “default settlement method” (as defined below). If we timely elect combination settlement with respect to a conversion but do not timely notify the converting noteholder of the applicable specified dollar amount, then the specified dollar amount for such conversion will be deemed to be $1,000 per $1,000 principal amount of notes. For the avoidance of doubt, our failure to timely elect a settlement method or specify the applicable specified dollar amount will not constitute a default or event of default under the indenture.</w:t>
      </w:r>
    </w:p>
    <w:p>
      <w:pPr>
        <w:spacing w:after="0" w:line="78" w:lineRule="exact"/>
        <w:rPr>
          <w:sz w:val="20"/>
          <w:szCs w:val="20"/>
          <w:color w:val="auto"/>
        </w:rPr>
      </w:pPr>
    </w:p>
    <w:p>
      <w:pPr>
        <w:ind w:left="360" w:right="419"/>
        <w:spacing w:after="0" w:line="229" w:lineRule="auto"/>
        <w:rPr>
          <w:sz w:val="20"/>
          <w:szCs w:val="20"/>
          <w:color w:val="auto"/>
        </w:rPr>
      </w:pPr>
      <w:r>
        <w:rPr>
          <w:rFonts w:ascii="Arial" w:cs="Arial" w:eastAsia="Arial" w:hAnsi="Arial"/>
          <w:sz w:val="14"/>
          <w:szCs w:val="14"/>
          <w:color w:val="auto"/>
        </w:rPr>
        <w:t>The “default settlement method” will initially be combination settlement with a specified dollar amount of $1,000 per $1,000 principal amount of notes. However, we may, from time to time, change the default settlement method, to any settlement method that we are then permitted to elect, by sending notice of the new default settlement method to the noteholders. In addition, we may, by notice to the noteholders, elect to irrevocably fix the settlement method or to irrevocably eliminate any one or more (but not all) settlement methods (including eliminating combination settlement with a particular specified dollar amount or range of specified dollar amounts). If we make such an irrevocable election, then such election will apply to all note conversions with a conversion date that is on or after the date we send such notice and we will, if needed, simultaneously change the default settlement method to a settlement method that is consistent with such irrevocable election. However, in all cases, no such irrevocable election will affect any settlement method theretofore elected (or deemed to be elected) with respect to any note pursuant to the indenture. For the avoidance of doubt, such an irrevocable election, if made, will be effective without the need to amend the indenture or the notes, including pursuant to the provisions described in the seventh bullet point of the third paragraph under the caption “—Modification and Amendment” below. However, we may nonetheless choose to execute such an amendment at our option.</w:t>
      </w:r>
    </w:p>
    <w:p>
      <w:pPr>
        <w:spacing w:after="0" w:line="95" w:lineRule="exact"/>
        <w:rPr>
          <w:sz w:val="20"/>
          <w:szCs w:val="20"/>
          <w:color w:val="auto"/>
        </w:rPr>
      </w:pPr>
    </w:p>
    <w:p>
      <w:pPr>
        <w:ind w:left="360" w:right="499"/>
        <w:spacing w:after="0" w:line="249" w:lineRule="auto"/>
        <w:rPr>
          <w:sz w:val="20"/>
          <w:szCs w:val="20"/>
          <w:color w:val="auto"/>
        </w:rPr>
      </w:pPr>
      <w:r>
        <w:rPr>
          <w:rFonts w:ascii="Arial" w:cs="Arial" w:eastAsia="Arial" w:hAnsi="Arial"/>
          <w:sz w:val="14"/>
          <w:szCs w:val="14"/>
          <w:color w:val="auto"/>
        </w:rPr>
        <w:t>If we change the default settlement method or irrevocably fix the settlement method pursuant to the provisions described above, then we will, substantially concurrently, either post the default settlement method or fixed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S-31</w:t>
      </w:r>
    </w:p>
    <w:p>
      <w:pPr>
        <w:sectPr>
          <w:pgSz w:w="11900" w:h="16838" w:orient="portrait"/>
          <w:cols w:equalWidth="0" w:num="1">
            <w:col w:w="9019"/>
          </w:cols>
          <w:pgMar w:left="1440" w:top="238" w:right="1440" w:bottom="1440" w:gutter="0" w:footer="0" w:header="0"/>
        </w:sectPr>
      </w:pPr>
    </w:p>
    <w:bookmarkStart w:id="34" w:name="page35"/>
    <w:bookmarkEnd w:id="34"/>
    <w:p>
      <w:pPr>
        <w:ind w:left="360" w:right="39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settlement method, as applicable, on our website or disclose the same in a current report on Form 8-K (or any successor form) that is filed with, or furnished to, the SEC.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Consideration Due Upon Conversion</w:t>
      </w:r>
    </w:p>
    <w:p>
      <w:pPr>
        <w:spacing w:after="0" w:line="103" w:lineRule="exact"/>
        <w:rPr>
          <w:sz w:val="20"/>
          <w:szCs w:val="20"/>
          <w:color w:val="auto"/>
        </w:rPr>
      </w:pPr>
    </w:p>
    <w:p>
      <w:pPr>
        <w:ind w:left="360" w:right="439"/>
        <w:spacing w:after="0" w:line="249" w:lineRule="auto"/>
        <w:rPr>
          <w:sz w:val="20"/>
          <w:szCs w:val="20"/>
          <w:color w:val="auto"/>
        </w:rPr>
      </w:pPr>
      <w:r>
        <w:rPr>
          <w:rFonts w:ascii="Arial" w:cs="Arial" w:eastAsia="Arial" w:hAnsi="Arial"/>
          <w:sz w:val="14"/>
          <w:szCs w:val="14"/>
          <w:color w:val="auto"/>
        </w:rPr>
        <w:t>Subject to the other provisions described in this section, the consideration due upon conversion of each $1,000 principal amount of a note will be as follows:</w:t>
      </w:r>
    </w:p>
    <w:p>
      <w:pPr>
        <w:spacing w:after="0" w:line="82" w:lineRule="exact"/>
        <w:rPr>
          <w:sz w:val="20"/>
          <w:szCs w:val="20"/>
          <w:color w:val="auto"/>
        </w:rPr>
      </w:pPr>
    </w:p>
    <w:p>
      <w:pPr>
        <w:ind w:left="520" w:right="419" w:hanging="157"/>
        <w:spacing w:after="0" w:line="249"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physical settlement applies, a number of shares of our common stock equal to the conversion rate in effect on the conversion date for such conversion;</w:t>
      </w:r>
    </w:p>
    <w:p>
      <w:pPr>
        <w:spacing w:after="0" w:line="82" w:lineRule="exact"/>
        <w:rPr>
          <w:rFonts w:ascii="Arial" w:cs="Arial" w:eastAsia="Arial" w:hAnsi="Arial"/>
          <w:sz w:val="14"/>
          <w:szCs w:val="14"/>
          <w:color w:val="auto"/>
        </w:rPr>
      </w:pPr>
    </w:p>
    <w:p>
      <w:pPr>
        <w:ind w:left="520" w:right="459" w:hanging="157"/>
        <w:spacing w:after="0" w:line="249"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cash settlement applies, cash in an amount equal to the sum of the “daily conversion values” (as defined below under the caption “— Definitions”) for each VWAP trading day in the observation period for such conversion; or</w:t>
      </w:r>
    </w:p>
    <w:p>
      <w:pPr>
        <w:spacing w:after="0" w:line="82" w:lineRule="exact"/>
        <w:rPr>
          <w:rFonts w:ascii="Arial" w:cs="Arial" w:eastAsia="Arial" w:hAnsi="Arial"/>
          <w:sz w:val="14"/>
          <w:szCs w:val="14"/>
          <w:color w:val="auto"/>
        </w:rPr>
      </w:pPr>
    </w:p>
    <w:p>
      <w:pPr>
        <w:ind w:left="520" w:right="379" w:hanging="157"/>
        <w:spacing w:after="0" w:line="23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combination settlement applies, (i) a number of shares of our common stock equal to the sum of the “daily share amounts” (as defined below under the caption “—Definitions”) for each VWAP trading day in the observation period for such conversion; and (ii) an amount of cash equal to the sum of the “daily cash amounts” (as defined below under the caption “—Definitions”) for each VWAP trading day in such observation period.</w:t>
      </w:r>
    </w:p>
    <w:p>
      <w:pPr>
        <w:spacing w:after="0" w:line="90" w:lineRule="exact"/>
        <w:rPr>
          <w:sz w:val="20"/>
          <w:szCs w:val="20"/>
          <w:color w:val="auto"/>
        </w:rPr>
      </w:pPr>
    </w:p>
    <w:p>
      <w:pPr>
        <w:jc w:val="both"/>
        <w:ind w:left="360" w:right="479"/>
        <w:spacing w:after="0" w:line="235" w:lineRule="auto"/>
        <w:rPr>
          <w:sz w:val="20"/>
          <w:szCs w:val="20"/>
          <w:color w:val="auto"/>
        </w:rPr>
      </w:pPr>
      <w:r>
        <w:rPr>
          <w:rFonts w:ascii="Arial" w:cs="Arial" w:eastAsia="Arial" w:hAnsi="Arial"/>
          <w:sz w:val="14"/>
          <w:szCs w:val="14"/>
          <w:color w:val="auto"/>
        </w:rPr>
        <w:t>However, in lieu of delivering any fractional share of our common stock otherwise due upon conversion, we will pay cash based on (i) the daily VWAP on the applicable conversion date (or, if such conversion date is not a VWAP trading day, the immediately preceding VWAP trading day), in the case of physical settlement; or (ii) the daily VWAP on the last VWAP trading day of the applicable observation period, in the case of combination settlement.</w:t>
      </w:r>
    </w:p>
    <w:p>
      <w:pPr>
        <w:spacing w:after="0" w:line="80" w:lineRule="exact"/>
        <w:rPr>
          <w:sz w:val="20"/>
          <w:szCs w:val="20"/>
          <w:color w:val="auto"/>
        </w:rPr>
      </w:pPr>
    </w:p>
    <w:p>
      <w:pPr>
        <w:jc w:val="both"/>
        <w:ind w:left="360" w:right="599"/>
        <w:spacing w:after="0" w:line="238" w:lineRule="auto"/>
        <w:rPr>
          <w:sz w:val="20"/>
          <w:szCs w:val="20"/>
          <w:color w:val="auto"/>
        </w:rPr>
      </w:pPr>
      <w:r>
        <w:rPr>
          <w:rFonts w:ascii="Arial" w:cs="Arial" w:eastAsia="Arial" w:hAnsi="Arial"/>
          <w:sz w:val="14"/>
          <w:szCs w:val="14"/>
          <w:color w:val="auto"/>
        </w:rPr>
        <w:t>If a noteholder converts more than one note on a conversion date, then the consideration due upon such conversion will (in the case of any global note, to the extent permitted by, and practicable under, the depositary procedures) be computed based on the total principal amount of notes converted on such conversion date by that noteholder.</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Delivery of the Conversion Consideration</w:t>
      </w:r>
    </w:p>
    <w:p>
      <w:pPr>
        <w:spacing w:after="0" w:line="93" w:lineRule="exact"/>
        <w:rPr>
          <w:sz w:val="20"/>
          <w:szCs w:val="20"/>
          <w:color w:val="auto"/>
        </w:rPr>
      </w:pPr>
    </w:p>
    <w:p>
      <w:pPr>
        <w:ind w:left="360" w:right="399"/>
        <w:spacing w:after="0" w:line="229" w:lineRule="auto"/>
        <w:rPr>
          <w:sz w:val="20"/>
          <w:szCs w:val="20"/>
          <w:color w:val="auto"/>
        </w:rPr>
      </w:pPr>
      <w:r>
        <w:rPr>
          <w:rFonts w:ascii="Arial" w:cs="Arial" w:eastAsia="Arial" w:hAnsi="Arial"/>
          <w:sz w:val="14"/>
          <w:szCs w:val="14"/>
          <w:color w:val="auto"/>
        </w:rPr>
        <w:t>Except as described below under the captions “—Conversion Rate Adjustments” and “—Effect of Common Stock Change Event,” we will pay or deliver, as applicable, the consideration due upon conversion as follows: (i) if cash settlement or combination settlement applies, on or before the second business day immediately after the last VWAP trading day of the observation period for such conversion; and (ii) if physical settlement applies, on or before the second business day immediately after the conversion date for such conversion. However, if physical settlement applies to the conversion of any note with a conversion date that is after the regular record date immediately before the maturity date, or of any note that has been called for redemption with a conversion date that occurs during the 15 calendar days preceding the related redemption date, then, solely for purposes of such conversion, (i) we will pay or deliver, as applicable, the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15 calendar days preceding such redemption date; and (ii) the conversion date will instead be deemed to be the second business day immediately before the date referred to in clause (i).</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S-32</w:t>
      </w:r>
    </w:p>
    <w:p>
      <w:pPr>
        <w:sectPr>
          <w:pgSz w:w="11900" w:h="16838" w:orient="portrait"/>
          <w:cols w:equalWidth="0" w:num="1">
            <w:col w:w="9019"/>
          </w:cols>
          <w:pgMar w:left="1440" w:top="238" w:right="1440" w:bottom="1440" w:gutter="0" w:footer="0" w:header="0"/>
        </w:sectPr>
      </w:pPr>
    </w:p>
    <w:bookmarkStart w:id="35" w:name="page36"/>
    <w:bookmarkEnd w:id="35"/>
    <w:p>
      <w:pPr>
        <w:ind w:left="3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When Converting Noteholders Become Stockholders of Record</w:t>
      </w:r>
    </w:p>
    <w:p>
      <w:pPr>
        <w:spacing w:after="0" w:line="103" w:lineRule="exact"/>
        <w:rPr>
          <w:sz w:val="20"/>
          <w:szCs w:val="20"/>
          <w:color w:val="auto"/>
        </w:rPr>
      </w:pPr>
    </w:p>
    <w:p>
      <w:pPr>
        <w:ind w:left="360" w:right="439"/>
        <w:spacing w:after="0" w:line="238" w:lineRule="auto"/>
        <w:rPr>
          <w:sz w:val="20"/>
          <w:szCs w:val="20"/>
          <w:color w:val="auto"/>
        </w:rPr>
      </w:pPr>
      <w:r>
        <w:rPr>
          <w:rFonts w:ascii="Arial" w:cs="Arial" w:eastAsia="Arial" w:hAnsi="Arial"/>
          <w:sz w:val="14"/>
          <w:szCs w:val="14"/>
          <w:color w:val="auto"/>
        </w:rPr>
        <w:t>The person in whose name any share of our common stock is issuable upon conversion of any note will be deemed to become the holder of record of that share as of the close of business on (i) the conversion date for such conversion, in the case of physical settlement; or (ii) the last VWAP trading day of the observation period for such conversion, in the case of combination settlement.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Conversion Rate Adjustments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Generally</w:t>
      </w:r>
    </w:p>
    <w:p>
      <w:pPr>
        <w:spacing w:after="0" w:line="93"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The conversion rate will be adjusted for the events described below. However, we are not required to adjust the conversion rate for these events (other than a stock split or combination or a tender or exchange offer) if each noteholder participates, at the same time and on the same terms as holders of our common stock, and solely by virtue of being a holder of notes, in such transaction or event without having to convert such noteholder’s notes and as if such noteholder held a number of shares of our common stock equal to the product of (i) the conversion rate in effect on the related record date; and (ii) the aggregate principal amount (expressed in thousands) of notes held by such noteholder on such date.</w:t>
      </w:r>
    </w:p>
    <w:p>
      <w:pPr>
        <w:spacing w:after="0" w:line="91" w:lineRule="exact"/>
        <w:rPr>
          <w:sz w:val="20"/>
          <w:szCs w:val="20"/>
          <w:color w:val="auto"/>
        </w:rPr>
      </w:pPr>
    </w:p>
    <w:p>
      <w:pPr>
        <w:ind w:left="680" w:right="539" w:hanging="317"/>
        <w:spacing w:after="0" w:line="234"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Stock Dividends, Splits and Combinations</w:t>
      </w:r>
      <w:r>
        <w:rPr>
          <w:rFonts w:ascii="Arial" w:cs="Arial" w:eastAsia="Arial" w:hAnsi="Arial"/>
          <w:sz w:val="14"/>
          <w:szCs w:val="14"/>
          <w:color w:val="auto"/>
        </w:rPr>
        <w:t>.  If we issue solely shares of our common stock as a dividend or distribution on all or</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all shares of our common stock, or if we effect a stock split or a stock combination of our common stock (in each case excluding an issuance solely pursuant to a common stock change event, as to which the provisions described below under the caption “—Effect of Common Stock Change Event”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64135</wp:posOffset>
            </wp:positionV>
            <wp:extent cx="631825" cy="296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825"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2"/>
          <w:szCs w:val="12"/>
          <w:color w:val="auto"/>
        </w:rPr>
        <w:t>where:</w:t>
      </w:r>
    </w:p>
    <w:p>
      <w:pPr>
        <w:spacing w:after="0" w:line="72" w:lineRule="exact"/>
        <w:rPr>
          <w:sz w:val="20"/>
          <w:szCs w:val="20"/>
          <w:color w:val="auto"/>
        </w:rPr>
      </w:pPr>
    </w:p>
    <w:p>
      <w:pPr>
        <w:ind w:left="1360" w:right="499" w:hanging="740"/>
        <w:spacing w:after="0" w:line="238" w:lineRule="auto"/>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conversion rate in effect immediately before the open of business on the ex-dividend date for such dividend or distribution, or immediately before the open of business on the effective date of such stock split or stock combination, as applicable;</w:t>
      </w:r>
    </w:p>
    <w:p>
      <w:pPr>
        <w:spacing w:after="0" w:line="59" w:lineRule="exact"/>
        <w:rPr>
          <w:sz w:val="20"/>
          <w:szCs w:val="20"/>
          <w:color w:val="auto"/>
        </w:rPr>
      </w:pPr>
    </w:p>
    <w:p>
      <w:pPr>
        <w:ind w:left="1360" w:right="71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r>
        <w:rPr>
          <w:sz w:val="20"/>
          <w:szCs w:val="20"/>
          <w:color w:val="auto"/>
        </w:rPr>
        <w:tab/>
      </w:r>
      <w:r>
        <w:rPr>
          <w:rFonts w:ascii="Arial" w:cs="Arial" w:eastAsia="Arial" w:hAnsi="Arial"/>
          <w:sz w:val="14"/>
          <w:szCs w:val="14"/>
          <w:color w:val="auto"/>
        </w:rPr>
        <w:t>= the conversion rate in effect immediately after the open of business on such ex-dividend date or effective date, as applicable;</w:t>
      </w:r>
    </w:p>
    <w:p>
      <w:pPr>
        <w:spacing w:after="0" w:line="52"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4"/>
          <w:szCs w:val="14"/>
          <w:i w:val="1"/>
          <w:iCs w:val="1"/>
          <w:color w:val="auto"/>
        </w:rPr>
        <w:t>OS</w:t>
      </w:r>
      <w:r>
        <w:rPr>
          <w:rFonts w:ascii="Arial" w:cs="Arial" w:eastAsia="Arial" w:hAnsi="Arial"/>
          <w:sz w:val="10"/>
          <w:szCs w:val="10"/>
          <w:i w:val="1"/>
          <w:iCs w:val="1"/>
          <w:color w:val="auto"/>
        </w:rPr>
        <w:t>0</w:t>
      </w:r>
      <w:r>
        <w:rPr>
          <w:sz w:val="20"/>
          <w:szCs w:val="20"/>
          <w:color w:val="auto"/>
        </w:rPr>
        <w:tab/>
      </w:r>
      <w:r>
        <w:rPr>
          <w:rFonts w:ascii="Arial" w:cs="Arial" w:eastAsia="Arial" w:hAnsi="Arial"/>
          <w:sz w:val="12"/>
          <w:szCs w:val="12"/>
          <w:color w:val="auto"/>
        </w:rPr>
        <w:t>= the number of shares of our common stock outstanding immediately before the open of business on such ex-dividend</w:t>
      </w:r>
    </w:p>
    <w:p>
      <w:pPr>
        <w:spacing w:after="0" w:line="3" w:lineRule="exact"/>
        <w:rPr>
          <w:sz w:val="20"/>
          <w:szCs w:val="20"/>
          <w:color w:val="auto"/>
        </w:rPr>
      </w:pPr>
    </w:p>
    <w:p>
      <w:pPr>
        <w:ind w:left="1540" w:right="1179"/>
        <w:spacing w:after="0" w:line="236" w:lineRule="auto"/>
        <w:rPr>
          <w:sz w:val="20"/>
          <w:szCs w:val="20"/>
          <w:color w:val="auto"/>
        </w:rPr>
      </w:pPr>
      <w:r>
        <w:rPr>
          <w:rFonts w:ascii="Arial" w:cs="Arial" w:eastAsia="Arial" w:hAnsi="Arial"/>
          <w:sz w:val="14"/>
          <w:szCs w:val="14"/>
          <w:color w:val="auto"/>
        </w:rPr>
        <w:t>date or effective date, as applicable, without giving effect to such dividend, distribution, stock split or stock combination; and</w:t>
      </w:r>
    </w:p>
    <w:p>
      <w:pPr>
        <w:spacing w:after="0" w:line="57" w:lineRule="exact"/>
        <w:rPr>
          <w:sz w:val="20"/>
          <w:szCs w:val="20"/>
          <w:color w:val="auto"/>
        </w:rPr>
      </w:pPr>
    </w:p>
    <w:p>
      <w:pPr>
        <w:ind w:left="1360" w:right="57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OS</w:t>
      </w:r>
      <w:r>
        <w:rPr>
          <w:rFonts w:ascii="Arial" w:cs="Arial" w:eastAsia="Arial" w:hAnsi="Arial"/>
          <w:sz w:val="10"/>
          <w:szCs w:val="10"/>
          <w:i w:val="1"/>
          <w:iCs w:val="1"/>
          <w:color w:val="auto"/>
        </w:rPr>
        <w:t>1</w:t>
      </w:r>
      <w:r>
        <w:rPr>
          <w:sz w:val="20"/>
          <w:szCs w:val="20"/>
          <w:color w:val="auto"/>
        </w:rPr>
        <w:tab/>
      </w:r>
      <w:r>
        <w:rPr>
          <w:rFonts w:ascii="Arial" w:cs="Arial" w:eastAsia="Arial" w:hAnsi="Arial"/>
          <w:sz w:val="14"/>
          <w:szCs w:val="14"/>
          <w:color w:val="auto"/>
        </w:rPr>
        <w:t>= the number of shares of our common stock outstanding immediately after giving effect to such dividend, distribution, stock split or stock combination.</w:t>
      </w:r>
    </w:p>
    <w:p>
      <w:pPr>
        <w:spacing w:after="0" w:line="82" w:lineRule="exact"/>
        <w:rPr>
          <w:sz w:val="20"/>
          <w:szCs w:val="20"/>
          <w:color w:val="auto"/>
        </w:rPr>
      </w:pPr>
    </w:p>
    <w:p>
      <w:pPr>
        <w:jc w:val="both"/>
        <w:ind w:left="700" w:right="419"/>
        <w:spacing w:after="0" w:line="235" w:lineRule="auto"/>
        <w:rPr>
          <w:sz w:val="20"/>
          <w:szCs w:val="20"/>
          <w:color w:val="auto"/>
        </w:rPr>
      </w:pPr>
      <w:r>
        <w:rPr>
          <w:rFonts w:ascii="Arial" w:cs="Arial" w:eastAsia="Arial" w:hAnsi="Arial"/>
          <w:sz w:val="14"/>
          <w:szCs w:val="14"/>
          <w:color w:val="auto"/>
        </w:rPr>
        <w:t>If any dividend, distribution, stock split or stock combination of the type described in this paragraph (1) is declared or announced, but not so paid or made, then the conversion rate will be readjusted, effective as of the date our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90" w:lineRule="exact"/>
        <w:rPr>
          <w:sz w:val="20"/>
          <w:szCs w:val="20"/>
          <w:color w:val="auto"/>
        </w:rPr>
      </w:pPr>
    </w:p>
    <w:p>
      <w:pPr>
        <w:ind w:left="680" w:right="439" w:hanging="317"/>
        <w:spacing w:after="0" w:line="238"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Rights, Options and Warrants</w:t>
      </w:r>
      <w:r>
        <w:rPr>
          <w:rFonts w:ascii="Arial" w:cs="Arial" w:eastAsia="Arial" w:hAnsi="Arial"/>
          <w:sz w:val="14"/>
          <w:szCs w:val="14"/>
          <w:color w:val="auto"/>
        </w:rPr>
        <w:t>.  If we distribute, to all or substantially all holders of our common stock, rights, options or warrants</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rights issued or otherwise distributed pursuant to a stockholder rights plan, as to which the provisions described below in paragraph (3)(a) and under the caption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S-33</w:t>
      </w:r>
    </w:p>
    <w:p>
      <w:pPr>
        <w:sectPr>
          <w:pgSz w:w="11900" w:h="16838" w:orient="portrait"/>
          <w:cols w:equalWidth="0" w:num="1">
            <w:col w:w="9019"/>
          </w:cols>
          <w:pgMar w:left="1440" w:top="238" w:right="1440" w:bottom="1440" w:gutter="0" w:footer="0" w:header="0"/>
        </w:sectPr>
      </w:pPr>
    </w:p>
    <w:bookmarkStart w:id="36" w:name="page37"/>
    <w:bookmarkEnd w:id="36"/>
    <w:p>
      <w:pPr>
        <w:ind w:left="680" w:right="41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“—Stockholder Rights Plans” will apply) entitling such holders, for a period of not more than 60 calendar days after the date such distribution is first publicly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64135</wp:posOffset>
            </wp:positionV>
            <wp:extent cx="786130" cy="257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6130" cy="2578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300" w:type="dxa"/>
            <w:vAlign w:val="bottom"/>
          </w:tcPr>
          <w:p>
            <w:pPr>
              <w:spacing w:after="0"/>
              <w:rPr>
                <w:sz w:val="20"/>
                <w:szCs w:val="20"/>
                <w:color w:val="auto"/>
              </w:rPr>
            </w:pPr>
            <w:r>
              <w:rPr>
                <w:rFonts w:ascii="Arial" w:cs="Arial" w:eastAsia="Arial" w:hAnsi="Arial"/>
                <w:sz w:val="14"/>
                <w:szCs w:val="14"/>
                <w:color w:val="auto"/>
              </w:rPr>
              <w:t xml:space="preserve">    </w:t>
            </w:r>
          </w:p>
        </w:tc>
        <w:tc>
          <w:tcPr>
            <w:tcW w:w="600" w:type="dxa"/>
            <w:vAlign w:val="bottom"/>
          </w:tcPr>
          <w:p>
            <w:pPr>
              <w:ind w:left="100"/>
              <w:spacing w:after="0"/>
              <w:rPr>
                <w:sz w:val="20"/>
                <w:szCs w:val="20"/>
                <w:color w:val="auto"/>
              </w:rPr>
            </w:pPr>
            <w:r>
              <w:rPr>
                <w:rFonts w:ascii="Arial" w:cs="Arial" w:eastAsia="Arial" w:hAnsi="Arial"/>
                <w:sz w:val="14"/>
                <w:szCs w:val="14"/>
                <w:color w:val="auto"/>
              </w:rPr>
              <w:t>where:</w:t>
            </w:r>
          </w:p>
        </w:tc>
        <w:tc>
          <w:tcPr>
            <w:tcW w:w="220" w:type="dxa"/>
            <w:vAlign w:val="bottom"/>
          </w:tcPr>
          <w:p>
            <w:pPr>
              <w:spacing w:after="0"/>
              <w:rPr>
                <w:sz w:val="15"/>
                <w:szCs w:val="15"/>
                <w:color w:val="auto"/>
              </w:rPr>
            </w:pPr>
          </w:p>
        </w:tc>
        <w:tc>
          <w:tcPr>
            <w:tcW w:w="7060" w:type="dxa"/>
            <w:vAlign w:val="bottom"/>
          </w:tcPr>
          <w:p>
            <w:pPr>
              <w:spacing w:after="0"/>
              <w:rPr>
                <w:sz w:val="15"/>
                <w:szCs w:val="15"/>
                <w:color w:val="auto"/>
              </w:rPr>
            </w:pPr>
          </w:p>
        </w:tc>
      </w:tr>
      <w:tr>
        <w:trPr>
          <w:trHeight w:val="234"/>
        </w:trPr>
        <w:tc>
          <w:tcPr>
            <w:tcW w:w="30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p>
        </w:tc>
        <w:tc>
          <w:tcPr>
            <w:tcW w:w="7280" w:type="dxa"/>
            <w:vAlign w:val="bottom"/>
            <w:gridSpan w:val="2"/>
          </w:tcPr>
          <w:p>
            <w:pPr>
              <w:ind w:left="80"/>
              <w:spacing w:after="0"/>
              <w:rPr>
                <w:sz w:val="20"/>
                <w:szCs w:val="20"/>
                <w:color w:val="auto"/>
              </w:rPr>
            </w:pPr>
            <w:r>
              <w:rPr>
                <w:rFonts w:ascii="Arial" w:cs="Arial" w:eastAsia="Arial" w:hAnsi="Arial"/>
                <w:sz w:val="14"/>
                <w:szCs w:val="14"/>
                <w:color w:val="auto"/>
                <w:w w:val="99"/>
              </w:rPr>
              <w:t>=  the conversion rate in effect immediately before the open of business on the ex-dividend date for such distribution;</w:t>
            </w:r>
          </w:p>
        </w:tc>
      </w:tr>
      <w:tr>
        <w:trPr>
          <w:trHeight w:val="233"/>
        </w:trPr>
        <w:tc>
          <w:tcPr>
            <w:tcW w:w="30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7060" w:type="dxa"/>
            <w:vAlign w:val="bottom"/>
          </w:tcPr>
          <w:p>
            <w:pPr>
              <w:ind w:left="60"/>
              <w:spacing w:after="0"/>
              <w:rPr>
                <w:sz w:val="20"/>
                <w:szCs w:val="20"/>
                <w:color w:val="auto"/>
              </w:rPr>
            </w:pPr>
            <w:r>
              <w:rPr>
                <w:rFonts w:ascii="Arial" w:cs="Arial" w:eastAsia="Arial" w:hAnsi="Arial"/>
                <w:sz w:val="14"/>
                <w:szCs w:val="14"/>
                <w:color w:val="auto"/>
              </w:rPr>
              <w:t>the conversion rate in effect immediately after the open of business on such ex-dividend date;</w:t>
            </w:r>
          </w:p>
        </w:tc>
      </w:tr>
      <w:tr>
        <w:trPr>
          <w:trHeight w:val="209"/>
        </w:trPr>
        <w:tc>
          <w:tcPr>
            <w:tcW w:w="30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4"/>
                <w:szCs w:val="14"/>
                <w:i w:val="1"/>
                <w:iCs w:val="1"/>
                <w:color w:val="auto"/>
              </w:rPr>
              <w:t>OS</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7060" w:type="dxa"/>
            <w:vAlign w:val="bottom"/>
          </w:tcPr>
          <w:p>
            <w:pPr>
              <w:ind w:left="60"/>
              <w:spacing w:after="0"/>
              <w:rPr>
                <w:sz w:val="20"/>
                <w:szCs w:val="20"/>
                <w:color w:val="auto"/>
              </w:rPr>
            </w:pPr>
            <w:r>
              <w:rPr>
                <w:rFonts w:ascii="Arial" w:cs="Arial" w:eastAsia="Arial" w:hAnsi="Arial"/>
                <w:sz w:val="14"/>
                <w:szCs w:val="14"/>
                <w:color w:val="auto"/>
                <w:w w:val="96"/>
              </w:rPr>
              <w:t>the number of shares of our common stock outstanding immediately before the open of business on such ex-dividend</w:t>
            </w:r>
          </w:p>
        </w:tc>
      </w:tr>
      <w:tr>
        <w:trPr>
          <w:trHeight w:val="176"/>
        </w:trPr>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60" w:type="dxa"/>
            <w:vAlign w:val="bottom"/>
          </w:tcPr>
          <w:p>
            <w:pPr>
              <w:ind w:left="60"/>
              <w:spacing w:after="0"/>
              <w:rPr>
                <w:sz w:val="20"/>
                <w:szCs w:val="20"/>
                <w:color w:val="auto"/>
              </w:rPr>
            </w:pPr>
            <w:r>
              <w:rPr>
                <w:rFonts w:ascii="Arial" w:cs="Arial" w:eastAsia="Arial" w:hAnsi="Arial"/>
                <w:sz w:val="14"/>
                <w:szCs w:val="14"/>
                <w:color w:val="auto"/>
              </w:rPr>
              <w:t>date;</w:t>
            </w:r>
          </w:p>
        </w:tc>
      </w:tr>
    </w:tbl>
    <w:p>
      <w:pPr>
        <w:spacing w:after="0" w:line="57" w:lineRule="exact"/>
        <w:rPr>
          <w:sz w:val="20"/>
          <w:szCs w:val="20"/>
          <w:color w:val="auto"/>
        </w:rPr>
      </w:pPr>
    </w:p>
    <w:p>
      <w:pPr>
        <w:ind w:left="1340" w:hanging="571"/>
        <w:spacing w:after="0"/>
        <w:tabs>
          <w:tab w:leader="none" w:pos="1340" w:val="left"/>
        </w:tabs>
        <w:numPr>
          <w:ilvl w:val="0"/>
          <w:numId w:val="20"/>
        </w:numPr>
        <w:rPr>
          <w:rFonts w:ascii="Arial" w:cs="Arial" w:eastAsia="Arial" w:hAnsi="Arial"/>
          <w:sz w:val="14"/>
          <w:szCs w:val="14"/>
          <w:i w:val="1"/>
          <w:iCs w:val="1"/>
          <w:color w:val="auto"/>
        </w:rPr>
      </w:pPr>
      <w:r>
        <w:rPr>
          <w:rFonts w:ascii="Arial" w:cs="Arial" w:eastAsia="Arial" w:hAnsi="Arial"/>
          <w:sz w:val="14"/>
          <w:szCs w:val="14"/>
          <w:color w:val="auto"/>
        </w:rPr>
        <w:t>=  the total number of shares of our common stock issuable pursuant to such rights, options or warrants; and</w:t>
      </w:r>
    </w:p>
    <w:p>
      <w:pPr>
        <w:spacing w:after="0" w:line="72" w:lineRule="exact"/>
        <w:rPr>
          <w:sz w:val="20"/>
          <w:szCs w:val="20"/>
          <w:color w:val="auto"/>
        </w:rPr>
      </w:pPr>
    </w:p>
    <w:p>
      <w:pPr>
        <w:ind w:left="1540" w:right="459" w:hanging="771"/>
        <w:spacing w:after="0" w:line="235" w:lineRule="auto"/>
        <w:tabs>
          <w:tab w:leader="none" w:pos="1347" w:val="left"/>
        </w:tabs>
        <w:numPr>
          <w:ilvl w:val="0"/>
          <w:numId w:val="21"/>
        </w:numPr>
        <w:rPr>
          <w:rFonts w:ascii="Arial" w:cs="Arial" w:eastAsia="Arial" w:hAnsi="Arial"/>
          <w:sz w:val="14"/>
          <w:szCs w:val="14"/>
          <w:i w:val="1"/>
          <w:iCs w:val="1"/>
          <w:color w:val="auto"/>
        </w:rPr>
      </w:pPr>
      <w:r>
        <w:rPr>
          <w:rFonts w:ascii="Arial" w:cs="Arial" w:eastAsia="Arial" w:hAnsi="Arial"/>
          <w:sz w:val="14"/>
          <w:szCs w:val="14"/>
          <w:color w:val="auto"/>
        </w:rPr>
        <w:t>= a number of shares of our common stock obtained by dividing (x) the aggregate price payable to exercise such rights, options or warrants by (y) the average of the last reported sale prices per share of our common stock for the 10 consecutive trading days ending on, and including, the trading day immediately before the date such distribution is announced.</w:t>
      </w:r>
    </w:p>
    <w:p>
      <w:pPr>
        <w:spacing w:after="0" w:line="90" w:lineRule="exact"/>
        <w:rPr>
          <w:sz w:val="20"/>
          <w:szCs w:val="20"/>
          <w:color w:val="auto"/>
        </w:rPr>
      </w:pPr>
    </w:p>
    <w:p>
      <w:pPr>
        <w:ind w:left="700" w:right="379"/>
        <w:spacing w:after="0" w:line="232" w:lineRule="auto"/>
        <w:rPr>
          <w:sz w:val="20"/>
          <w:szCs w:val="20"/>
          <w:color w:val="auto"/>
        </w:rPr>
      </w:pPr>
      <w:r>
        <w:rPr>
          <w:rFonts w:ascii="Arial" w:cs="Arial" w:eastAsia="Arial" w:hAnsi="Arial"/>
          <w:sz w:val="14"/>
          <w:szCs w:val="14"/>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our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our common stock actually delivered upon exercise of such rights, options or warrants.</w:t>
      </w:r>
    </w:p>
    <w:p>
      <w:pPr>
        <w:spacing w:after="0" w:line="88" w:lineRule="exact"/>
        <w:rPr>
          <w:sz w:val="20"/>
          <w:szCs w:val="20"/>
          <w:color w:val="auto"/>
        </w:rPr>
      </w:pPr>
    </w:p>
    <w:p>
      <w:pPr>
        <w:ind w:left="700" w:right="399"/>
        <w:spacing w:after="0" w:line="231" w:lineRule="auto"/>
        <w:rPr>
          <w:sz w:val="20"/>
          <w:szCs w:val="20"/>
          <w:color w:val="auto"/>
        </w:rPr>
      </w:pPr>
      <w:r>
        <w:rPr>
          <w:rFonts w:ascii="Arial" w:cs="Arial" w:eastAsia="Arial" w:hAnsi="Arial"/>
          <w:sz w:val="14"/>
          <w:szCs w:val="14"/>
          <w:color w:val="auto"/>
        </w:rPr>
        <w:t>For purposes of this paragraph (2) and the provisions described above under the caption “—When the Notes May Be Converted— Conversion Upon Specified Corporate Events—Certain Distributions,” in determining whether any rights, options or warrants entitle holders of our common stock to subscribe for or purchase shares of our common stock at a price per share that is less than the average of the last reported sale prices per share of our common stock for the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we receive for such rights, options or warrants and any amount payable on exercise thereof, with the value of such consideration, if not cash, to be determined by us in good faith and in a commercially reasonable manner.</w:t>
      </w:r>
    </w:p>
    <w:p>
      <w:pPr>
        <w:spacing w:after="0" w:line="90" w:lineRule="exact"/>
        <w:rPr>
          <w:sz w:val="20"/>
          <w:szCs w:val="20"/>
          <w:color w:val="auto"/>
        </w:rPr>
      </w:pPr>
    </w:p>
    <w:p>
      <w:pPr>
        <w:ind w:left="680" w:hanging="317"/>
        <w:spacing w:after="0"/>
        <w:tabs>
          <w:tab w:leader="none" w:pos="68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Spin-Offs and Other Distributed Property</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1100" w:right="719" w:hanging="412"/>
        <w:spacing w:after="0" w:line="249" w:lineRule="auto"/>
        <w:tabs>
          <w:tab w:leader="none" w:pos="1100" w:val="left"/>
        </w:tabs>
        <w:numPr>
          <w:ilvl w:val="1"/>
          <w:numId w:val="22"/>
        </w:numPr>
        <w:rPr>
          <w:rFonts w:ascii="Arial" w:cs="Arial" w:eastAsia="Arial" w:hAnsi="Arial"/>
          <w:sz w:val="14"/>
          <w:szCs w:val="14"/>
          <w:color w:val="auto"/>
        </w:rPr>
      </w:pPr>
      <w:r>
        <w:rPr>
          <w:rFonts w:ascii="Arial" w:cs="Arial" w:eastAsia="Arial" w:hAnsi="Arial"/>
          <w:sz w:val="14"/>
          <w:szCs w:val="14"/>
          <w:i w:val="1"/>
          <w:iCs w:val="1"/>
          <w:color w:val="auto"/>
        </w:rPr>
        <w:t>Distributions Other Than Spin-Offs</w:t>
      </w:r>
      <w:r>
        <w:rPr>
          <w:rFonts w:ascii="Arial" w:cs="Arial" w:eastAsia="Arial" w:hAnsi="Arial"/>
          <w:sz w:val="14"/>
          <w:szCs w:val="14"/>
          <w:color w:val="auto"/>
        </w:rPr>
        <w:t>.  If we distribute shares of our “capital stock” (as defined below under the caption “—</w:t>
      </w:r>
      <w:r>
        <w:rPr>
          <w:rFonts w:ascii="Arial" w:cs="Arial" w:eastAsia="Arial" w:hAnsi="Arial"/>
          <w:sz w:val="14"/>
          <w:szCs w:val="14"/>
          <w:i w:val="1"/>
          <w:iCs w:val="1"/>
          <w:color w:val="auto"/>
        </w:rPr>
        <w:t xml:space="preserve"> </w:t>
      </w:r>
      <w:r>
        <w:rPr>
          <w:rFonts w:ascii="Arial" w:cs="Arial" w:eastAsia="Arial" w:hAnsi="Arial"/>
          <w:sz w:val="14"/>
          <w:szCs w:val="14"/>
          <w:color w:val="auto"/>
        </w:rPr>
        <w:t>Definitions”), evidences of our indebtedness or other assets or property of ours,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S-34</w:t>
      </w:r>
    </w:p>
    <w:p>
      <w:pPr>
        <w:sectPr>
          <w:pgSz w:w="11900" w:h="16838" w:orient="portrait"/>
          <w:cols w:equalWidth="0" w:num="1">
            <w:col w:w="9019"/>
          </w:cols>
          <w:pgMar w:left="1440" w:top="238" w:right="1440" w:bottom="1440" w:gutter="0" w:footer="0" w:header="0"/>
        </w:sectPr>
      </w:pPr>
    </w:p>
    <w:bookmarkStart w:id="37" w:name="page38"/>
    <w:bookmarkEnd w:id="37"/>
    <w:p>
      <w:pPr>
        <w:ind w:left="1100" w:right="53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or rights, options or warrants to acquire our capital stock or other securities, to all or substantially all holders of our common stock, excluding:</w:t>
      </w:r>
    </w:p>
    <w:p>
      <w:pPr>
        <w:spacing w:after="0" w:line="82" w:lineRule="exact"/>
        <w:rPr>
          <w:sz w:val="20"/>
          <w:szCs w:val="20"/>
          <w:color w:val="auto"/>
        </w:rPr>
      </w:pPr>
    </w:p>
    <w:p>
      <w:pPr>
        <w:ind w:left="1260" w:right="499" w:hanging="156"/>
        <w:spacing w:after="0" w:line="238"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dividends, distributions, rights, options or warrants for which an adjustment to the conversion rate is required (or would be required without regard to the “deferral exception” (as defined below under the caption “—The Deferral Exception”)) pursuant to paragraph (1) or (2) above;</w:t>
      </w:r>
    </w:p>
    <w:p>
      <w:pPr>
        <w:spacing w:after="0" w:line="89" w:lineRule="exact"/>
        <w:rPr>
          <w:rFonts w:ascii="Arial" w:cs="Arial" w:eastAsia="Arial" w:hAnsi="Arial"/>
          <w:sz w:val="14"/>
          <w:szCs w:val="14"/>
          <w:color w:val="auto"/>
        </w:rPr>
      </w:pPr>
    </w:p>
    <w:p>
      <w:pPr>
        <w:ind w:left="1260" w:right="559" w:hanging="156"/>
        <w:spacing w:after="0" w:line="249"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dividends or distributions paid exclusively in cash for which an adjustment to the conversion rate is required (or would be required without regard to the deferral exception) pursuant to paragraph (4) below;</w:t>
      </w:r>
    </w:p>
    <w:p>
      <w:pPr>
        <w:spacing w:after="0" w:line="82" w:lineRule="exact"/>
        <w:rPr>
          <w:rFonts w:ascii="Arial" w:cs="Arial" w:eastAsia="Arial" w:hAnsi="Arial"/>
          <w:sz w:val="14"/>
          <w:szCs w:val="14"/>
          <w:color w:val="auto"/>
        </w:rPr>
      </w:pPr>
    </w:p>
    <w:p>
      <w:pPr>
        <w:ind w:left="1260" w:right="519" w:hanging="156"/>
        <w:spacing w:after="0" w:line="249"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rights issued or otherwise distributed pursuant to a stockholder rights plan, except to the extent provided below under the caption “—Stockholder Rights Plans”;</w:t>
      </w:r>
    </w:p>
    <w:p>
      <w:pPr>
        <w:spacing w:after="0" w:line="82" w:lineRule="exact"/>
        <w:rPr>
          <w:rFonts w:ascii="Arial" w:cs="Arial" w:eastAsia="Arial" w:hAnsi="Arial"/>
          <w:sz w:val="14"/>
          <w:szCs w:val="14"/>
          <w:color w:val="auto"/>
        </w:rPr>
      </w:pPr>
    </w:p>
    <w:p>
      <w:pPr>
        <w:ind w:left="1260" w:right="679" w:hanging="156"/>
        <w:spacing w:after="0" w:line="249"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spin-offs for which an adjustment to the conversion rate is required (or would be required without regard to the deferral exception) pursuant to paragraph (3)(b) below;</w:t>
      </w:r>
    </w:p>
    <w:p>
      <w:pPr>
        <w:spacing w:after="0" w:line="82" w:lineRule="exact"/>
        <w:rPr>
          <w:rFonts w:ascii="Arial" w:cs="Arial" w:eastAsia="Arial" w:hAnsi="Arial"/>
          <w:sz w:val="14"/>
          <w:szCs w:val="14"/>
          <w:color w:val="auto"/>
        </w:rPr>
      </w:pPr>
    </w:p>
    <w:p>
      <w:pPr>
        <w:ind w:left="1260" w:right="399" w:hanging="156"/>
        <w:spacing w:after="0" w:line="249"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distribution solely pursuant to a tender offer or exchange offer for shares of our common stock, as to which the provisions described below in paragraph (5) will apply; and</w:t>
      </w:r>
    </w:p>
    <w:p>
      <w:pPr>
        <w:spacing w:after="0" w:line="82" w:lineRule="exact"/>
        <w:rPr>
          <w:rFonts w:ascii="Arial" w:cs="Arial" w:eastAsia="Arial" w:hAnsi="Arial"/>
          <w:sz w:val="14"/>
          <w:szCs w:val="14"/>
          <w:color w:val="auto"/>
        </w:rPr>
      </w:pPr>
    </w:p>
    <w:p>
      <w:pPr>
        <w:ind w:left="1260" w:right="759" w:hanging="156"/>
        <w:spacing w:after="0" w:line="249" w:lineRule="auto"/>
        <w:tabs>
          <w:tab w:leader="none" w:pos="1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distribution solely pursuant to a common stock change event, as to which the provisions described below under the caption “—Effect of Common Stock Change Event” will apply,</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73660</wp:posOffset>
            </wp:positionV>
            <wp:extent cx="927735" cy="257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7735" cy="25781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2"/>
          <w:szCs w:val="12"/>
          <w:color w:val="auto"/>
        </w:rPr>
        <w:t>where:</w:t>
      </w:r>
    </w:p>
    <w:p>
      <w:pPr>
        <w:spacing w:after="0" w:line="72" w:lineRule="exact"/>
        <w:rPr>
          <w:sz w:val="20"/>
          <w:szCs w:val="20"/>
          <w:color w:val="auto"/>
        </w:rPr>
      </w:pPr>
    </w:p>
    <w:p>
      <w:pPr>
        <w:ind w:left="1780" w:right="979" w:hanging="740"/>
        <w:spacing w:after="0" w:line="249" w:lineRule="auto"/>
        <w:tabs>
          <w:tab w:leader="none" w:pos="176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conversion rate in effect immediately before the open of business on the ex-dividend date for such distribution;</w:t>
      </w:r>
    </w:p>
    <w:p>
      <w:pPr>
        <w:spacing w:after="0" w:line="52" w:lineRule="exact"/>
        <w:rPr>
          <w:sz w:val="20"/>
          <w:szCs w:val="20"/>
          <w:color w:val="auto"/>
        </w:rPr>
      </w:pPr>
    </w:p>
    <w:p>
      <w:pPr>
        <w:ind w:left="1200"/>
        <w:spacing w:after="0"/>
        <w:tabs>
          <w:tab w:leader="none" w:pos="176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r>
        <w:rPr>
          <w:sz w:val="20"/>
          <w:szCs w:val="20"/>
          <w:color w:val="auto"/>
        </w:rPr>
        <w:tab/>
      </w:r>
      <w:r>
        <w:rPr>
          <w:rFonts w:ascii="Arial" w:cs="Arial" w:eastAsia="Arial" w:hAnsi="Arial"/>
          <w:sz w:val="12"/>
          <w:szCs w:val="12"/>
          <w:color w:val="auto"/>
        </w:rPr>
        <w:t>= the conversion rate in effect immediately after the open of business on such ex-dividend date;</w:t>
      </w:r>
    </w:p>
    <w:p>
      <w:pPr>
        <w:spacing w:after="0" w:line="72" w:lineRule="exact"/>
        <w:rPr>
          <w:sz w:val="20"/>
          <w:szCs w:val="20"/>
          <w:color w:val="auto"/>
        </w:rPr>
      </w:pPr>
    </w:p>
    <w:p>
      <w:pPr>
        <w:jc w:val="both"/>
        <w:ind w:left="1780" w:right="479" w:hanging="740"/>
        <w:spacing w:after="0" w:line="249" w:lineRule="auto"/>
        <w:tabs>
          <w:tab w:leader="none" w:pos="1760" w:val="left"/>
        </w:tabs>
        <w:rPr>
          <w:sz w:val="20"/>
          <w:szCs w:val="20"/>
          <w:color w:val="auto"/>
        </w:rPr>
      </w:pPr>
      <w:r>
        <w:rPr>
          <w:rFonts w:ascii="Arial" w:cs="Arial" w:eastAsia="Arial" w:hAnsi="Arial"/>
          <w:sz w:val="14"/>
          <w:szCs w:val="14"/>
          <w:i w:val="1"/>
          <w:iCs w:val="1"/>
          <w:color w:val="auto"/>
        </w:rPr>
        <w:t>SP</w:t>
      </w:r>
      <w:r>
        <w:rPr>
          <w:sz w:val="20"/>
          <w:szCs w:val="20"/>
          <w:color w:val="auto"/>
        </w:rPr>
        <w:tab/>
      </w:r>
      <w:r>
        <w:rPr>
          <w:rFonts w:ascii="Arial" w:cs="Arial" w:eastAsia="Arial" w:hAnsi="Arial"/>
          <w:sz w:val="14"/>
          <w:szCs w:val="14"/>
          <w:color w:val="auto"/>
        </w:rPr>
        <w:t>= the average of the last reported sale prices per share of our common stock for the 10 consecutive trading days ending on, and including, the trading day immediately before such ex-dividend date; and</w:t>
      </w:r>
    </w:p>
    <w:p>
      <w:pPr>
        <w:spacing w:after="0" w:line="52" w:lineRule="exact"/>
        <w:rPr>
          <w:sz w:val="20"/>
          <w:szCs w:val="20"/>
          <w:color w:val="auto"/>
        </w:rPr>
      </w:pPr>
    </w:p>
    <w:p>
      <w:pPr>
        <w:jc w:val="both"/>
        <w:ind w:left="1780" w:right="479" w:hanging="740"/>
        <w:spacing w:after="0" w:line="238" w:lineRule="auto"/>
        <w:tabs>
          <w:tab w:leader="none" w:pos="1760" w:val="left"/>
        </w:tabs>
        <w:rPr>
          <w:sz w:val="20"/>
          <w:szCs w:val="20"/>
          <w:color w:val="auto"/>
        </w:rPr>
      </w:pPr>
      <w:r>
        <w:rPr>
          <w:rFonts w:ascii="Arial" w:cs="Arial" w:eastAsia="Arial" w:hAnsi="Arial"/>
          <w:sz w:val="14"/>
          <w:szCs w:val="14"/>
          <w:i w:val="1"/>
          <w:iCs w:val="1"/>
          <w:color w:val="auto"/>
        </w:rPr>
        <w:t>FMV</w:t>
      </w:r>
      <w:r>
        <w:rPr>
          <w:sz w:val="20"/>
          <w:szCs w:val="20"/>
          <w:color w:val="auto"/>
        </w:rPr>
        <w:tab/>
      </w:r>
      <w:r>
        <w:rPr>
          <w:rFonts w:ascii="Arial" w:cs="Arial" w:eastAsia="Arial" w:hAnsi="Arial"/>
          <w:sz w:val="14"/>
          <w:szCs w:val="14"/>
          <w:color w:val="auto"/>
        </w:rPr>
        <w:t>= the fair market value (as determined by us in good faith and in a commercially reasonable manner), as of such ex-dividend date, of the shares of capital stock, evidences of indebtedness, assets, property, rights, options or warrants distributed per share of our common stock pursuant to such distribution.</w:t>
      </w:r>
    </w:p>
    <w:p>
      <w:pPr>
        <w:spacing w:after="0" w:line="89" w:lineRule="exact"/>
        <w:rPr>
          <w:sz w:val="20"/>
          <w:szCs w:val="20"/>
          <w:color w:val="auto"/>
        </w:rPr>
      </w:pPr>
    </w:p>
    <w:p>
      <w:pPr>
        <w:ind w:left="1100" w:right="399"/>
        <w:spacing w:after="0" w:line="232" w:lineRule="auto"/>
        <w:rPr>
          <w:sz w:val="20"/>
          <w:szCs w:val="20"/>
          <w:color w:val="auto"/>
        </w:rPr>
      </w:pPr>
      <w:r>
        <w:rPr>
          <w:rFonts w:ascii="Arial" w:cs="Arial" w:eastAsia="Arial" w:hAnsi="Arial"/>
          <w:sz w:val="14"/>
          <w:szCs w:val="14"/>
          <w:color w:val="auto"/>
        </w:rPr>
        <w:t xml:space="preserve">However, if </w:t>
      </w:r>
      <w:r>
        <w:rPr>
          <w:rFonts w:ascii="Arial" w:cs="Arial" w:eastAsia="Arial" w:hAnsi="Arial"/>
          <w:sz w:val="14"/>
          <w:szCs w:val="14"/>
          <w:i w:val="1"/>
          <w:iCs w:val="1"/>
          <w:color w:val="auto"/>
        </w:rPr>
        <w:t>FMV</w:t>
      </w:r>
      <w:r>
        <w:rPr>
          <w:rFonts w:ascii="Arial" w:cs="Arial" w:eastAsia="Arial" w:hAnsi="Arial"/>
          <w:sz w:val="14"/>
          <w:szCs w:val="14"/>
          <w:color w:val="auto"/>
        </w:rPr>
        <w:t xml:space="preserve"> is equal to or greater than </w:t>
      </w:r>
      <w:r>
        <w:rPr>
          <w:rFonts w:ascii="Arial" w:cs="Arial" w:eastAsia="Arial" w:hAnsi="Arial"/>
          <w:sz w:val="14"/>
          <w:szCs w:val="14"/>
          <w:i w:val="1"/>
          <w:iCs w:val="1"/>
          <w:color w:val="auto"/>
        </w:rPr>
        <w:t>SP</w:t>
      </w:r>
      <w:r>
        <w:rPr>
          <w:rFonts w:ascii="Arial" w:cs="Arial" w:eastAsia="Arial" w:hAnsi="Arial"/>
          <w:sz w:val="14"/>
          <w:szCs w:val="14"/>
          <w:color w:val="auto"/>
        </w:rPr>
        <w:t>, then, in lieu of the foregoing adjustment to the conversion rate, each noteholder will receive, for each $ 1,000 principal amount of notes held by such noteholder on the record date for such distribution, at the same time and on the same terms as holders of our common stock, and without having to convert its notes, the amount and kind of shares of capital stock, evidences of indebtedness, assets, property, rights, options or warrants that such noteholder would have received in such distribution if such noteholder had owned, on such record date, a number of shares of our common stock equal to the conversion rate in effect on such record date.</w:t>
      </w:r>
    </w:p>
    <w:p>
      <w:pPr>
        <w:spacing w:after="0" w:line="81" w:lineRule="exact"/>
        <w:rPr>
          <w:sz w:val="20"/>
          <w:szCs w:val="20"/>
          <w:color w:val="auto"/>
        </w:rPr>
      </w:pPr>
    </w:p>
    <w:p>
      <w:pPr>
        <w:ind w:left="1100" w:right="459"/>
        <w:spacing w:after="0" w:line="249" w:lineRule="auto"/>
        <w:rPr>
          <w:sz w:val="20"/>
          <w:szCs w:val="20"/>
          <w:color w:val="auto"/>
        </w:rPr>
      </w:pPr>
      <w:r>
        <w:rPr>
          <w:rFonts w:ascii="Arial" w:cs="Arial" w:eastAsia="Arial" w:hAnsi="Arial"/>
          <w:sz w:val="14"/>
          <w:szCs w:val="14"/>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S-35</w:t>
      </w:r>
    </w:p>
    <w:p>
      <w:pPr>
        <w:sectPr>
          <w:pgSz w:w="11900" w:h="16838" w:orient="portrait"/>
          <w:cols w:equalWidth="0" w:num="1">
            <w:col w:w="9019"/>
          </w:cols>
          <w:pgMar w:left="1440" w:top="238" w:right="1440" w:bottom="1440" w:gutter="0" w:footer="0" w:header="0"/>
        </w:sectPr>
      </w:pPr>
    </w:p>
    <w:bookmarkStart w:id="38" w:name="page39"/>
    <w:bookmarkEnd w:id="38"/>
    <w:p>
      <w:pPr>
        <w:ind w:left="1100" w:right="379" w:hanging="412"/>
        <w:spacing w:after="0" w:line="231" w:lineRule="auto"/>
        <w:tabs>
          <w:tab w:leader="none" w:pos="110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Spin-Offs</w:t>
      </w:r>
      <w:r>
        <w:rPr>
          <w:rFonts w:ascii="Arial" w:cs="Arial" w:eastAsia="Arial" w:hAnsi="Arial"/>
          <w:sz w:val="14"/>
          <w:szCs w:val="14"/>
          <w:color w:val="auto"/>
        </w:rPr>
        <w:t>.  If we distribute or dividend shares of capital stock of any class or series, or similar equity interests, of or relating to</w:t>
      </w:r>
      <w:r>
        <w:rPr>
          <w:rFonts w:ascii="Arial" w:cs="Arial" w:eastAsia="Arial" w:hAnsi="Arial"/>
          <w:sz w:val="14"/>
          <w:szCs w:val="14"/>
          <w:i w:val="1"/>
          <w:iCs w:val="1"/>
          <w:color w:val="auto"/>
        </w:rPr>
        <w:t xml:space="preserve"> </w:t>
      </w:r>
      <w:r>
        <w:rPr>
          <w:rFonts w:ascii="Arial" w:cs="Arial" w:eastAsia="Arial" w:hAnsi="Arial"/>
          <w:sz w:val="14"/>
          <w:szCs w:val="14"/>
          <w:color w:val="auto"/>
        </w:rPr>
        <w:t>an “affiliate” or “subsidiary” (as those terms are defined below under the caption “—Definitions”) or other business unit of ours to all or substantially all holders of our common stock (other than solely pursuant to (x) a common stock change event, as to which the provisions described below under the caption “—Effect of Common Stock Change Event” will apply; or (y) a tender offer or exchange offer for shares of our common stock, as to which the provisions described below in paragraph (5) will apply), and such capital stock or equity interests are listed or quoted (or will be listed or quoted upon the consummation of the transaction) on a U.S. national securities exchange (a “spin-off”),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65405</wp:posOffset>
            </wp:positionV>
            <wp:extent cx="915035" cy="257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5035" cy="2578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2"/>
          <w:szCs w:val="12"/>
          <w:color w:val="auto"/>
        </w:rPr>
        <w:t>where:</w:t>
      </w:r>
    </w:p>
    <w:p>
      <w:pPr>
        <w:spacing w:after="0" w:line="72" w:lineRule="exact"/>
        <w:rPr>
          <w:sz w:val="20"/>
          <w:szCs w:val="20"/>
          <w:color w:val="auto"/>
        </w:rPr>
      </w:pPr>
    </w:p>
    <w:p>
      <w:pPr>
        <w:ind w:left="1780" w:right="659" w:hanging="740"/>
        <w:spacing w:after="0" w:line="249" w:lineRule="auto"/>
        <w:tabs>
          <w:tab w:leader="none" w:pos="176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conversion rate in effect immediately before the close of business on the last trading day of the “spin-off valuation period” (as defined below) for such spin-off;</w:t>
      </w:r>
    </w:p>
    <w:p>
      <w:pPr>
        <w:spacing w:after="0" w:line="52" w:lineRule="exact"/>
        <w:rPr>
          <w:sz w:val="20"/>
          <w:szCs w:val="20"/>
          <w:color w:val="auto"/>
        </w:rPr>
      </w:pPr>
    </w:p>
    <w:p>
      <w:pPr>
        <w:ind w:left="1780" w:right="819" w:hanging="740"/>
        <w:spacing w:after="0" w:line="249" w:lineRule="auto"/>
        <w:tabs>
          <w:tab w:leader="none" w:pos="176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r>
        <w:rPr>
          <w:sz w:val="20"/>
          <w:szCs w:val="20"/>
          <w:color w:val="auto"/>
        </w:rPr>
        <w:tab/>
      </w:r>
      <w:r>
        <w:rPr>
          <w:rFonts w:ascii="Arial" w:cs="Arial" w:eastAsia="Arial" w:hAnsi="Arial"/>
          <w:sz w:val="14"/>
          <w:szCs w:val="14"/>
          <w:color w:val="auto"/>
        </w:rPr>
        <w:t>= the conversion rate in effect immediately after the close of business on the last trading day of the spin-off valuation period;</w:t>
      </w:r>
    </w:p>
    <w:p>
      <w:pPr>
        <w:spacing w:after="0" w:line="52" w:lineRule="exact"/>
        <w:rPr>
          <w:sz w:val="20"/>
          <w:szCs w:val="20"/>
          <w:color w:val="auto"/>
        </w:rPr>
      </w:pPr>
    </w:p>
    <w:p>
      <w:pPr>
        <w:ind w:left="1780" w:right="499" w:hanging="740"/>
        <w:spacing w:after="0" w:line="232" w:lineRule="auto"/>
        <w:tabs>
          <w:tab w:leader="none" w:pos="1760" w:val="left"/>
        </w:tabs>
        <w:rPr>
          <w:sz w:val="20"/>
          <w:szCs w:val="20"/>
          <w:color w:val="auto"/>
        </w:rPr>
      </w:pPr>
      <w:r>
        <w:rPr>
          <w:rFonts w:ascii="Arial" w:cs="Arial" w:eastAsia="Arial" w:hAnsi="Arial"/>
          <w:sz w:val="14"/>
          <w:szCs w:val="14"/>
          <w:i w:val="1"/>
          <w:iCs w:val="1"/>
          <w:color w:val="auto"/>
        </w:rPr>
        <w:t>FMV</w:t>
      </w:r>
      <w:r>
        <w:rPr>
          <w:sz w:val="20"/>
          <w:szCs w:val="20"/>
          <w:color w:val="auto"/>
        </w:rPr>
        <w:tab/>
      </w:r>
      <w:r>
        <w:rPr>
          <w:rFonts w:ascii="Arial" w:cs="Arial" w:eastAsia="Arial" w:hAnsi="Arial"/>
          <w:sz w:val="14"/>
          <w:szCs w:val="14"/>
          <w:color w:val="auto"/>
        </w:rPr>
        <w:t>= the product of (x) the average of the last reported sale prices per share or unit of the capital stock or equity interests distributed in such spin-off over the 10 consecutive trading day period (the “spin-off valuation period”) beginning on, and including, the ex-dividend date for such spin-off (such average to be determined as if references to our common stock in the definitions of “last reported sale price,” “trading day” and “market disruption event” were instead references to such capital stock or equity interests); and (y) the number of shares or units of such capital stock or equity interests distributed per share of our common stock in such spin-off; and</w:t>
      </w:r>
    </w:p>
    <w:p>
      <w:pPr>
        <w:spacing w:after="0" w:line="57" w:lineRule="exact"/>
        <w:rPr>
          <w:sz w:val="20"/>
          <w:szCs w:val="20"/>
          <w:color w:val="auto"/>
        </w:rPr>
      </w:pPr>
    </w:p>
    <w:p>
      <w:pPr>
        <w:ind w:left="1780" w:right="519" w:hanging="740"/>
        <w:spacing w:after="0" w:line="249" w:lineRule="auto"/>
        <w:tabs>
          <w:tab w:leader="none" w:pos="1760" w:val="left"/>
        </w:tabs>
        <w:rPr>
          <w:sz w:val="20"/>
          <w:szCs w:val="20"/>
          <w:color w:val="auto"/>
        </w:rPr>
      </w:pPr>
      <w:r>
        <w:rPr>
          <w:rFonts w:ascii="Arial" w:cs="Arial" w:eastAsia="Arial" w:hAnsi="Arial"/>
          <w:sz w:val="14"/>
          <w:szCs w:val="14"/>
          <w:i w:val="1"/>
          <w:iCs w:val="1"/>
          <w:color w:val="auto"/>
        </w:rPr>
        <w:t>SP</w:t>
      </w:r>
      <w:r>
        <w:rPr>
          <w:sz w:val="20"/>
          <w:szCs w:val="20"/>
          <w:color w:val="auto"/>
        </w:rPr>
        <w:tab/>
      </w:r>
      <w:r>
        <w:rPr>
          <w:rFonts w:ascii="Arial" w:cs="Arial" w:eastAsia="Arial" w:hAnsi="Arial"/>
          <w:sz w:val="14"/>
          <w:szCs w:val="14"/>
          <w:color w:val="auto"/>
        </w:rPr>
        <w:t>= the average of the last reported sale prices per share of our common stock for each trading day in the spin-off valuation period.</w:t>
      </w:r>
    </w:p>
    <w:p>
      <w:pPr>
        <w:spacing w:after="0" w:line="82" w:lineRule="exact"/>
        <w:rPr>
          <w:sz w:val="20"/>
          <w:szCs w:val="20"/>
          <w:color w:val="auto"/>
        </w:rPr>
      </w:pPr>
    </w:p>
    <w:p>
      <w:pPr>
        <w:ind w:left="1100" w:right="519"/>
        <w:spacing w:after="0" w:line="230" w:lineRule="auto"/>
        <w:rPr>
          <w:sz w:val="20"/>
          <w:szCs w:val="20"/>
          <w:color w:val="auto"/>
        </w:rPr>
      </w:pPr>
      <w:r>
        <w:rPr>
          <w:rFonts w:ascii="Arial" w:cs="Arial" w:eastAsia="Arial" w:hAnsi="Arial"/>
          <w:sz w:val="14"/>
          <w:szCs w:val="14"/>
          <w:color w:val="auto"/>
        </w:rPr>
        <w:t>Notwithstanding anything to the contrary,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consideration due in respect of such conversion, such spin-off valuation period will be deemed to consist of the trading days occurring in the period from, and including, the ex-dividend date for such spin-off to, and including, such conversion date.</w:t>
      </w:r>
    </w:p>
    <w:p>
      <w:pPr>
        <w:spacing w:after="0" w:line="93" w:lineRule="exact"/>
        <w:rPr>
          <w:sz w:val="20"/>
          <w:szCs w:val="20"/>
          <w:color w:val="auto"/>
        </w:rPr>
      </w:pPr>
    </w:p>
    <w:p>
      <w:pPr>
        <w:ind w:left="1100" w:right="459"/>
        <w:spacing w:after="0" w:line="238" w:lineRule="auto"/>
        <w:rPr>
          <w:sz w:val="20"/>
          <w:szCs w:val="20"/>
          <w:color w:val="auto"/>
        </w:rPr>
      </w:pPr>
      <w:r>
        <w:rPr>
          <w:rFonts w:ascii="Arial" w:cs="Arial" w:eastAsia="Arial" w:hAnsi="Arial"/>
          <w:sz w:val="14"/>
          <w:szCs w:val="14"/>
          <w:color w:val="auto"/>
        </w:rPr>
        <w:t>To the extent any dividend or distribution of the type described above in this paragraph (3)(b) is declared but not made or paid, the conversion rate will be readjusted to the conversion rate that would then be in effect had the adjustment been made on the basis of only the dividend or distribution, if any, actually made or paid.</w:t>
      </w:r>
    </w:p>
    <w:p>
      <w:pPr>
        <w:spacing w:after="0" w:line="89" w:lineRule="exact"/>
        <w:rPr>
          <w:sz w:val="20"/>
          <w:szCs w:val="20"/>
          <w:color w:val="auto"/>
        </w:rPr>
      </w:pPr>
    </w:p>
    <w:p>
      <w:pPr>
        <w:ind w:left="680" w:right="459" w:hanging="317"/>
        <w:spacing w:after="0" w:line="249" w:lineRule="auto"/>
        <w:tabs>
          <w:tab w:leader="none" w:pos="68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Cash Dividends or Distributions</w:t>
      </w:r>
      <w:r>
        <w:rPr>
          <w:rFonts w:ascii="Arial" w:cs="Arial" w:eastAsia="Arial" w:hAnsi="Arial"/>
          <w:sz w:val="14"/>
          <w:szCs w:val="14"/>
          <w:color w:val="auto"/>
        </w:rPr>
        <w:t>.  If any cash dividend or distribution is made to all or substantially all holders of our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60325</wp:posOffset>
            </wp:positionV>
            <wp:extent cx="747395" cy="257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7395" cy="25781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S-36</w:t>
      </w:r>
    </w:p>
    <w:p>
      <w:pPr>
        <w:sectPr>
          <w:pgSz w:w="11900" w:h="16838" w:orient="portrait"/>
          <w:cols w:equalWidth="0" w:num="1">
            <w:col w:w="9019"/>
          </w:cols>
          <w:pgMar w:left="1440" w:top="238" w:right="1440" w:bottom="1440" w:gutter="0" w:footer="0" w:header="0"/>
        </w:sectPr>
      </w:pPr>
    </w:p>
    <w:bookmarkStart w:id="39" w:name="page40"/>
    <w:bookmarkEnd w:id="39"/>
    <w:p>
      <w:pPr>
        <w:ind w:left="360"/>
        <w:spacing w:after="0"/>
        <w:tabs>
          <w:tab w:leader="none" w:pos="7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    </w:t>
      </w:r>
      <w:r>
        <w:rPr>
          <w:sz w:val="20"/>
          <w:szCs w:val="20"/>
          <w:color w:val="auto"/>
        </w:rPr>
        <w:tab/>
      </w:r>
      <w:r>
        <w:rPr>
          <w:rFonts w:ascii="Arial" w:cs="Arial" w:eastAsia="Arial" w:hAnsi="Arial"/>
          <w:sz w:val="12"/>
          <w:szCs w:val="12"/>
          <w:color w:val="auto"/>
        </w:rPr>
        <w:t>where:</w:t>
      </w:r>
    </w:p>
    <w:p>
      <w:pPr>
        <w:spacing w:after="0" w:line="72" w:lineRule="exact"/>
        <w:rPr>
          <w:sz w:val="20"/>
          <w:szCs w:val="20"/>
          <w:color w:val="auto"/>
        </w:rPr>
      </w:pPr>
    </w:p>
    <w:p>
      <w:pPr>
        <w:ind w:left="1360" w:right="69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conversion rate in effect immediately before the open of business on the ex-dividend date for such dividend or distribution;</w:t>
      </w:r>
    </w:p>
    <w:p>
      <w:pPr>
        <w:spacing w:after="0" w:line="52"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r>
        <w:rPr>
          <w:sz w:val="20"/>
          <w:szCs w:val="20"/>
          <w:color w:val="auto"/>
        </w:rPr>
        <w:tab/>
      </w:r>
      <w:r>
        <w:rPr>
          <w:rFonts w:ascii="Arial" w:cs="Arial" w:eastAsia="Arial" w:hAnsi="Arial"/>
          <w:sz w:val="12"/>
          <w:szCs w:val="12"/>
          <w:color w:val="auto"/>
        </w:rPr>
        <w:t>= the conversion rate in effect immediately after the open of business on such ex-dividend date;</w:t>
      </w:r>
    </w:p>
    <w:p>
      <w:pPr>
        <w:spacing w:after="0" w:line="72" w:lineRule="exact"/>
        <w:rPr>
          <w:sz w:val="20"/>
          <w:szCs w:val="20"/>
          <w:color w:val="auto"/>
        </w:rPr>
      </w:pPr>
    </w:p>
    <w:p>
      <w:pPr>
        <w:ind w:left="1360" w:right="63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SP</w:t>
      </w:r>
      <w:r>
        <w:rPr>
          <w:sz w:val="20"/>
          <w:szCs w:val="20"/>
          <w:color w:val="auto"/>
        </w:rPr>
        <w:tab/>
      </w:r>
      <w:r>
        <w:rPr>
          <w:rFonts w:ascii="Arial" w:cs="Arial" w:eastAsia="Arial" w:hAnsi="Arial"/>
          <w:sz w:val="14"/>
          <w:szCs w:val="14"/>
          <w:color w:val="auto"/>
        </w:rPr>
        <w:t>= the last reported sale price per share of our common stock on the trading day immediately before such ex-dividend date; and</w:t>
      </w:r>
    </w:p>
    <w:p>
      <w:pPr>
        <w:spacing w:after="0" w:line="52" w:lineRule="exact"/>
        <w:rPr>
          <w:sz w:val="20"/>
          <w:szCs w:val="20"/>
          <w:color w:val="auto"/>
        </w:rPr>
      </w:pPr>
    </w:p>
    <w:p>
      <w:pPr>
        <w:ind w:left="1360" w:hanging="571"/>
        <w:spacing w:after="0"/>
        <w:tabs>
          <w:tab w:leader="none" w:pos="1360" w:val="left"/>
        </w:tabs>
        <w:numPr>
          <w:ilvl w:val="0"/>
          <w:numId w:val="26"/>
        </w:numPr>
        <w:rPr>
          <w:rFonts w:ascii="Arial" w:cs="Arial" w:eastAsia="Arial" w:hAnsi="Arial"/>
          <w:sz w:val="14"/>
          <w:szCs w:val="14"/>
          <w:i w:val="1"/>
          <w:iCs w:val="1"/>
          <w:color w:val="auto"/>
        </w:rPr>
      </w:pPr>
      <w:r>
        <w:rPr>
          <w:rFonts w:ascii="Arial" w:cs="Arial" w:eastAsia="Arial" w:hAnsi="Arial"/>
          <w:sz w:val="14"/>
          <w:szCs w:val="14"/>
          <w:color w:val="auto"/>
        </w:rPr>
        <w:t>= the cash amount distributed per share of our common stock in such dividend or distribution.</w:t>
      </w:r>
    </w:p>
    <w:p>
      <w:pPr>
        <w:spacing w:after="0" w:line="103" w:lineRule="exact"/>
        <w:rPr>
          <w:sz w:val="20"/>
          <w:szCs w:val="20"/>
          <w:color w:val="auto"/>
        </w:rPr>
      </w:pPr>
    </w:p>
    <w:p>
      <w:pPr>
        <w:ind w:left="700" w:right="399"/>
        <w:spacing w:after="0" w:line="275" w:lineRule="auto"/>
        <w:rPr>
          <w:sz w:val="20"/>
          <w:szCs w:val="20"/>
          <w:color w:val="auto"/>
        </w:rPr>
      </w:pPr>
      <w:r>
        <w:rPr>
          <w:rFonts w:ascii="Arial" w:cs="Arial" w:eastAsia="Arial" w:hAnsi="Arial"/>
          <w:sz w:val="12"/>
          <w:szCs w:val="12"/>
          <w:color w:val="auto"/>
        </w:rPr>
        <w:t xml:space="preserve">However, if </w:t>
      </w:r>
      <w:r>
        <w:rPr>
          <w:rFonts w:ascii="Arial" w:cs="Arial" w:eastAsia="Arial" w:hAnsi="Arial"/>
          <w:sz w:val="12"/>
          <w:szCs w:val="12"/>
          <w:i w:val="1"/>
          <w:iCs w:val="1"/>
          <w:color w:val="auto"/>
        </w:rPr>
        <w:t>D</w:t>
      </w:r>
      <w:r>
        <w:rPr>
          <w:rFonts w:ascii="Arial" w:cs="Arial" w:eastAsia="Arial" w:hAnsi="Arial"/>
          <w:sz w:val="12"/>
          <w:szCs w:val="12"/>
          <w:color w:val="auto"/>
        </w:rPr>
        <w:t xml:space="preserve"> is equal to or greater than </w:t>
      </w:r>
      <w:r>
        <w:rPr>
          <w:rFonts w:ascii="Arial" w:cs="Arial" w:eastAsia="Arial" w:hAnsi="Arial"/>
          <w:sz w:val="12"/>
          <w:szCs w:val="12"/>
          <w:i w:val="1"/>
          <w:iCs w:val="1"/>
          <w:color w:val="auto"/>
        </w:rPr>
        <w:t>SP</w:t>
      </w:r>
      <w:r>
        <w:rPr>
          <w:rFonts w:ascii="Arial" w:cs="Arial" w:eastAsia="Arial" w:hAnsi="Arial"/>
          <w:sz w:val="12"/>
          <w:szCs w:val="12"/>
          <w:color w:val="auto"/>
        </w:rPr>
        <w:t>, then, in lieu of the foregoing adjustment to the conversion rate, each noteholder will receive, for each $ 1,000 principal amount of notes held by such noteholder on the record date for such dividend or distribution, at the same time and on the same terms as holders of our common stock, and without having to convert its notes, the amount of cash that such noteholder would have received in such dividend or distribution if such noteholder had owned, on such record date, a number of shares of our common stock equal to the conversion rate in effect on such record date. 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70" w:lineRule="exact"/>
        <w:rPr>
          <w:sz w:val="20"/>
          <w:szCs w:val="20"/>
          <w:color w:val="auto"/>
        </w:rPr>
      </w:pPr>
    </w:p>
    <w:p>
      <w:pPr>
        <w:ind w:left="680" w:right="419" w:hanging="317"/>
        <w:spacing w:after="0" w:line="232" w:lineRule="auto"/>
        <w:tabs>
          <w:tab w:leader="none" w:pos="68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Tender Offers or Exchange Offers</w:t>
      </w:r>
      <w:r>
        <w:rPr>
          <w:rFonts w:ascii="Arial" w:cs="Arial" w:eastAsia="Arial" w:hAnsi="Arial"/>
          <w:sz w:val="14"/>
          <w:szCs w:val="14"/>
          <w:color w:val="auto"/>
        </w:rPr>
        <w:t>.  If we or any of our subsidiaries makes a payment in respect of a tender offer or exchange offer</w:t>
      </w:r>
      <w:r>
        <w:rPr>
          <w:rFonts w:ascii="Arial" w:cs="Arial" w:eastAsia="Arial" w:hAnsi="Arial"/>
          <w:sz w:val="14"/>
          <w:szCs w:val="14"/>
          <w:i w:val="1"/>
          <w:iCs w:val="1"/>
          <w:color w:val="auto"/>
        </w:rPr>
        <w:t xml:space="preserve"> </w:t>
      </w:r>
      <w:r>
        <w:rPr>
          <w:rFonts w:ascii="Arial" w:cs="Arial" w:eastAsia="Arial" w:hAnsi="Arial"/>
          <w:sz w:val="14"/>
          <w:szCs w:val="14"/>
          <w:color w:val="auto"/>
        </w:rPr>
        <w:t>for shares of our common stock (other than solely pursuant to an odd-lot tender offer pursuant to Rule 13e-4(h)(5) under the Exchange Act), and the value (determined as of the expiration time by us in good faith and in a commercially reasonable manner) of the cash and other consideration paid or payable per share of our common stock in such tender or exchange offer exceeds the last reported sale price per share of our common stock on the trading day immediately after the last date (the “expiration date”)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2299335</wp:posOffset>
            </wp:positionH>
            <wp:positionV relativeFrom="paragraph">
              <wp:posOffset>64135</wp:posOffset>
            </wp:positionV>
            <wp:extent cx="1121410" cy="321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1410" cy="32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2"/>
          <w:szCs w:val="12"/>
          <w:color w:val="auto"/>
        </w:rPr>
        <w:t>where:</w:t>
      </w:r>
    </w:p>
    <w:p>
      <w:pPr>
        <w:spacing w:after="0" w:line="72" w:lineRule="exact"/>
        <w:rPr>
          <w:sz w:val="20"/>
          <w:szCs w:val="20"/>
          <w:color w:val="auto"/>
        </w:rPr>
      </w:pPr>
    </w:p>
    <w:p>
      <w:pPr>
        <w:ind w:left="1360" w:right="51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conversion rate in effect immediately before the close of business on the last trading day of the “tender/exchange offer valuation period” (as defined below) for such tender or exchange offer;</w:t>
      </w:r>
    </w:p>
    <w:p>
      <w:pPr>
        <w:spacing w:after="0" w:line="52" w:lineRule="exact"/>
        <w:rPr>
          <w:sz w:val="20"/>
          <w:szCs w:val="20"/>
          <w:color w:val="auto"/>
        </w:rPr>
      </w:pPr>
    </w:p>
    <w:p>
      <w:pPr>
        <w:ind w:left="1360" w:right="67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CR</w:t>
      </w:r>
      <w:r>
        <w:rPr>
          <w:rFonts w:ascii="Arial" w:cs="Arial" w:eastAsia="Arial" w:hAnsi="Arial"/>
          <w:sz w:val="10"/>
          <w:szCs w:val="10"/>
          <w:i w:val="1"/>
          <w:iCs w:val="1"/>
          <w:color w:val="auto"/>
        </w:rPr>
        <w:t>1</w:t>
      </w:r>
      <w:r>
        <w:rPr>
          <w:sz w:val="20"/>
          <w:szCs w:val="20"/>
          <w:color w:val="auto"/>
        </w:rPr>
        <w:tab/>
      </w:r>
      <w:r>
        <w:rPr>
          <w:rFonts w:ascii="Arial" w:cs="Arial" w:eastAsia="Arial" w:hAnsi="Arial"/>
          <w:sz w:val="14"/>
          <w:szCs w:val="14"/>
          <w:color w:val="auto"/>
        </w:rPr>
        <w:t>= the conversion rate in effect immediately after the close of business on the last trading day of the tender/exchange offer valuation period;</w:t>
      </w:r>
    </w:p>
    <w:p>
      <w:pPr>
        <w:spacing w:after="0" w:line="52" w:lineRule="exact"/>
        <w:rPr>
          <w:sz w:val="20"/>
          <w:szCs w:val="20"/>
          <w:color w:val="auto"/>
        </w:rPr>
      </w:pPr>
    </w:p>
    <w:p>
      <w:pPr>
        <w:ind w:left="1360" w:right="459" w:hanging="740"/>
        <w:spacing w:after="0" w:line="238" w:lineRule="auto"/>
        <w:tabs>
          <w:tab w:leader="none" w:pos="1340" w:val="left"/>
        </w:tabs>
        <w:rPr>
          <w:sz w:val="20"/>
          <w:szCs w:val="20"/>
          <w:color w:val="auto"/>
        </w:rPr>
      </w:pPr>
      <w:r>
        <w:rPr>
          <w:rFonts w:ascii="Arial" w:cs="Arial" w:eastAsia="Arial" w:hAnsi="Arial"/>
          <w:sz w:val="14"/>
          <w:szCs w:val="14"/>
          <w:i w:val="1"/>
          <w:iCs w:val="1"/>
          <w:color w:val="auto"/>
        </w:rPr>
        <w:t>AC</w:t>
      </w:r>
      <w:r>
        <w:rPr>
          <w:sz w:val="20"/>
          <w:szCs w:val="20"/>
          <w:color w:val="auto"/>
        </w:rPr>
        <w:tab/>
      </w:r>
      <w:r>
        <w:rPr>
          <w:rFonts w:ascii="Arial" w:cs="Arial" w:eastAsia="Arial" w:hAnsi="Arial"/>
          <w:sz w:val="14"/>
          <w:szCs w:val="14"/>
          <w:color w:val="auto"/>
        </w:rPr>
        <w:t>= the aggregate value (determined as of the time (the “expiration time”) such tender or exchange offer expires by us in good faith and in a commercially reasonable manner) of all cash and other consideration paid or payable for shares of our common stock purchased or exchanged in such tender or exchange offer;</w:t>
      </w:r>
    </w:p>
    <w:p>
      <w:pPr>
        <w:spacing w:after="0" w:line="59" w:lineRule="exact"/>
        <w:rPr>
          <w:sz w:val="20"/>
          <w:szCs w:val="20"/>
          <w:color w:val="auto"/>
        </w:rPr>
      </w:pPr>
    </w:p>
    <w:p>
      <w:pPr>
        <w:ind w:left="1360" w:right="47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OS</w:t>
      </w:r>
      <w:r>
        <w:rPr>
          <w:rFonts w:ascii="Arial" w:cs="Arial" w:eastAsia="Arial" w:hAnsi="Arial"/>
          <w:sz w:val="10"/>
          <w:szCs w:val="10"/>
          <w:i w:val="1"/>
          <w:iCs w:val="1"/>
          <w:color w:val="auto"/>
        </w:rPr>
        <w:t>0</w:t>
      </w:r>
      <w:r>
        <w:rPr>
          <w:sz w:val="20"/>
          <w:szCs w:val="20"/>
          <w:color w:val="auto"/>
        </w:rPr>
        <w:tab/>
      </w:r>
      <w:r>
        <w:rPr>
          <w:rFonts w:ascii="Arial" w:cs="Arial" w:eastAsia="Arial" w:hAnsi="Arial"/>
          <w:sz w:val="14"/>
          <w:szCs w:val="14"/>
          <w:color w:val="auto"/>
        </w:rPr>
        <w:t>= the number of shares of our common stock outstanding immediately before the expiration time (including all shares of our common stock accepted for purchase or exchange in such tender or exchange offer);</w:t>
      </w:r>
    </w:p>
    <w:p>
      <w:pPr>
        <w:spacing w:after="0" w:line="52" w:lineRule="exact"/>
        <w:rPr>
          <w:sz w:val="20"/>
          <w:szCs w:val="20"/>
          <w:color w:val="auto"/>
        </w:rPr>
      </w:pPr>
    </w:p>
    <w:p>
      <w:pPr>
        <w:ind w:left="1360" w:right="539" w:hanging="740"/>
        <w:spacing w:after="0" w:line="249" w:lineRule="auto"/>
        <w:tabs>
          <w:tab w:leader="none" w:pos="1340" w:val="left"/>
        </w:tabs>
        <w:rPr>
          <w:sz w:val="20"/>
          <w:szCs w:val="20"/>
          <w:color w:val="auto"/>
        </w:rPr>
      </w:pPr>
      <w:r>
        <w:rPr>
          <w:rFonts w:ascii="Arial" w:cs="Arial" w:eastAsia="Arial" w:hAnsi="Arial"/>
          <w:sz w:val="14"/>
          <w:szCs w:val="14"/>
          <w:i w:val="1"/>
          <w:iCs w:val="1"/>
          <w:color w:val="auto"/>
        </w:rPr>
        <w:t>OS</w:t>
      </w:r>
      <w:r>
        <w:rPr>
          <w:rFonts w:ascii="Arial" w:cs="Arial" w:eastAsia="Arial" w:hAnsi="Arial"/>
          <w:sz w:val="10"/>
          <w:szCs w:val="10"/>
          <w:i w:val="1"/>
          <w:iCs w:val="1"/>
          <w:color w:val="auto"/>
        </w:rPr>
        <w:t>1</w:t>
      </w:r>
      <w:r>
        <w:rPr>
          <w:sz w:val="20"/>
          <w:szCs w:val="20"/>
          <w:color w:val="auto"/>
        </w:rPr>
        <w:tab/>
      </w:r>
      <w:r>
        <w:rPr>
          <w:rFonts w:ascii="Arial" w:cs="Arial" w:eastAsia="Arial" w:hAnsi="Arial"/>
          <w:sz w:val="14"/>
          <w:szCs w:val="14"/>
          <w:color w:val="auto"/>
        </w:rPr>
        <w:t>= the number of shares of our common stock outstanding immediately after the expiration time (excluding all shares of our common stock accepted for purchase or exchange in such tender or exchange offer); and</w:t>
      </w:r>
    </w:p>
    <w:p>
      <w:pPr>
        <w:spacing w:after="0" w:line="52" w:lineRule="exact"/>
        <w:rPr>
          <w:sz w:val="20"/>
          <w:szCs w:val="20"/>
          <w:color w:val="auto"/>
        </w:rPr>
      </w:pPr>
    </w:p>
    <w:p>
      <w:pPr>
        <w:ind w:left="1360" w:right="439" w:hanging="740"/>
        <w:spacing w:after="0" w:line="238" w:lineRule="auto"/>
        <w:tabs>
          <w:tab w:leader="none" w:pos="1340" w:val="left"/>
        </w:tabs>
        <w:rPr>
          <w:sz w:val="20"/>
          <w:szCs w:val="20"/>
          <w:color w:val="auto"/>
        </w:rPr>
      </w:pPr>
      <w:r>
        <w:rPr>
          <w:rFonts w:ascii="Arial" w:cs="Arial" w:eastAsia="Arial" w:hAnsi="Arial"/>
          <w:sz w:val="14"/>
          <w:szCs w:val="14"/>
          <w:i w:val="1"/>
          <w:iCs w:val="1"/>
          <w:color w:val="auto"/>
        </w:rPr>
        <w:t>SP</w:t>
      </w:r>
      <w:r>
        <w:rPr>
          <w:sz w:val="20"/>
          <w:szCs w:val="20"/>
          <w:color w:val="auto"/>
        </w:rPr>
        <w:tab/>
      </w:r>
      <w:r>
        <w:rPr>
          <w:rFonts w:ascii="Arial" w:cs="Arial" w:eastAsia="Arial" w:hAnsi="Arial"/>
          <w:sz w:val="14"/>
          <w:szCs w:val="14"/>
          <w:color w:val="auto"/>
        </w:rPr>
        <w:t>= the average of the last reported sale prices per share of our common stock over the 10 consecutive trading day period (the “tender/exchange offer valuation period”) beginning on, and including, the trading day immediately after the expiration date;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S-37</w:t>
      </w:r>
    </w:p>
    <w:p>
      <w:pPr>
        <w:sectPr>
          <w:pgSz w:w="11900" w:h="16838" w:orient="portrait"/>
          <w:cols w:equalWidth="0" w:num="1">
            <w:col w:w="9019"/>
          </w:cols>
          <w:pgMar w:left="1440" w:top="239" w:right="1440" w:bottom="1440" w:gutter="0" w:footer="0" w:header="0"/>
        </w:sectPr>
      </w:pPr>
    </w:p>
    <w:bookmarkStart w:id="40" w:name="page41"/>
    <w:bookmarkEnd w:id="40"/>
    <w:p>
      <w:pPr>
        <w:ind w:left="700" w:right="399"/>
        <w:spacing w:after="0" w:line="23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the conversion rate will in no event be adjusted down pursuant to the provisions described in this paragraph</w:t>
      </w:r>
      <w:r>
        <w:rPr>
          <w:rFonts w:ascii="Arial" w:cs="Arial" w:eastAsia="Arial" w:hAnsi="Arial"/>
          <w:sz w:val="14"/>
          <w:szCs w:val="14"/>
          <w:i w:val="1"/>
          <w:iCs w:val="1"/>
          <w:color w:val="auto"/>
        </w:rPr>
        <w:t xml:space="preserve"> </w:t>
      </w:r>
      <w:r>
        <w:rPr>
          <w:rFonts w:ascii="Arial" w:cs="Arial" w:eastAsia="Arial" w:hAnsi="Arial"/>
          <w:sz w:val="14"/>
          <w:szCs w:val="14"/>
          <w:color w:val="auto"/>
        </w:rPr>
        <w:t>(5), except to the extent provided in the immediately following paragraph. Notwithstanding anything to the contrary,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consideration due in respect of such conversion, such tender/exchange offer valuation period will be deemed to consist of the trading days occurring in the period from, and including, the trading day immediately after the expiration date to, and including, such conversion date.</w:t>
      </w:r>
    </w:p>
    <w:p>
      <w:pPr>
        <w:spacing w:after="0" w:line="89" w:lineRule="exact"/>
        <w:rPr>
          <w:sz w:val="20"/>
          <w:szCs w:val="20"/>
          <w:color w:val="auto"/>
        </w:rPr>
      </w:pPr>
    </w:p>
    <w:p>
      <w:pPr>
        <w:ind w:left="700" w:right="439"/>
        <w:spacing w:after="0" w:line="234" w:lineRule="auto"/>
        <w:rPr>
          <w:sz w:val="20"/>
          <w:szCs w:val="20"/>
          <w:color w:val="auto"/>
        </w:rPr>
      </w:pPr>
      <w:r>
        <w:rPr>
          <w:rFonts w:ascii="Arial" w:cs="Arial" w:eastAsia="Arial" w:hAnsi="Arial"/>
          <w:sz w:val="14"/>
          <w:szCs w:val="14"/>
          <w:color w:val="auto"/>
        </w:rPr>
        <w:t>To the extent such tender or exchange offer is announced but not consummated (including as a result of being precluded from consummating such tender or exchange offer under applicable law), or any purchases or exchanges of shares of our common stock in such tender or exchange offer are rescinded, the conversion rate will be readjusted to the conversion rate that would then be in effect had the adjustment been made on the basis of only the purchases or exchanges of shares of our common stock, if any, actually made, and not rescinded, in such tender or exchange offer.</w:t>
      </w:r>
    </w:p>
    <w:p>
      <w:pPr>
        <w:spacing w:after="0" w:line="78" w:lineRule="exact"/>
        <w:rPr>
          <w:sz w:val="20"/>
          <w:szCs w:val="20"/>
          <w:color w:val="auto"/>
        </w:rPr>
      </w:pPr>
    </w:p>
    <w:p>
      <w:pPr>
        <w:ind w:left="360" w:right="659"/>
        <w:spacing w:after="0" w:line="238" w:lineRule="auto"/>
        <w:rPr>
          <w:sz w:val="20"/>
          <w:szCs w:val="20"/>
          <w:color w:val="auto"/>
        </w:rPr>
      </w:pPr>
      <w:r>
        <w:rPr>
          <w:rFonts w:ascii="Arial" w:cs="Arial" w:eastAsia="Arial" w:hAnsi="Arial"/>
          <w:sz w:val="14"/>
          <w:szCs w:val="14"/>
          <w:color w:val="auto"/>
        </w:rPr>
        <w:t>We will not be required to adjust the conversion rate except as described above or below under the caption “—Increase in Conversion Rate in Connection with a Make-Whole Fundamental Change.” Without limiting the foregoing, we will not be required to adjust the conversion rate on account of:</w:t>
      </w:r>
    </w:p>
    <w:p>
      <w:pPr>
        <w:spacing w:after="0" w:line="89" w:lineRule="exact"/>
        <w:rPr>
          <w:sz w:val="20"/>
          <w:szCs w:val="20"/>
          <w:color w:val="auto"/>
        </w:rPr>
      </w:pPr>
    </w:p>
    <w:p>
      <w:pPr>
        <w:ind w:left="520" w:right="479" w:hanging="157"/>
        <w:spacing w:after="0" w:line="249"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except as described above, the sale of shares of our common stock for a purchase price that is less than the market price per share of our common stock or less than the conversion price;</w:t>
      </w:r>
    </w:p>
    <w:p>
      <w:pPr>
        <w:spacing w:after="0" w:line="82" w:lineRule="exact"/>
        <w:rPr>
          <w:rFonts w:ascii="Arial" w:cs="Arial" w:eastAsia="Arial" w:hAnsi="Arial"/>
          <w:sz w:val="14"/>
          <w:szCs w:val="14"/>
          <w:color w:val="auto"/>
        </w:rPr>
      </w:pPr>
    </w:p>
    <w:p>
      <w:pPr>
        <w:ind w:left="520" w:right="559" w:hanging="157"/>
        <w:spacing w:after="0" w:line="238"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issuance of any shares of our common stock pursuant to any present or future plan providing for the reinvestment of dividends or interest payable on our securities and the investment of additional optional amounts in shares of our common stock under any such plan;</w:t>
      </w:r>
    </w:p>
    <w:p>
      <w:pPr>
        <w:spacing w:after="0" w:line="89" w:lineRule="exact"/>
        <w:rPr>
          <w:rFonts w:ascii="Arial" w:cs="Arial" w:eastAsia="Arial" w:hAnsi="Arial"/>
          <w:sz w:val="14"/>
          <w:szCs w:val="14"/>
          <w:color w:val="auto"/>
        </w:rPr>
      </w:pPr>
    </w:p>
    <w:p>
      <w:pPr>
        <w:ind w:left="520" w:right="499" w:hanging="157"/>
        <w:spacing w:after="0" w:line="249"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issuance of any shares of our common stock or options or rights to purchase shares of our common stock pursuant to any present or future employee, director or consultant benefit plan or program of, or assumed by, us or any of our subsidiaries;</w:t>
      </w:r>
    </w:p>
    <w:p>
      <w:pPr>
        <w:spacing w:after="0" w:line="82" w:lineRule="exact"/>
        <w:rPr>
          <w:rFonts w:ascii="Arial" w:cs="Arial" w:eastAsia="Arial" w:hAnsi="Arial"/>
          <w:sz w:val="14"/>
          <w:szCs w:val="14"/>
          <w:color w:val="auto"/>
        </w:rPr>
      </w:pPr>
    </w:p>
    <w:p>
      <w:pPr>
        <w:ind w:left="520" w:right="499" w:hanging="157"/>
        <w:spacing w:after="0" w:line="249"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issuance of any shares of our common stock pursuant to any option, warrant, right or convertible or exchangeable security of ours outstanding as of the date we first issue the notes;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solely a change in the par value of our common stock; or</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accrued and unpaid interest on the notes.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Notice of Conversion Rate Adjustments</w:t>
      </w:r>
    </w:p>
    <w:p>
      <w:pPr>
        <w:spacing w:after="0" w:line="93" w:lineRule="exact"/>
        <w:rPr>
          <w:sz w:val="20"/>
          <w:szCs w:val="20"/>
          <w:color w:val="auto"/>
        </w:rPr>
      </w:pPr>
    </w:p>
    <w:p>
      <w:pPr>
        <w:jc w:val="both"/>
        <w:ind w:left="360" w:right="899"/>
        <w:spacing w:after="0" w:line="235" w:lineRule="auto"/>
        <w:rPr>
          <w:sz w:val="20"/>
          <w:szCs w:val="20"/>
          <w:color w:val="auto"/>
        </w:rPr>
      </w:pPr>
      <w:r>
        <w:rPr>
          <w:rFonts w:ascii="Arial" w:cs="Arial" w:eastAsia="Arial" w:hAnsi="Arial"/>
          <w:sz w:val="14"/>
          <w:szCs w:val="14"/>
          <w:color w:val="auto"/>
        </w:rPr>
        <w:t>Upon the effectiveness of any adjustment to the conversion rate pursuant to the provisions described above under the caption “— Conversion Rate Adjustments—Generally,” we will promptly send notice to the noteholders containing (i) a brief description of the transaction or other event on account of which such adjustment was made; (ii) the conversion rate in effect immediately after such adjustment; and (iii) the effective time of such adjustment.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S-38</w:t>
      </w:r>
    </w:p>
    <w:p>
      <w:pPr>
        <w:sectPr>
          <w:pgSz w:w="11900" w:h="16838" w:orient="portrait"/>
          <w:cols w:equalWidth="0" w:num="1">
            <w:col w:w="9019"/>
          </w:cols>
          <w:pgMar w:left="1440" w:top="239" w:right="1440" w:bottom="1440" w:gutter="0" w:footer="0" w:header="0"/>
        </w:sectPr>
      </w:pPr>
    </w:p>
    <w:bookmarkStart w:id="41" w:name="page42"/>
    <w:bookmarkEnd w:id="41"/>
    <w:p>
      <w:pPr>
        <w:ind w:left="3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Voluntary Conversion Rate Increases</w:t>
      </w:r>
    </w:p>
    <w:p>
      <w:pPr>
        <w:spacing w:after="0" w:line="103" w:lineRule="exact"/>
        <w:rPr>
          <w:sz w:val="20"/>
          <w:szCs w:val="20"/>
          <w:color w:val="auto"/>
        </w:rPr>
      </w:pPr>
    </w:p>
    <w:p>
      <w:pPr>
        <w:ind w:left="360" w:right="499"/>
        <w:spacing w:after="0" w:line="281" w:lineRule="auto"/>
        <w:rPr>
          <w:sz w:val="20"/>
          <w:szCs w:val="20"/>
          <w:color w:val="auto"/>
        </w:rPr>
      </w:pPr>
      <w:r>
        <w:rPr>
          <w:rFonts w:ascii="Arial" w:cs="Arial" w:eastAsia="Arial" w:hAnsi="Arial"/>
          <w:sz w:val="12"/>
          <w:szCs w:val="12"/>
          <w:color w:val="auto"/>
        </w:rPr>
        <w:t>To the extent permitted by law and applicable stock exchange rules, we, from time to time, may (but are not required to) increase the conversion rate by any amount if (i) our board of directors determines that such increase is in our best interest or that such increase is advisable to avoid or diminish any income tax imposed on holders of our common stock or rights to purchase our common stock as a result of any dividend or distribution of shares (or rights to acquire shares) of our common stock or any similar event; (ii) such increase is in effect for a period of at least 20 business days; and (iii) such increase is irrevocable during such period.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Tax Considerations</w:t>
      </w:r>
    </w:p>
    <w:p>
      <w:pPr>
        <w:spacing w:after="0" w:line="103" w:lineRule="exact"/>
        <w:rPr>
          <w:sz w:val="20"/>
          <w:szCs w:val="20"/>
          <w:color w:val="auto"/>
        </w:rPr>
      </w:pPr>
    </w:p>
    <w:p>
      <w:pPr>
        <w:ind w:left="360" w:right="479"/>
        <w:spacing w:after="0" w:line="273" w:lineRule="auto"/>
        <w:rPr>
          <w:sz w:val="20"/>
          <w:szCs w:val="20"/>
          <w:color w:val="auto"/>
        </w:rPr>
      </w:pPr>
      <w:r>
        <w:rPr>
          <w:rFonts w:ascii="Arial" w:cs="Arial" w:eastAsia="Arial" w:hAnsi="Arial"/>
          <w:sz w:val="12"/>
          <w:szCs w:val="12"/>
          <w:color w:val="auto"/>
        </w:rPr>
        <w:t>A holder or beneficial owner of the notes may, in some circumstances, including a cash distribution or dividend on our common stock, be deemed to have received a distribution that is subject to U.S. federal income tax as a result of an adjustment or the non-occurrence of an adjustment to the conversion rate. Applicable withholding taxes (including backup withholding) due on such distribution or otherwise due with respect to the notes may be withheld from interest and payments upon conversion, repurchase, redemption or maturity of the notes. In addition, if any withholding taxes (including backup withholding) are paid on behalf of a holder or beneficial owner, then those withholding taxes may be withheld from or set off against payments of cash or the delivery of shares of our common stock, if any, in respect of the notes (or, in some circumstances, any payments on our common stock) or proceeds of any sale, exchange or other disposition of such notes received by, or other funds or assets of, that holder or beneficial owner. For a discussion of the U.S. federal income tax treatment of an adjustment to the conversion rate, see “Material U.S. Federal Income Tax Considerations.”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The Deferral Exception</w:t>
      </w:r>
    </w:p>
    <w:p>
      <w:pPr>
        <w:spacing w:after="0" w:line="103" w:lineRule="exact"/>
        <w:rPr>
          <w:sz w:val="20"/>
          <w:szCs w:val="20"/>
          <w:color w:val="auto"/>
        </w:rPr>
      </w:pPr>
    </w:p>
    <w:p>
      <w:pPr>
        <w:ind w:left="360" w:right="379"/>
        <w:spacing w:after="0" w:line="278" w:lineRule="auto"/>
        <w:rPr>
          <w:sz w:val="20"/>
          <w:szCs w:val="20"/>
          <w:color w:val="auto"/>
        </w:rPr>
      </w:pPr>
      <w:r>
        <w:rPr>
          <w:rFonts w:ascii="Arial" w:cs="Arial" w:eastAsia="Arial" w:hAnsi="Arial"/>
          <w:sz w:val="12"/>
          <w:szCs w:val="12"/>
          <w:color w:val="auto"/>
        </w:rPr>
        <w:t>If an adjustment to the conversion rate otherwise required by the indenture would result in a change of less than 1% to the conversion rate, then we may, at our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1% to the conversion rate; (ii) the conversion date of, or any VWAP trading day of an observation period for, any note; (iii) the date a fundamental change or make-whole fundamental change occurs; (iv) the date we call any notes for redemption; and (v) February 1, 2033. We refer to our ability to defer adjustments as described above as the “deferral exception.”</w:t>
      </w:r>
    </w:p>
    <w:p>
      <w:pPr>
        <w:spacing w:after="0" w:line="167" w:lineRule="exact"/>
        <w:rPr>
          <w:sz w:val="20"/>
          <w:szCs w:val="20"/>
          <w:color w:val="auto"/>
        </w:rPr>
      </w:pPr>
    </w:p>
    <w:p>
      <w:pPr>
        <w:ind w:left="360" w:right="519"/>
        <w:spacing w:after="0" w:line="249" w:lineRule="auto"/>
        <w:rPr>
          <w:sz w:val="20"/>
          <w:szCs w:val="20"/>
          <w:color w:val="auto"/>
        </w:rPr>
      </w:pPr>
      <w:r>
        <w:rPr>
          <w:rFonts w:ascii="Arial" w:cs="Arial" w:eastAsia="Arial" w:hAnsi="Arial"/>
          <w:sz w:val="14"/>
          <w:szCs w:val="14"/>
          <w:i w:val="1"/>
          <w:iCs w:val="1"/>
          <w:color w:val="auto"/>
        </w:rPr>
        <w:t>Special Provisions for Adjustments that Are Not Yet Effective and Where Converting Noteholders Participate in the Relevant Transaction or Event</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Notwithstanding anything to the contrary, if:</w:t>
      </w:r>
    </w:p>
    <w:p>
      <w:pPr>
        <w:spacing w:after="0" w:line="103" w:lineRule="exact"/>
        <w:rPr>
          <w:sz w:val="20"/>
          <w:szCs w:val="20"/>
          <w:color w:val="auto"/>
        </w:rPr>
      </w:pPr>
    </w:p>
    <w:p>
      <w:pPr>
        <w:ind w:left="520" w:hanging="1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note is to be converted pursuant to physical settlement or combination settlement;</w:t>
      </w:r>
    </w:p>
    <w:p>
      <w:pPr>
        <w:spacing w:after="0" w:line="102" w:lineRule="exact"/>
        <w:rPr>
          <w:rFonts w:ascii="Arial" w:cs="Arial" w:eastAsia="Arial" w:hAnsi="Arial"/>
          <w:sz w:val="14"/>
          <w:szCs w:val="14"/>
          <w:color w:val="auto"/>
        </w:rPr>
      </w:pPr>
    </w:p>
    <w:p>
      <w:pPr>
        <w:ind w:left="520" w:right="499" w:hanging="157"/>
        <w:spacing w:after="0" w:line="234"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record date, effective date or expiration time for any event that requires an adjustment to the conversion rate pursuant to the provisions described above under the caption “—Conversion Rate Adjustments—Generally”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87" w:lineRule="exact"/>
        <w:rPr>
          <w:rFonts w:ascii="Arial" w:cs="Arial" w:eastAsia="Arial" w:hAnsi="Arial"/>
          <w:sz w:val="14"/>
          <w:szCs w:val="14"/>
          <w:color w:val="auto"/>
        </w:rPr>
      </w:pPr>
    </w:p>
    <w:p>
      <w:pPr>
        <w:ind w:left="520" w:right="379" w:hanging="157"/>
        <w:spacing w:after="0" w:line="23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consideration due upon such conversion includes any whole shares of our common stock (in the case of physical settlement) or due in respect of such VWAP trading day includes any whole or fractional shares of our common stock (in the case of combination settlement); and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S-39</w:t>
      </w:r>
    </w:p>
    <w:p>
      <w:pPr>
        <w:sectPr>
          <w:pgSz w:w="11900" w:h="16838" w:orient="portrait"/>
          <w:cols w:equalWidth="0" w:num="1">
            <w:col w:w="9019"/>
          </w:cols>
          <w:pgMar w:left="1440" w:top="239" w:right="1440" w:bottom="1440" w:gutter="0" w:footer="0" w:header="0"/>
        </w:sectPr>
      </w:pPr>
    </w:p>
    <w:bookmarkStart w:id="42" w:name="page43"/>
    <w:bookmarkEnd w:id="42"/>
    <w:p>
      <w:pPr>
        <w:ind w:left="360"/>
        <w:spacing w:after="0"/>
        <w:tabs>
          <w:tab w:leader="none" w:pos="5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t>
      </w:r>
      <w:r>
        <w:rPr>
          <w:sz w:val="20"/>
          <w:szCs w:val="20"/>
          <w:color w:val="auto"/>
        </w:rPr>
        <w:tab/>
      </w:r>
      <w:r>
        <w:rPr>
          <w:rFonts w:ascii="Arial" w:cs="Arial" w:eastAsia="Arial" w:hAnsi="Arial"/>
          <w:sz w:val="12"/>
          <w:szCs w:val="12"/>
          <w:color w:val="auto"/>
        </w:rPr>
        <w:t>such shares are not entitled to participate in such event (because they were not held on the related record date or otherwise),</w:t>
      </w:r>
    </w:p>
    <w:p>
      <w:pPr>
        <w:spacing w:after="0" w:line="103" w:lineRule="exact"/>
        <w:rPr>
          <w:sz w:val="20"/>
          <w:szCs w:val="20"/>
          <w:color w:val="auto"/>
        </w:rPr>
      </w:pPr>
    </w:p>
    <w:p>
      <w:pPr>
        <w:ind w:left="360" w:right="439"/>
        <w:spacing w:after="0" w:line="287" w:lineRule="auto"/>
        <w:rPr>
          <w:sz w:val="20"/>
          <w:szCs w:val="20"/>
          <w:color w:val="auto"/>
        </w:rPr>
      </w:pPr>
      <w:r>
        <w:rPr>
          <w:rFonts w:ascii="Arial" w:cs="Arial" w:eastAsia="Arial" w:hAnsi="Arial"/>
          <w:sz w:val="12"/>
          <w:szCs w:val="12"/>
          <w:color w:val="auto"/>
        </w:rPr>
        <w:t>then, solely for purposes of such conversion, we will, without duplication, give effect to such adjustment on such conversion date (in the case of physical settlement) or such VWAP trading day (in the case of combination settlement). In such case, if the date we are otherwise required to deliver the consideration due upon such conversion is before the first date on which the amount of such adjustment can be determined, then we will delay the settlement of such conversion until the second business day after such first date.</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Notwithstanding anything to the contrary, if:</w:t>
      </w:r>
    </w:p>
    <w:p>
      <w:pPr>
        <w:spacing w:after="0" w:line="103" w:lineRule="exact"/>
        <w:rPr>
          <w:sz w:val="20"/>
          <w:szCs w:val="20"/>
          <w:color w:val="auto"/>
        </w:rPr>
      </w:pPr>
    </w:p>
    <w:p>
      <w:pPr>
        <w:ind w:left="520" w:right="719" w:hanging="157"/>
        <w:spacing w:after="0" w:line="249"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conversion rate adjustment for any dividend or distribution becomes effective on any ex-dividend date pursuant to the provisions described above under the caption “—Conversion Rate Adjustments—Generally”;</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note is to be converted pursuant to physical settlement or combination settlement;</w:t>
      </w:r>
    </w:p>
    <w:p>
      <w:pPr>
        <w:spacing w:after="0" w:line="102" w:lineRule="exact"/>
        <w:rPr>
          <w:rFonts w:ascii="Arial" w:cs="Arial" w:eastAsia="Arial" w:hAnsi="Arial"/>
          <w:sz w:val="14"/>
          <w:szCs w:val="14"/>
          <w:color w:val="auto"/>
        </w:rPr>
      </w:pPr>
    </w:p>
    <w:p>
      <w:pPr>
        <w:ind w:left="520" w:right="399" w:hanging="157"/>
        <w:spacing w:after="0" w:line="331" w:lineRule="auto"/>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35" w:lineRule="exact"/>
        <w:rPr>
          <w:rFonts w:ascii="Arial" w:cs="Arial" w:eastAsia="Arial" w:hAnsi="Arial"/>
          <w:sz w:val="12"/>
          <w:szCs w:val="12"/>
          <w:color w:val="auto"/>
        </w:rPr>
      </w:pPr>
    </w:p>
    <w:p>
      <w:pPr>
        <w:ind w:left="520" w:right="379" w:hanging="157"/>
        <w:spacing w:after="0" w:line="238"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consideration due upon such conversion includes any whole shares of our common stock (in the case of physical settlement) or due in respect of such VWAP trading day includes any whole or fractional shares of our common stock (in the case of combination settlement), in each case based on a conversion rate that is adjusted for such dividend or distribution; and</w:t>
      </w:r>
    </w:p>
    <w:p>
      <w:pPr>
        <w:spacing w:after="0" w:line="89" w:lineRule="exact"/>
        <w:rPr>
          <w:rFonts w:ascii="Arial" w:cs="Arial" w:eastAsia="Arial" w:hAnsi="Arial"/>
          <w:sz w:val="14"/>
          <w:szCs w:val="14"/>
          <w:color w:val="auto"/>
        </w:rPr>
      </w:pPr>
    </w:p>
    <w:p>
      <w:pPr>
        <w:ind w:left="520" w:hanging="1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such shares would be entitled to participate in such dividend or distribution,</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then:</w:t>
      </w:r>
    </w:p>
    <w:p>
      <w:pPr>
        <w:spacing w:after="0" w:line="103" w:lineRule="exact"/>
        <w:rPr>
          <w:sz w:val="20"/>
          <w:szCs w:val="20"/>
          <w:color w:val="auto"/>
        </w:rPr>
      </w:pPr>
    </w:p>
    <w:p>
      <w:pPr>
        <w:ind w:left="520" w:right="399" w:hanging="157"/>
        <w:spacing w:after="0" w:line="234"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case of physical settlement, such conversion rate adjustment will not be given effect for such conversion and the shares of our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had such shares been entitled to participate in such dividend or distribution; and</w:t>
      </w:r>
    </w:p>
    <w:p>
      <w:pPr>
        <w:spacing w:after="0" w:line="87" w:lineRule="exact"/>
        <w:rPr>
          <w:rFonts w:ascii="Arial" w:cs="Arial" w:eastAsia="Arial" w:hAnsi="Arial"/>
          <w:sz w:val="14"/>
          <w:szCs w:val="14"/>
          <w:color w:val="auto"/>
        </w:rPr>
      </w:pPr>
    </w:p>
    <w:p>
      <w:pPr>
        <w:ind w:left="520" w:right="479" w:hanging="157"/>
        <w:spacing w:after="0" w:line="238"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case of combination settlement, the conversion rate adjustment relating to such ex-dividend date will be made for such conversion in respect of such VWAP trading day, but the shares of our common stock issuable with respect to such VWAP trading day based on such adjusted conversion rate will not be entitled to participate in such dividend or distribution.</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Stockholder Rights Plans</w:t>
      </w:r>
    </w:p>
    <w:p>
      <w:pPr>
        <w:spacing w:after="0" w:line="103" w:lineRule="exact"/>
        <w:rPr>
          <w:sz w:val="20"/>
          <w:szCs w:val="20"/>
          <w:color w:val="auto"/>
        </w:rPr>
      </w:pPr>
    </w:p>
    <w:p>
      <w:pPr>
        <w:ind w:left="360" w:right="439"/>
        <w:spacing w:after="0" w:line="231" w:lineRule="auto"/>
        <w:rPr>
          <w:sz w:val="20"/>
          <w:szCs w:val="20"/>
          <w:color w:val="auto"/>
        </w:rPr>
      </w:pPr>
      <w:r>
        <w:rPr>
          <w:rFonts w:ascii="Arial" w:cs="Arial" w:eastAsia="Arial" w:hAnsi="Arial"/>
          <w:sz w:val="14"/>
          <w:szCs w:val="14"/>
          <w:color w:val="auto"/>
        </w:rPr>
        <w:t>If any shares of our common stock are to be issued upon conversion of any note and, at the time of such conversion, we have in effect any stockholder rights plan, then the holder of that note will be entitled to receive, in addition to, and concurrently with the delivery of, the consideration otherwise due upon such conversion, the rights set forth in such stockholder rights plan, unless such rights have separated from our common stock at such time, in which case, and only in such case, the conversion rate will be adjusted pursuant to the provisions described above in paragraph (3)(a) under the caption “—Conversion Rate Adjustments—Generally” on account of such separation as if, at the time of such separation, we had made a distribution of the type referred to in such paragraph to all holders of our common stock, subject to potential readjustment pursuant to the provisions described in such paragraph. We currently do not have a stockholder rights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S-40</w:t>
      </w:r>
    </w:p>
    <w:p>
      <w:pPr>
        <w:sectPr>
          <w:pgSz w:w="11900" w:h="16838" w:orient="portrait"/>
          <w:cols w:equalWidth="0" w:num="1">
            <w:col w:w="9019"/>
          </w:cols>
          <w:pgMar w:left="1440" w:top="239" w:right="1440" w:bottom="1440" w:gutter="0" w:footer="0" w:header="0"/>
        </w:sectPr>
      </w:pPr>
    </w:p>
    <w:bookmarkStart w:id="43" w:name="page44"/>
    <w:bookmarkEnd w:id="43"/>
    <w:p>
      <w:pPr>
        <w:ind w:left="360" w:right="3239"/>
        <w:spacing w:after="0" w:line="385" w:lineRule="auto"/>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Increase in Conversion Rate in Connection with a Make-Whole Fundamental Change Generally</w:t>
      </w:r>
    </w:p>
    <w:p>
      <w:pPr>
        <w:spacing w:after="0" w:line="1" w:lineRule="exact"/>
        <w:rPr>
          <w:sz w:val="20"/>
          <w:szCs w:val="20"/>
          <w:color w:val="auto"/>
        </w:rPr>
      </w:pPr>
    </w:p>
    <w:p>
      <w:pPr>
        <w:ind w:left="360" w:right="499"/>
        <w:spacing w:after="0" w:line="232" w:lineRule="auto"/>
        <w:rPr>
          <w:sz w:val="20"/>
          <w:szCs w:val="20"/>
          <w:color w:val="auto"/>
        </w:rPr>
      </w:pPr>
      <w:r>
        <w:rPr>
          <w:rFonts w:ascii="Arial" w:cs="Arial" w:eastAsia="Arial" w:hAnsi="Arial"/>
          <w:sz w:val="14"/>
          <w:szCs w:val="14"/>
          <w:color w:val="auto"/>
        </w:rPr>
        <w:t>If a make-whole fundamental change occurs and the conversion date for the conversion of a note occurs during the related “make-whole fundamental change conversion period” (as defined below under the caption “—Definitions”), then, subject to the provisions described below, the conversion rate applicable to such conversion will be increased by a number of shares (the “additional shares”) set forth in the table below corresponding (after interpolation as described below) to the “make-whole fundamental change effective date” (as defined below under the caption “—Definitions”) and the “stock price” (as defined below under the caption “—Definitions”) of such make-whole fundamental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66040</wp:posOffset>
            </wp:positionV>
            <wp:extent cx="525907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p>
      <w:pPr>
        <w:spacing w:after="0" w:line="122" w:lineRule="exact"/>
        <w:rPr>
          <w:sz w:val="20"/>
          <w:szCs w:val="20"/>
          <w:color w:val="auto"/>
        </w:rPr>
      </w:pPr>
    </w:p>
    <w:tbl>
      <w:tblPr>
        <w:tblLayout w:type="fixed"/>
        <w:tblInd w:w="360" w:type="dxa"/>
        <w:tblCellMar>
          <w:top w:w="0" w:type="dxa"/>
          <w:left w:w="0" w:type="dxa"/>
          <w:bottom w:w="0" w:type="dxa"/>
          <w:right w:w="0" w:type="dxa"/>
        </w:tblCellMar>
      </w:tblPr>
      <w:tr>
        <w:trPr>
          <w:trHeight w:val="114"/>
        </w:trPr>
        <w:tc>
          <w:tcPr>
            <w:tcW w:w="19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Make-whole</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3"/>
          </w:tcPr>
          <w:p>
            <w:pPr>
              <w:ind w:left="20"/>
              <w:spacing w:after="0"/>
              <w:rPr>
                <w:sz w:val="20"/>
                <w:szCs w:val="20"/>
                <w:color w:val="auto"/>
              </w:rPr>
            </w:pPr>
            <w:r>
              <w:rPr>
                <w:rFonts w:ascii="Arial" w:cs="Arial" w:eastAsia="Arial" w:hAnsi="Arial"/>
                <w:sz w:val="9"/>
                <w:szCs w:val="9"/>
                <w:b w:val="1"/>
                <w:bCs w:val="1"/>
                <w:color w:val="auto"/>
              </w:rPr>
              <w:t>Stock price</w:t>
            </w:r>
          </w:p>
        </w:tc>
        <w:tc>
          <w:tcPr>
            <w:tcW w:w="0" w:type="dxa"/>
            <w:vAlign w:val="bottom"/>
          </w:tcPr>
          <w:p>
            <w:pPr>
              <w:spacing w:after="0"/>
              <w:rPr>
                <w:sz w:val="1"/>
                <w:szCs w:val="1"/>
                <w:color w:val="auto"/>
              </w:rPr>
            </w:pPr>
          </w:p>
        </w:tc>
      </w:tr>
      <w:tr>
        <w:trPr>
          <w:trHeight w:val="69"/>
        </w:trPr>
        <w:tc>
          <w:tcPr>
            <w:tcW w:w="1900" w:type="dxa"/>
            <w:vAlign w:val="bottom"/>
            <w:gridSpan w:val="2"/>
            <w:vMerge w:val="continue"/>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900" w:type="dxa"/>
            <w:vAlign w:val="bottom"/>
            <w:gridSpan w:val="2"/>
          </w:tcPr>
          <w:p>
            <w:pPr>
              <w:spacing w:after="0" w:line="102" w:lineRule="exact"/>
              <w:rPr>
                <w:sz w:val="20"/>
                <w:szCs w:val="20"/>
                <w:color w:val="auto"/>
              </w:rPr>
            </w:pPr>
            <w:r>
              <w:rPr>
                <w:rFonts w:ascii="Arial" w:cs="Arial" w:eastAsia="Arial" w:hAnsi="Arial"/>
                <w:sz w:val="9"/>
                <w:szCs w:val="9"/>
                <w:b w:val="1"/>
                <w:bCs w:val="1"/>
                <w:color w:val="auto"/>
              </w:rPr>
              <w:t>fundamental</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900" w:type="dxa"/>
            <w:vAlign w:val="bottom"/>
            <w:gridSpan w:val="2"/>
          </w:tcPr>
          <w:p>
            <w:pPr>
              <w:spacing w:after="0" w:line="102" w:lineRule="exact"/>
              <w:rPr>
                <w:sz w:val="20"/>
                <w:szCs w:val="20"/>
                <w:color w:val="auto"/>
              </w:rPr>
            </w:pPr>
            <w:r>
              <w:rPr>
                <w:rFonts w:ascii="Arial" w:cs="Arial" w:eastAsia="Arial" w:hAnsi="Arial"/>
                <w:sz w:val="9"/>
                <w:szCs w:val="9"/>
                <w:b w:val="1"/>
                <w:bCs w:val="1"/>
                <w:color w:val="auto"/>
              </w:rPr>
              <w:t>change effective</w:t>
            </w: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$142.00</w:t>
            </w:r>
          </w:p>
        </w:tc>
        <w:tc>
          <w:tcPr>
            <w:tcW w:w="12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$165.00</w:t>
            </w:r>
          </w:p>
        </w:tc>
        <w:tc>
          <w:tcPr>
            <w:tcW w:w="120" w:type="dxa"/>
            <w:vAlign w:val="bottom"/>
          </w:tcPr>
          <w:p>
            <w:pPr>
              <w:spacing w:after="0"/>
              <w:rPr>
                <w:sz w:val="8"/>
                <w:szCs w:val="8"/>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9"/>
                <w:szCs w:val="9"/>
                <w:b w:val="1"/>
                <w:bCs w:val="1"/>
                <w:color w:val="auto"/>
              </w:rPr>
              <w:t>$198.80</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9"/>
                <w:szCs w:val="9"/>
                <w:b w:val="1"/>
                <w:bCs w:val="1"/>
                <w:color w:val="auto"/>
              </w:rPr>
              <w:t>$225.00</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$258.44</w:t>
            </w:r>
          </w:p>
        </w:tc>
        <w:tc>
          <w:tcPr>
            <w:tcW w:w="12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$300.00</w:t>
            </w:r>
          </w:p>
        </w:tc>
        <w:tc>
          <w:tcPr>
            <w:tcW w:w="10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b w:val="1"/>
                <w:bCs w:val="1"/>
                <w:color w:val="auto"/>
              </w:rPr>
              <w:t>$400.00</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b w:val="1"/>
                <w:bCs w:val="1"/>
                <w:color w:val="auto"/>
              </w:rPr>
              <w:t>$500.00</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$600.00</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$700.00</w:t>
            </w:r>
          </w:p>
        </w:tc>
        <w:tc>
          <w:tcPr>
            <w:tcW w:w="12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b w:val="1"/>
                <w:bCs w:val="1"/>
                <w:color w:val="auto"/>
              </w:rPr>
              <w:t>$850.00</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9"/>
                <w:szCs w:val="9"/>
                <w:b w:val="1"/>
                <w:bCs w:val="1"/>
                <w:color w:val="auto"/>
              </w:rPr>
              <w:t>$1,000.00</w:t>
            </w:r>
          </w:p>
        </w:tc>
        <w:tc>
          <w:tcPr>
            <w:tcW w:w="5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$1,250.00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date</w:t>
            </w:r>
          </w:p>
        </w:tc>
        <w:tc>
          <w:tcPr>
            <w:tcW w:w="3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gridSpan w:val="2"/>
            <w:vMerge w:val="continue"/>
          </w:tcPr>
          <w:p>
            <w:pPr>
              <w:spacing w:after="0"/>
              <w:rPr>
                <w:sz w:val="9"/>
                <w:szCs w:val="9"/>
                <w:color w:val="auto"/>
              </w:rPr>
            </w:pPr>
          </w:p>
        </w:tc>
        <w:tc>
          <w:tcPr>
            <w:tcW w:w="520" w:type="dxa"/>
            <w:vAlign w:val="bottom"/>
            <w:tcBorders>
              <w:bottom w:val="single" w:sz="8" w:color="auto"/>
            </w:tcBorders>
            <w:gridSpan w:val="2"/>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April 17, 2026</w:t>
            </w:r>
          </w:p>
        </w:tc>
        <w:tc>
          <w:tcPr>
            <w:tcW w:w="4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2.0120</w:t>
            </w:r>
          </w:p>
        </w:tc>
        <w:tc>
          <w:tcPr>
            <w:tcW w:w="4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1.5714</w:t>
            </w:r>
          </w:p>
        </w:tc>
        <w:tc>
          <w:tcPr>
            <w:tcW w:w="4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1.1392</w:t>
            </w:r>
          </w:p>
        </w:tc>
        <w:tc>
          <w:tcPr>
            <w:tcW w:w="4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0.9106</w:t>
            </w:r>
          </w:p>
        </w:tc>
        <w:tc>
          <w:tcPr>
            <w:tcW w:w="50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0.7008</w:t>
            </w:r>
          </w:p>
        </w:tc>
        <w:tc>
          <w:tcPr>
            <w:tcW w:w="4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0.5207</w:t>
            </w:r>
          </w:p>
        </w:tc>
        <w:tc>
          <w:tcPr>
            <w:tcW w:w="50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0.2773</w:t>
            </w:r>
          </w:p>
        </w:tc>
        <w:tc>
          <w:tcPr>
            <w:tcW w:w="4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0.1582</w:t>
            </w:r>
          </w:p>
        </w:tc>
        <w:tc>
          <w:tcPr>
            <w:tcW w:w="48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0.0931</w:t>
            </w:r>
          </w:p>
        </w:tc>
        <w:tc>
          <w:tcPr>
            <w:tcW w:w="50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0.0550</w:t>
            </w:r>
          </w:p>
        </w:tc>
        <w:tc>
          <w:tcPr>
            <w:tcW w:w="4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0.0237</w:t>
            </w:r>
          </w:p>
        </w:tc>
        <w:tc>
          <w:tcPr>
            <w:tcW w:w="4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0.0086</w:t>
            </w:r>
          </w:p>
        </w:tc>
        <w:tc>
          <w:tcPr>
            <w:tcW w:w="5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May 1, 2027</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1.5714</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1.1392</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0.9106</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0.6974</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0.5120</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0.2655</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0.1476</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0.0845</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0.0484</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0.0198</w:t>
            </w: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0.0065</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May 1, 2028</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1.5714</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1.1392</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0.9028</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0.6783</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0.4898</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0.2442</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0.1306</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0.0717</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0.0391</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0.0142</w:t>
            </w: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0.0037</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May 1, 2029</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1.5714</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1.1262</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0.8688</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0.6397</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0.4507</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0.2121</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0.1068</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0.0548</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0.0274</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0.0081</w:t>
            </w: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0.0011</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May 1, 2030</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1.5714</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1.0711</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0.8059</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0.5749</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0.3897</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0.1672</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0.0764</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0.0349</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0.0148</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0.0025</w:t>
            </w: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0.0000</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May 1, 2031</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1.5233</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0.9648</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0.6943</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0.4680</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0.2959</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0.1077</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0.0411</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0.0146</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0.0039</w:t>
            </w:r>
          </w:p>
        </w:tc>
        <w:tc>
          <w:tcPr>
            <w:tcW w:w="4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0.0000</w:t>
            </w: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May 1, 2032</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2.0120</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1.3586</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0.7534</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0.4863</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0.2862</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0.1544</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0.0392</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0.0094</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0.0012</w:t>
            </w:r>
          </w:p>
        </w:tc>
        <w:tc>
          <w:tcPr>
            <w:tcW w:w="5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0.0000</w:t>
            </w:r>
          </w:p>
        </w:tc>
        <w:tc>
          <w:tcPr>
            <w:tcW w:w="4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0.0000</w:t>
            </w: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0.0000</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20"/>
                <w:szCs w:val="20"/>
                <w:color w:val="auto"/>
              </w:rPr>
            </w:pPr>
            <w:r>
              <w:rPr>
                <w:rFonts w:ascii="Arial" w:cs="Arial" w:eastAsia="Arial" w:hAnsi="Arial"/>
                <w:sz w:val="11"/>
                <w:szCs w:val="11"/>
                <w:color w:val="auto"/>
              </w:rPr>
              <w:t>May 1, 2033</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2.0120</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1.0304</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0.0000</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0.0000</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0.0000</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0.0000</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0.0000</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such make-whole fundamental change effective date or stock price is not set forth in the table above, then:</w:t>
      </w:r>
    </w:p>
    <w:p>
      <w:pPr>
        <w:spacing w:after="0" w:line="103" w:lineRule="exact"/>
        <w:rPr>
          <w:sz w:val="20"/>
          <w:szCs w:val="20"/>
          <w:color w:val="auto"/>
        </w:rPr>
      </w:pPr>
    </w:p>
    <w:p>
      <w:pPr>
        <w:ind w:left="520" w:right="439" w:hanging="157"/>
        <w:spacing w:after="0" w:line="235"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90" w:lineRule="exact"/>
        <w:rPr>
          <w:rFonts w:ascii="Arial" w:cs="Arial" w:eastAsia="Arial" w:hAnsi="Arial"/>
          <w:sz w:val="14"/>
          <w:szCs w:val="14"/>
          <w:color w:val="auto"/>
        </w:rPr>
      </w:pPr>
    </w:p>
    <w:p>
      <w:pPr>
        <w:ind w:left="520" w:right="759" w:hanging="157"/>
        <w:spacing w:after="0" w:line="235"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if the stock price is greater than $1,250.00 (subject to adjustment in the same manner as the stock prices set forth in the column headings of the table above are adjusted, as described below under the caption “—Adjustment of Stock Prices and Number of Additional Shares”), or less than $142.00 (subject to adjustment in the same manner), per share, then no additional shares will be added to the conversion rate.</w:t>
      </w:r>
    </w:p>
    <w:p>
      <w:pPr>
        <w:spacing w:after="0" w:line="90" w:lineRule="exact"/>
        <w:rPr>
          <w:sz w:val="20"/>
          <w:szCs w:val="20"/>
          <w:color w:val="auto"/>
        </w:rPr>
      </w:pPr>
    </w:p>
    <w:p>
      <w:pPr>
        <w:ind w:left="360" w:right="379"/>
        <w:spacing w:after="0" w:line="235" w:lineRule="auto"/>
        <w:rPr>
          <w:sz w:val="20"/>
          <w:szCs w:val="20"/>
          <w:color w:val="auto"/>
        </w:rPr>
      </w:pPr>
      <w:r>
        <w:rPr>
          <w:rFonts w:ascii="Arial" w:cs="Arial" w:eastAsia="Arial" w:hAnsi="Arial"/>
          <w:sz w:val="14"/>
          <w:szCs w:val="14"/>
          <w:color w:val="auto"/>
        </w:rPr>
        <w:t>Notwithstanding anything to the contrary, in no event will the conversion rate be increased to an amount that exceeds 7.0422 shares of our common stock per $1,000 principal amount of notes, which amount is subject to adjustment in the same manner as, and at the same time and for the same events for which, the conversion rate is required to be adjusted pursuant to the provisions described above under the caption “—Conversion Rate Adjustments—Generally.”</w:t>
      </w:r>
    </w:p>
    <w:p>
      <w:pPr>
        <w:spacing w:after="0" w:line="80" w:lineRule="exact"/>
        <w:rPr>
          <w:sz w:val="20"/>
          <w:szCs w:val="20"/>
          <w:color w:val="auto"/>
        </w:rPr>
      </w:pPr>
    </w:p>
    <w:p>
      <w:pPr>
        <w:ind w:left="360" w:right="479"/>
        <w:spacing w:after="0" w:line="234" w:lineRule="auto"/>
        <w:rPr>
          <w:sz w:val="20"/>
          <w:szCs w:val="20"/>
          <w:color w:val="auto"/>
        </w:rPr>
      </w:pPr>
      <w:r>
        <w:rPr>
          <w:rFonts w:ascii="Arial" w:cs="Arial" w:eastAsia="Arial" w:hAnsi="Arial"/>
          <w:sz w:val="14"/>
          <w:szCs w:val="14"/>
          <w:color w:val="auto"/>
        </w:rPr>
        <w:t>For the avoidance of doubt, calling any notes for redemption will constitute a make-whole fundamental change only with respect to the notes called for redemption, and not with respect to the notes not called for redemption. Accordingly, if we elect to redeem less than all of the outstanding notes, then holders of the notes not called for redemption will not be entitled to an increased conversion rate for such notes as described above on account of the redemption, except to the limited extent described above under the caption “—Optional Redemption.”</w:t>
      </w:r>
    </w:p>
    <w:p>
      <w:pPr>
        <w:spacing w:after="0" w:line="88" w:lineRule="exact"/>
        <w:rPr>
          <w:sz w:val="20"/>
          <w:szCs w:val="20"/>
          <w:color w:val="auto"/>
        </w:rPr>
      </w:pPr>
    </w:p>
    <w:p>
      <w:pPr>
        <w:ind w:left="360" w:right="919"/>
        <w:spacing w:after="0" w:line="249" w:lineRule="auto"/>
        <w:rPr>
          <w:sz w:val="20"/>
          <w:szCs w:val="20"/>
          <w:color w:val="auto"/>
        </w:rPr>
      </w:pPr>
      <w:r>
        <w:rPr>
          <w:rFonts w:ascii="Arial" w:cs="Arial" w:eastAsia="Arial" w:hAnsi="Arial"/>
          <w:sz w:val="14"/>
          <w:szCs w:val="14"/>
          <w:color w:val="auto"/>
        </w:rPr>
        <w:t>As set forth in the definition of “make-whole fundamental change conversion period” below under the caption “—Definitions,” if the conversion date for the conversion of a note occurs during a make-whole fundamental</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S-41</w:t>
      </w:r>
    </w:p>
    <w:p>
      <w:pPr>
        <w:sectPr>
          <w:pgSz w:w="11900" w:h="16838" w:orient="portrait"/>
          <w:cols w:equalWidth="0" w:num="1">
            <w:col w:w="9019"/>
          </w:cols>
          <w:pgMar w:left="1440" w:top="239" w:right="1440" w:bottom="1440" w:gutter="0" w:footer="0" w:header="0"/>
        </w:sectPr>
      </w:pPr>
    </w:p>
    <w:bookmarkStart w:id="44" w:name="page45"/>
    <w:bookmarkEnd w:id="44"/>
    <w:p>
      <w:pPr>
        <w:ind w:left="360" w:right="47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change conversion period relating to both a make-whole fundamental change resulting from our calling notes for redemption and another make-whole fundamental change, then, solely for purposes of that conversion, such conversion date will be deemed to occur only during the period relating to the make-whole fundamental change with the earlier make-whole fundamental change effective date. In that circumstance, the make-whole fundamental change with the later make-whole fundamental change effective date will be deemed not to occur for purposes of such conversion.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Adjustment of Stock Prices and Number of Additional Shares</w:t>
      </w:r>
    </w:p>
    <w:p>
      <w:pPr>
        <w:spacing w:after="0" w:line="103" w:lineRule="exact"/>
        <w:rPr>
          <w:sz w:val="20"/>
          <w:szCs w:val="20"/>
          <w:color w:val="auto"/>
        </w:rPr>
      </w:pPr>
    </w:p>
    <w:p>
      <w:pPr>
        <w:ind w:left="360" w:right="399"/>
        <w:spacing w:after="0" w:line="234" w:lineRule="auto"/>
        <w:rPr>
          <w:sz w:val="20"/>
          <w:szCs w:val="20"/>
          <w:color w:val="auto"/>
        </w:rPr>
      </w:pPr>
      <w:r>
        <w:rPr>
          <w:rFonts w:ascii="Arial" w:cs="Arial" w:eastAsia="Arial" w:hAnsi="Arial"/>
          <w:sz w:val="14"/>
          <w:szCs w:val="14"/>
          <w:color w:val="auto"/>
        </w:rPr>
        <w:t>The stock prices in the first row (</w:t>
      </w:r>
      <w:r>
        <w:rPr>
          <w:rFonts w:ascii="Arial" w:cs="Arial" w:eastAsia="Arial" w:hAnsi="Arial"/>
          <w:sz w:val="14"/>
          <w:szCs w:val="14"/>
          <w:i w:val="1"/>
          <w:iCs w:val="1"/>
          <w:color w:val="auto"/>
        </w:rPr>
        <w:t>i.e.</w:t>
      </w:r>
      <w:r>
        <w:rPr>
          <w:rFonts w:ascii="Arial" w:cs="Arial" w:eastAsia="Arial" w:hAnsi="Arial"/>
          <w:sz w:val="14"/>
          <w:szCs w:val="14"/>
          <w:color w:val="auto"/>
        </w:rPr>
        <w:t>, the column headers) of the table above will be adjusted in the same manner as, and at the same time and for the same events for which, the conversion price is adjusted as a result of the operation of the provisions described above under the caption “—Conversion Rate Adjustments—Generally.” The numbers of additional shares in the table above will be adjusted in the same manner as, and at the same time and for the same events for which, the conversion rate is adjusted pursuant to the provisions described above under the caption “—Conversion Rate Adjustments—Generally.”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of Make-Whole Fundamental Change</w:t>
      </w:r>
    </w:p>
    <w:p>
      <w:pPr>
        <w:spacing w:after="0" w:line="103" w:lineRule="exact"/>
        <w:rPr>
          <w:sz w:val="20"/>
          <w:szCs w:val="20"/>
          <w:color w:val="auto"/>
        </w:rPr>
      </w:pPr>
    </w:p>
    <w:p>
      <w:pPr>
        <w:ind w:left="360" w:right="399"/>
        <w:spacing w:after="0" w:line="238" w:lineRule="auto"/>
        <w:rPr>
          <w:sz w:val="20"/>
          <w:szCs w:val="20"/>
          <w:color w:val="auto"/>
        </w:rPr>
      </w:pPr>
      <w:r>
        <w:rPr>
          <w:rFonts w:ascii="Arial" w:cs="Arial" w:eastAsia="Arial" w:hAnsi="Arial"/>
          <w:sz w:val="14"/>
          <w:szCs w:val="14"/>
          <w:color w:val="auto"/>
        </w:rPr>
        <w:t>We will notify noteholders of each make-whole fundamental change in accordance with the provisions described above under the captions “—When the Notes May Be Converted—Conversion Upon Specified Corporate Events—Certain Corporate Events” and “—Optional Redemption.”</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Enforceability</w:t>
      </w:r>
    </w:p>
    <w:p>
      <w:pPr>
        <w:spacing w:after="0" w:line="103" w:lineRule="exact"/>
        <w:rPr>
          <w:sz w:val="20"/>
          <w:szCs w:val="20"/>
          <w:color w:val="auto"/>
        </w:rPr>
      </w:pPr>
    </w:p>
    <w:p>
      <w:pPr>
        <w:ind w:left="360" w:right="599"/>
        <w:spacing w:after="0" w:line="331" w:lineRule="auto"/>
        <w:rPr>
          <w:sz w:val="20"/>
          <w:szCs w:val="20"/>
          <w:color w:val="auto"/>
        </w:rPr>
      </w:pPr>
      <w:r>
        <w:rPr>
          <w:rFonts w:ascii="Arial" w:cs="Arial" w:eastAsia="Arial" w:hAnsi="Arial"/>
          <w:sz w:val="12"/>
          <w:szCs w:val="12"/>
          <w:color w:val="auto"/>
        </w:rPr>
        <w:t>Our obligation to increase the conversion rate as described above in connection with a make-whole fundamental change could be considered a penalty, in which case its enforceability would be subject to general principles of reasonableness and equitable remedies.</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Effect of Common Stock Change Event</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Generally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there occurs any:</w:t>
      </w:r>
    </w:p>
    <w:p>
      <w:pPr>
        <w:spacing w:after="0" w:line="103" w:lineRule="exact"/>
        <w:rPr>
          <w:sz w:val="20"/>
          <w:szCs w:val="20"/>
          <w:color w:val="auto"/>
        </w:rPr>
      </w:pPr>
    </w:p>
    <w:p>
      <w:pPr>
        <w:ind w:left="520" w:right="779" w:hanging="157"/>
        <w:spacing w:after="0" w:line="275" w:lineRule="auto"/>
        <w:tabs>
          <w:tab w:leader="none" w:pos="5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recapitalization, reclassification or change of our common stock, other than (x) changes solely resulting from a subdivision or combination of our common stock, (y) a change only in par value or from par value to no par value or no par value to par value or</w:t>
      </w:r>
    </w:p>
    <w:p>
      <w:pPr>
        <w:ind w:left="520"/>
        <w:spacing w:after="0"/>
        <w:rPr>
          <w:rFonts w:ascii="Arial" w:cs="Arial" w:eastAsia="Arial" w:hAnsi="Arial"/>
          <w:sz w:val="12"/>
          <w:szCs w:val="12"/>
          <w:color w:val="auto"/>
        </w:rPr>
      </w:pPr>
      <w:r>
        <w:rPr>
          <w:rFonts w:ascii="Arial" w:cs="Arial" w:eastAsia="Arial" w:hAnsi="Arial"/>
          <w:sz w:val="14"/>
          <w:szCs w:val="14"/>
          <w:color w:val="auto"/>
        </w:rPr>
        <w:t>(z) stock splits and stock combinations that do not involve the issuance of any other series or class of securities;</w:t>
      </w:r>
    </w:p>
    <w:p>
      <w:pPr>
        <w:spacing w:after="0" w:line="90" w:lineRule="exact"/>
        <w:rPr>
          <w:rFonts w:ascii="Arial" w:cs="Arial" w:eastAsia="Arial" w:hAnsi="Arial"/>
          <w:sz w:val="12"/>
          <w:szCs w:val="12"/>
          <w:color w:val="auto"/>
        </w:rPr>
      </w:pPr>
    </w:p>
    <w:p>
      <w:pPr>
        <w:ind w:left="520" w:hanging="157"/>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consolidation, merger, combination or binding or statutory share exchange involving us;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sale, lease or other transfer of all or substantially all of the assets of us and our subsidiaries, taken as a whole, to any person; or</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similar event,</w:t>
      </w:r>
    </w:p>
    <w:p>
      <w:pPr>
        <w:spacing w:after="0" w:line="93" w:lineRule="exact"/>
        <w:rPr>
          <w:sz w:val="20"/>
          <w:szCs w:val="20"/>
          <w:color w:val="auto"/>
        </w:rPr>
      </w:pPr>
    </w:p>
    <w:p>
      <w:pPr>
        <w:ind w:left="360" w:right="479"/>
        <w:spacing w:after="0" w:line="232" w:lineRule="auto"/>
        <w:rPr>
          <w:sz w:val="20"/>
          <w:szCs w:val="20"/>
          <w:color w:val="auto"/>
        </w:rPr>
      </w:pPr>
      <w:r>
        <w:rPr>
          <w:rFonts w:ascii="Arial" w:cs="Arial" w:eastAsia="Arial" w:hAnsi="Arial"/>
          <w:sz w:val="14"/>
          <w:szCs w:val="14"/>
          <w:color w:val="auto"/>
        </w:rPr>
        <w:t>and, as a result of which, our common stock is converted into, or is exchanged for, or represents solely the right to receive, other securities, cash or other property, or any combination of the foregoing (such an event, a “common stock change event,” and such other securities, cash or property, the “reference property,” and the amount and kind of reference property that a holder of one share of our common stock would be entitled to receive on account of such common stock change event (without giving effect to any arrangement not to issue or deliver a fractional portion of any security or other property), a “reference property unit”), then, notwithstanding anything to the contrary,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S-42</w:t>
      </w:r>
    </w:p>
    <w:p>
      <w:pPr>
        <w:sectPr>
          <w:pgSz w:w="11900" w:h="16838" w:orient="portrait"/>
          <w:cols w:equalWidth="0" w:num="1">
            <w:col w:w="9019"/>
          </w:cols>
          <w:pgMar w:left="1440" w:top="238" w:right="1440" w:bottom="1440" w:gutter="0" w:footer="0" w:header="0"/>
        </w:sectPr>
      </w:pPr>
    </w:p>
    <w:bookmarkStart w:id="45" w:name="page46"/>
    <w:bookmarkEnd w:id="45"/>
    <w:p>
      <w:pPr>
        <w:ind w:left="520" w:right="399" w:hanging="157"/>
        <w:spacing w:after="0" w:line="274" w:lineRule="auto"/>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from and after the effective time of such common stock change event, (i) the consideration due upon conversion of any note, and the conditions to any such conversion, will be determined in the same manner as if each reference to any number of shares of our common stock in the provisions described under this “—Conversion Rights” section (or in any related definitions) were instead a reference to the same number of reference property units; (ii) for purposes of the redemption provisions described above under the caption “—Optional Redemption,” each reference to any number of shares of our common stock in such provisions (or in any related definitions) will instead be deemed to be a reference to the same number of reference property units; and (iii) for purposes of the definitions of “fundamental change” and “make-whole fundamental change,” references to our “common stock” and “common equity” will be deemed to refer to the common equity (including depositary receipts representing common equity), if any, forming part of such reference property;</w:t>
      </w:r>
    </w:p>
    <w:p>
      <w:pPr>
        <w:spacing w:after="0" w:line="69" w:lineRule="exact"/>
        <w:rPr>
          <w:rFonts w:ascii="Arial" w:cs="Arial" w:eastAsia="Arial" w:hAnsi="Arial"/>
          <w:sz w:val="12"/>
          <w:szCs w:val="12"/>
          <w:color w:val="auto"/>
        </w:rPr>
      </w:pPr>
    </w:p>
    <w:p>
      <w:pPr>
        <w:ind w:left="520" w:right="419" w:hanging="157"/>
        <w:spacing w:after="0" w:line="232"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the provisions described above under the caption “—Increase in Conversion Rate in Connection with a Make-Whole Fundamental Change,” if applicable); and (y) the amount of cash constituting such reference property unit; and (ii) we will settle each such conversion no later than the fifth business day after the relevant conversion date; and</w:t>
      </w:r>
    </w:p>
    <w:p>
      <w:pPr>
        <w:spacing w:after="0" w:line="87" w:lineRule="exact"/>
        <w:rPr>
          <w:rFonts w:ascii="Arial" w:cs="Arial" w:eastAsia="Arial" w:hAnsi="Arial"/>
          <w:sz w:val="14"/>
          <w:szCs w:val="14"/>
          <w:color w:val="auto"/>
        </w:rPr>
      </w:pPr>
    </w:p>
    <w:p>
      <w:pPr>
        <w:ind w:left="520" w:right="379" w:hanging="157"/>
        <w:spacing w:after="0" w:line="278" w:lineRule="auto"/>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us (or, in the case of cash denominated in U.S. dollars, the face amount thereof).</w:t>
      </w:r>
    </w:p>
    <w:p>
      <w:pPr>
        <w:spacing w:after="0" w:line="66"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our common stock, by the holders of our common stock. We will notify the noteholders of such weighted average as soon as practicable after such determination is made.</w:t>
      </w:r>
    </w:p>
    <w:p>
      <w:pPr>
        <w:spacing w:after="0" w:line="80"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We will not become a party to any common stock change event unless its terms are consistent with the provisions described under this “— Effect of Common Stock Change Event” caption.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Execution of Supplemental Indenture</w:t>
      </w:r>
    </w:p>
    <w:p>
      <w:pPr>
        <w:spacing w:after="0" w:line="93" w:lineRule="exact"/>
        <w:rPr>
          <w:sz w:val="20"/>
          <w:szCs w:val="20"/>
          <w:color w:val="auto"/>
        </w:rPr>
      </w:pPr>
    </w:p>
    <w:p>
      <w:pPr>
        <w:ind w:left="360" w:right="419"/>
        <w:spacing w:after="0" w:line="231" w:lineRule="auto"/>
        <w:rPr>
          <w:sz w:val="20"/>
          <w:szCs w:val="20"/>
          <w:color w:val="auto"/>
        </w:rPr>
      </w:pPr>
      <w:r>
        <w:rPr>
          <w:rFonts w:ascii="Arial" w:cs="Arial" w:eastAsia="Arial" w:hAnsi="Arial"/>
          <w:sz w:val="14"/>
          <w:szCs w:val="14"/>
          <w:color w:val="auto"/>
        </w:rPr>
        <w:t>At or before the effective time of the common stock change event, we and the resulting, surviving or transferee person (if not us) of such common stock change event (the “successor person”) will execute and deliver to the trustee a supplemental indenture that (i) provides for subsequent adjustments to the conversion rate in a manner consistent with the provisions described above; and (ii) contains such other provisions, if any, that we reasonably determine are appropriate to preserve the economic interests of the noteholders and to give effect to the provisions described above.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we reasonably determine are appropriate to preserve the economic interests of noteholders.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S-43</w:t>
      </w:r>
    </w:p>
    <w:p>
      <w:pPr>
        <w:sectPr>
          <w:pgSz w:w="11900" w:h="16838" w:orient="portrait"/>
          <w:cols w:equalWidth="0" w:num="1">
            <w:col w:w="9019"/>
          </w:cols>
          <w:pgMar w:left="1440" w:top="238" w:right="1440" w:bottom="1440" w:gutter="0" w:footer="0" w:header="0"/>
        </w:sectPr>
      </w:pPr>
    </w:p>
    <w:bookmarkStart w:id="46" w:name="page47"/>
    <w:bookmarkEnd w:id="46"/>
    <w:p>
      <w:pPr>
        <w:ind w:left="360" w:right="51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However, no such supplemental indenture is required (but we may nonetheless choose to execute such a supplemental indenture at our option) if (i) we are the resulting, surviving or transferee person of such common stock change event; and (ii) the reference property of such common stock change event does not include consideration other than cash or our securities.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of Common Stock Change Event</w:t>
      </w:r>
    </w:p>
    <w:p>
      <w:pPr>
        <w:spacing w:after="0" w:line="103"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We will provide notice of each common stock change event to noteholders no later than the second business day after the effective date of the common stock change event.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Exchange in Lieu of Conversion</w:t>
      </w:r>
    </w:p>
    <w:p>
      <w:pPr>
        <w:spacing w:after="0" w:line="103" w:lineRule="exact"/>
        <w:rPr>
          <w:sz w:val="20"/>
          <w:szCs w:val="20"/>
          <w:color w:val="auto"/>
        </w:rPr>
      </w:pPr>
    </w:p>
    <w:p>
      <w:pPr>
        <w:ind w:left="360" w:right="539"/>
        <w:spacing w:after="0" w:line="232" w:lineRule="auto"/>
        <w:rPr>
          <w:sz w:val="20"/>
          <w:szCs w:val="20"/>
          <w:color w:val="auto"/>
        </w:rPr>
      </w:pPr>
      <w:r>
        <w:rPr>
          <w:rFonts w:ascii="Arial" w:cs="Arial" w:eastAsia="Arial" w:hAnsi="Arial"/>
          <w:sz w:val="14"/>
          <w:szCs w:val="14"/>
          <w:color w:val="auto"/>
        </w:rPr>
        <w:t>Notwithstanding anything to the contrary, and subject to the terms of the indenture, if a note is submitted for conversion, we may elect to arrange to have such note exchanged in lieu of conversion by a financial institution we designate. To make such election, we must send notice of such election to the holder of such note before the close of business on the business day immediately following the conversion date for such note, and we must arrange for the financial institution to deliver the consideration due upon such conversion in the same manner and at the same time as we would have been required to do so. We will remain responsible to deliver such consideration if the financial institution fails to timely deliver the same.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Equitable Adjustments to Prices</w:t>
      </w:r>
    </w:p>
    <w:p>
      <w:pPr>
        <w:spacing w:after="0" w:line="103" w:lineRule="exact"/>
        <w:rPr>
          <w:sz w:val="20"/>
          <w:szCs w:val="20"/>
          <w:color w:val="auto"/>
        </w:rPr>
      </w:pPr>
    </w:p>
    <w:p>
      <w:pPr>
        <w:ind w:left="360" w:right="459"/>
        <w:spacing w:after="0" w:line="278" w:lineRule="auto"/>
        <w:rPr>
          <w:sz w:val="20"/>
          <w:szCs w:val="20"/>
          <w:color w:val="auto"/>
        </w:rPr>
      </w:pPr>
      <w:r>
        <w:rPr>
          <w:rFonts w:ascii="Arial" w:cs="Arial" w:eastAsia="Arial" w:hAnsi="Arial"/>
          <w:sz w:val="12"/>
          <w:szCs w:val="12"/>
          <w:color w:val="auto"/>
        </w:rPr>
        <w:t>Whenever the indenture requires us to calculate the average of the last reported sale prices, or any function thereof, over a period of multiple days (including to calculate the stock price or an adjustment to the conversion rate), or to calculate daily VWAPs over an observation period, we will make appropriate adjustments, if any, to those calculations to account for any adjustment to the conversion rate pursuant to the provisions described above under the caption “—Conversion Rights—Conversion Rate Adjustments—Generally” that becomes effective, or any event requiring such an adjustment to the conversion rate where the ex-dividend date or effective date, as applicable, of such event occurs, at any time during such period or observation period, as applicable.</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Fundamental Change Permits Noteholders to Require Us to Repurchase Notes</w:t>
      </w:r>
    </w:p>
    <w:p>
      <w:pPr>
        <w:spacing w:after="0" w:line="119" w:lineRule="exact"/>
        <w:rPr>
          <w:sz w:val="20"/>
          <w:szCs w:val="20"/>
          <w:color w:val="auto"/>
        </w:rPr>
      </w:pPr>
    </w:p>
    <w:p>
      <w:pPr>
        <w:ind w:left="360" w:right="559"/>
        <w:spacing w:after="0" w:line="238" w:lineRule="auto"/>
        <w:rPr>
          <w:sz w:val="20"/>
          <w:szCs w:val="20"/>
          <w:color w:val="auto"/>
        </w:rPr>
      </w:pPr>
      <w:r>
        <w:rPr>
          <w:rFonts w:ascii="Arial" w:cs="Arial" w:eastAsia="Arial" w:hAnsi="Arial"/>
          <w:sz w:val="14"/>
          <w:szCs w:val="14"/>
          <w:color w:val="auto"/>
        </w:rPr>
        <w:t>For purposes of the notes, the description below under this section titled “—Fundamental Change Permits Noteholders to Require Us to Repurchase Notes” supersedes, in its entirety, the information in the accompanying prospectus under the caption “Description of Debt Securities—No Protection in the Event of a Change of Control.”</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Generally</w:t>
      </w:r>
    </w:p>
    <w:p>
      <w:pPr>
        <w:spacing w:after="0" w:line="103"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If a fundamental change occurs, then each noteholder will have the right (the “fundamental change repurchase right”) to require us to repurchase its notes (or any portion thereof in an authorized denomination) for cash on a date (the “fundamental change repurchase date”) of our choosing, which must be a business day that is no more than 35, nor less than 20, business days after the date we send the related fundamental change notice, as described below.</w:t>
      </w:r>
    </w:p>
    <w:p>
      <w:pPr>
        <w:spacing w:after="0" w:line="90" w:lineRule="exact"/>
        <w:rPr>
          <w:sz w:val="20"/>
          <w:szCs w:val="20"/>
          <w:color w:val="auto"/>
        </w:rPr>
      </w:pPr>
    </w:p>
    <w:p>
      <w:pPr>
        <w:ind w:left="360" w:right="439"/>
        <w:spacing w:after="0" w:line="238" w:lineRule="auto"/>
        <w:rPr>
          <w:sz w:val="20"/>
          <w:szCs w:val="20"/>
          <w:color w:val="auto"/>
        </w:rPr>
      </w:pPr>
      <w:r>
        <w:rPr>
          <w:rFonts w:ascii="Arial" w:cs="Arial" w:eastAsia="Arial" w:hAnsi="Arial"/>
          <w:sz w:val="14"/>
          <w:szCs w:val="14"/>
          <w:color w:val="auto"/>
        </w:rPr>
        <w:t>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S-44</w:t>
      </w:r>
    </w:p>
    <w:p>
      <w:pPr>
        <w:sectPr>
          <w:pgSz w:w="11900" w:h="16838" w:orient="portrait"/>
          <w:cols w:equalWidth="0" w:num="1">
            <w:col w:w="9019"/>
          </w:cols>
          <w:pgMar w:left="1440" w:top="239" w:right="1440" w:bottom="1440" w:gutter="0" w:footer="0" w:header="0"/>
        </w:sectPr>
      </w:pPr>
    </w:p>
    <w:bookmarkStart w:id="47" w:name="page48"/>
    <w:bookmarkEnd w:id="47"/>
    <w:p>
      <w:pPr>
        <w:ind w:left="360" w:right="619"/>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record date and on or before the next interest payment date, then (i) the holder of such note at the close of business on such regular record date will be entitled, notwithstanding such repurchase, to receive, on or, at our election, before such interest payment date, the unpaid interest that would have accrued on such note to, but excluding, such interest payment date; and (ii) the fundamental change repurchase price will not include accrued and unpaid interest on such note to, but excluding, the fundamental change repurchase date.</w:t>
      </w:r>
    </w:p>
    <w:p>
      <w:pPr>
        <w:spacing w:after="0" w:line="61"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Notwithstanding anything to the contrary above, we may not repurchase any notes if the principal amount of the notes has been accelerated and such acceleration has not been rescinded on or before the fundamental change repurchase date (including as a result of the payment of the related fundamental change repurchase price and any related interest described above on the fundamental change repurchase date).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of Fundamental Change</w:t>
      </w:r>
    </w:p>
    <w:p>
      <w:pPr>
        <w:spacing w:after="0" w:line="103" w:lineRule="exact"/>
        <w:rPr>
          <w:sz w:val="20"/>
          <w:szCs w:val="20"/>
          <w:color w:val="auto"/>
        </w:rPr>
      </w:pPr>
    </w:p>
    <w:p>
      <w:pPr>
        <w:jc w:val="both"/>
        <w:ind w:left="360" w:right="759"/>
        <w:spacing w:after="0" w:line="298" w:lineRule="auto"/>
        <w:rPr>
          <w:sz w:val="20"/>
          <w:szCs w:val="20"/>
          <w:color w:val="auto"/>
        </w:rPr>
      </w:pPr>
      <w:r>
        <w:rPr>
          <w:rFonts w:ascii="Arial" w:cs="Arial" w:eastAsia="Arial" w:hAnsi="Arial"/>
          <w:sz w:val="12"/>
          <w:szCs w:val="12"/>
          <w:color w:val="auto"/>
        </w:rPr>
        <w:t>On or before the 20th calendar day after the effective date of a fundamental change, we will send to each noteholder notice of such fundamental change containing certain information set forth in the indenture, including the fundamental change repurchase date, the fundamental change repurchase price and the procedures noteholders must follow to tender their notes for repurchase.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Procedures to Exercise the Fundamental Change Repurchase Right</w:t>
      </w:r>
    </w:p>
    <w:p>
      <w:pPr>
        <w:spacing w:after="0" w:line="103" w:lineRule="exact"/>
        <w:rPr>
          <w:sz w:val="20"/>
          <w:szCs w:val="20"/>
          <w:color w:val="auto"/>
        </w:rPr>
      </w:pPr>
    </w:p>
    <w:p>
      <w:pPr>
        <w:ind w:left="360" w:right="799"/>
        <w:spacing w:after="0" w:line="238" w:lineRule="auto"/>
        <w:rPr>
          <w:sz w:val="20"/>
          <w:szCs w:val="20"/>
          <w:color w:val="auto"/>
        </w:rPr>
      </w:pPr>
      <w:r>
        <w:rPr>
          <w:rFonts w:ascii="Arial" w:cs="Arial" w:eastAsia="Arial" w:hAnsi="Arial"/>
          <w:sz w:val="14"/>
          <w:szCs w:val="14"/>
          <w:color w:val="auto"/>
        </w:rPr>
        <w:t>To exercise its fundamental change repurchase right with respect to a note, the holder thereof must deliver a notice (a “fundamental change repurchase notice”) to the paying agent before the close of business on the business day immediately before the related fundamental change repurchase date (or such later time as may be required by law).</w:t>
      </w:r>
    </w:p>
    <w:p>
      <w:pPr>
        <w:spacing w:after="0" w:line="79" w:lineRule="exact"/>
        <w:rPr>
          <w:sz w:val="20"/>
          <w:szCs w:val="20"/>
          <w:color w:val="auto"/>
        </w:rPr>
      </w:pPr>
    </w:p>
    <w:p>
      <w:pPr>
        <w:ind w:left="360" w:right="499"/>
        <w:spacing w:after="0" w:line="331" w:lineRule="auto"/>
        <w:rPr>
          <w:sz w:val="20"/>
          <w:szCs w:val="20"/>
          <w:color w:val="auto"/>
        </w:rPr>
      </w:pPr>
      <w:r>
        <w:rPr>
          <w:rFonts w:ascii="Arial" w:cs="Arial" w:eastAsia="Arial" w:hAnsi="Arial"/>
          <w:sz w:val="12"/>
          <w:szCs w:val="12"/>
          <w:color w:val="auto"/>
        </w:rPr>
        <w:t>The fundamental change repurchase notice must contain certain information set forth in the indenture, including the certificate number of any physical notes to be repurchased, or must otherwise comply with the depositary procedures in the case of a global note.</w:t>
      </w:r>
    </w:p>
    <w:p>
      <w:pPr>
        <w:spacing w:after="0" w:line="35" w:lineRule="exact"/>
        <w:rPr>
          <w:sz w:val="20"/>
          <w:szCs w:val="20"/>
          <w:color w:val="auto"/>
        </w:rPr>
      </w:pPr>
    </w:p>
    <w:p>
      <w:pPr>
        <w:ind w:left="360" w:right="419"/>
        <w:spacing w:after="0" w:line="234" w:lineRule="auto"/>
        <w:rPr>
          <w:sz w:val="20"/>
          <w:szCs w:val="20"/>
          <w:color w:val="auto"/>
        </w:rPr>
      </w:pPr>
      <w:r>
        <w:rPr>
          <w:rFonts w:ascii="Arial" w:cs="Arial" w:eastAsia="Arial" w:hAnsi="Arial"/>
          <w:sz w:val="14"/>
          <w:szCs w:val="14"/>
          <w:color w:val="auto"/>
        </w:rPr>
        <w:t>A noteholder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the depositary procedures in the case of a global note.</w:t>
      </w:r>
    </w:p>
    <w:p>
      <w:pPr>
        <w:spacing w:after="0" w:line="88" w:lineRule="exact"/>
        <w:rPr>
          <w:sz w:val="20"/>
          <w:szCs w:val="20"/>
          <w:color w:val="auto"/>
        </w:rPr>
      </w:pPr>
    </w:p>
    <w:p>
      <w:pPr>
        <w:ind w:left="360" w:right="399"/>
        <w:spacing w:after="0" w:line="331" w:lineRule="auto"/>
        <w:rPr>
          <w:sz w:val="20"/>
          <w:szCs w:val="20"/>
          <w:color w:val="auto"/>
        </w:rPr>
      </w:pPr>
      <w:r>
        <w:rPr>
          <w:rFonts w:ascii="Arial" w:cs="Arial" w:eastAsia="Arial" w:hAnsi="Arial"/>
          <w:sz w:val="12"/>
          <w:szCs w:val="12"/>
          <w:color w:val="auto"/>
        </w:rPr>
        <w:t>Notes to be repurchased must be delivered to the paying agent (in the case of physical notes) or the depositary procedures must be complied with (in the case of global notes) for the holder of those notes to be entitled to receive the fundamental change repurchase price.</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Compliance with Securities Laws</w:t>
      </w:r>
    </w:p>
    <w:p>
      <w:pPr>
        <w:spacing w:after="0" w:line="103"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We will comply, in all material respects,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 However, to the extent that our obligations to offer to repurchase and to repurchase notes pursuant to the provisions described above conflict with any law or regulation that is applicable to us and enacted after the date we initially issue the notes, our compliance with such law or regulation will not be considered to be a default of those obligations.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S-45</w:t>
      </w:r>
    </w:p>
    <w:p>
      <w:pPr>
        <w:sectPr>
          <w:pgSz w:w="11900" w:h="16838" w:orient="portrait"/>
          <w:cols w:equalWidth="0" w:num="1">
            <w:col w:w="9019"/>
          </w:cols>
          <w:pgMar w:left="1440" w:top="239" w:right="1440" w:bottom="1440" w:gutter="0" w:footer="0" w:header="0"/>
        </w:sectPr>
      </w:pPr>
    </w:p>
    <w:bookmarkStart w:id="48" w:name="page49"/>
    <w:bookmarkEnd w:id="48"/>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Repurchase by Third Party</w:t>
      </w:r>
    </w:p>
    <w:p>
      <w:pPr>
        <w:spacing w:after="0" w:line="103" w:lineRule="exact"/>
        <w:rPr>
          <w:sz w:val="20"/>
          <w:szCs w:val="20"/>
          <w:color w:val="auto"/>
        </w:rPr>
      </w:pPr>
    </w:p>
    <w:p>
      <w:pPr>
        <w:ind w:left="360" w:right="479"/>
        <w:spacing w:after="0" w:line="234" w:lineRule="auto"/>
        <w:rPr>
          <w:sz w:val="20"/>
          <w:szCs w:val="20"/>
          <w:color w:val="auto"/>
        </w:rPr>
      </w:pPr>
      <w:r>
        <w:rPr>
          <w:rFonts w:ascii="Arial" w:cs="Arial" w:eastAsia="Arial" w:hAnsi="Arial"/>
          <w:sz w:val="14"/>
          <w:szCs w:val="14"/>
          <w:color w:val="auto"/>
        </w:rPr>
        <w:t>Notwithstanding anything to the contrary, we will be deemed to satisfy our obligations to repurchase notes pursuant to the provisions described above if (i) one or more third parties conduct the repurchase offer and repurchase tendered notes in a manner that would have satisfied our obligations to do the same if conducted directly by us; and (ii) an owner of a beneficial interest in any note repurchased by such third party or parties will not receive a lesser amount (as a result of withholding or other similar taxes) than such owner would have received had we repurchased such note.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 Repurchase Right in Certain Circumstances</w:t>
      </w:r>
    </w:p>
    <w:p>
      <w:pPr>
        <w:spacing w:after="0" w:line="103" w:lineRule="exact"/>
        <w:rPr>
          <w:sz w:val="20"/>
          <w:szCs w:val="20"/>
          <w:color w:val="auto"/>
        </w:rPr>
      </w:pPr>
    </w:p>
    <w:p>
      <w:pPr>
        <w:ind w:left="360" w:right="459"/>
        <w:spacing w:after="0" w:line="235" w:lineRule="auto"/>
        <w:rPr>
          <w:sz w:val="20"/>
          <w:szCs w:val="20"/>
          <w:color w:val="auto"/>
        </w:rPr>
      </w:pPr>
      <w:r>
        <w:rPr>
          <w:rFonts w:ascii="Arial" w:cs="Arial" w:eastAsia="Arial" w:hAnsi="Arial"/>
          <w:sz w:val="14"/>
          <w:szCs w:val="14"/>
          <w:color w:val="auto"/>
        </w:rPr>
        <w:t>Notwithstanding anything to the contrary, we will not be required to send a fundamental change notice, or offer to repurchase or repurchase any notes, as described above, in connection with a common stock change event that constitutes a fundamental change pursuant to clause (ii)(2) of the definition thereof (regardless of whether such common stock change event also constitutes a fundamental change pursuant to any other clause of such definition), if:</w:t>
      </w:r>
    </w:p>
    <w:p>
      <w:pPr>
        <w:spacing w:after="0" w:line="90" w:lineRule="exact"/>
        <w:rPr>
          <w:sz w:val="20"/>
          <w:szCs w:val="20"/>
          <w:color w:val="auto"/>
        </w:rPr>
      </w:pPr>
    </w:p>
    <w:p>
      <w:pPr>
        <w:ind w:left="520" w:hanging="157"/>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reference property of such common stock change event consists entirely of cash in U.S. dollars;</w:t>
      </w:r>
    </w:p>
    <w:p>
      <w:pPr>
        <w:spacing w:after="0" w:line="102" w:lineRule="exact"/>
        <w:rPr>
          <w:rFonts w:ascii="Arial" w:cs="Arial" w:eastAsia="Arial" w:hAnsi="Arial"/>
          <w:sz w:val="14"/>
          <w:szCs w:val="14"/>
          <w:color w:val="auto"/>
        </w:rPr>
      </w:pPr>
    </w:p>
    <w:p>
      <w:pPr>
        <w:ind w:left="520" w:right="519" w:hanging="157"/>
        <w:spacing w:after="0" w:line="232"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immediately after such fundamental change, the notes become convertible (pursuant to the provisions described above under the captions “—Conversion Rights—Effect of Common Stock Change Event” and, if applicable, “—Conversion Rights—Increase in Conversion Rate in Connection with a Make-Whole Fundamental Change”) into consideration that consists solely of U.S. dollars in an amount per $1,000 principal amount of notes that equals or exceeds the fundamental change repurchase price per $1,000 principal amount of notes (calculated assuming that the same includes accrued and unpaid interest to, but excluding, the latest possible fundamental change repurchase date for such fundamental change); and</w:t>
      </w:r>
    </w:p>
    <w:p>
      <w:pPr>
        <w:spacing w:after="0" w:line="91" w:lineRule="exact"/>
        <w:rPr>
          <w:rFonts w:ascii="Arial" w:cs="Arial" w:eastAsia="Arial" w:hAnsi="Arial"/>
          <w:sz w:val="14"/>
          <w:szCs w:val="14"/>
          <w:color w:val="auto"/>
        </w:rPr>
      </w:pPr>
    </w:p>
    <w:p>
      <w:pPr>
        <w:ind w:left="520" w:right="519" w:hanging="157"/>
        <w:spacing w:after="0" w:line="235"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timely send the notice relating to such fundamental change required pursuant to the provisions described above under the caption “—Conversion Rights—When the Notes May Be Converted—Conversion Upon Specified Corporate Events—Certain Corporate Events” and include, in such notice, a statement that we are relying on the provisions described in this “—No Repurchase Right in Certain Circumstances” section.</w:t>
      </w:r>
    </w:p>
    <w:p>
      <w:pPr>
        <w:spacing w:after="0" w:line="80" w:lineRule="exact"/>
        <w:rPr>
          <w:sz w:val="20"/>
          <w:szCs w:val="20"/>
          <w:color w:val="auto"/>
        </w:rPr>
      </w:pPr>
    </w:p>
    <w:p>
      <w:pPr>
        <w:ind w:left="360" w:right="959"/>
        <w:spacing w:after="0" w:line="249" w:lineRule="auto"/>
        <w:rPr>
          <w:sz w:val="20"/>
          <w:szCs w:val="20"/>
          <w:color w:val="auto"/>
        </w:rPr>
      </w:pPr>
      <w:r>
        <w:rPr>
          <w:rFonts w:ascii="Arial" w:cs="Arial" w:eastAsia="Arial" w:hAnsi="Arial"/>
          <w:sz w:val="14"/>
          <w:szCs w:val="14"/>
          <w:color w:val="auto"/>
        </w:rPr>
        <w:t>We refer to any fundamental change with respect to which, in accordance with the provisions described above, we do not offer to repurchase any notes as an “exempted fundamental change.”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Consolidation, Merger and Asset Sale</w:t>
      </w:r>
    </w:p>
    <w:p>
      <w:pPr>
        <w:spacing w:after="0" w:line="108" w:lineRule="exact"/>
        <w:rPr>
          <w:sz w:val="20"/>
          <w:szCs w:val="20"/>
          <w:color w:val="auto"/>
        </w:rPr>
      </w:pPr>
    </w:p>
    <w:p>
      <w:pPr>
        <w:ind w:left="360" w:right="599"/>
        <w:spacing w:after="0" w:line="238" w:lineRule="auto"/>
        <w:rPr>
          <w:sz w:val="20"/>
          <w:szCs w:val="20"/>
          <w:color w:val="auto"/>
        </w:rPr>
      </w:pPr>
      <w:r>
        <w:rPr>
          <w:rFonts w:ascii="Arial" w:cs="Arial" w:eastAsia="Arial" w:hAnsi="Arial"/>
          <w:sz w:val="14"/>
          <w:szCs w:val="14"/>
          <w:color w:val="auto"/>
        </w:rPr>
        <w:t>For purposes of the notes, the description below under this section titled “—Consolidation, Merger and Asset Sale” supersedes, in its entirety, the information in the accompanying prospectus under the caption “Description of Debt Securities—Consolidation, Merger and Sale of Assets.”</w:t>
      </w:r>
    </w:p>
    <w:p>
      <w:pPr>
        <w:spacing w:after="0" w:line="89" w:lineRule="exact"/>
        <w:rPr>
          <w:sz w:val="20"/>
          <w:szCs w:val="20"/>
          <w:color w:val="auto"/>
        </w:rPr>
      </w:pPr>
    </w:p>
    <w:p>
      <w:pPr>
        <w:ind w:left="360" w:right="419"/>
        <w:spacing w:after="0" w:line="238" w:lineRule="auto"/>
        <w:rPr>
          <w:sz w:val="20"/>
          <w:szCs w:val="20"/>
          <w:color w:val="auto"/>
        </w:rPr>
      </w:pPr>
      <w:r>
        <w:rPr>
          <w:rFonts w:ascii="Arial" w:cs="Arial" w:eastAsia="Arial" w:hAnsi="Arial"/>
          <w:sz w:val="14"/>
          <w:szCs w:val="14"/>
          <w:color w:val="auto"/>
        </w:rPr>
        <w:t>We will not consolidate with or merge with or into, or (directly, or indirectly through one or more of our subsidiaries) sell, lease or otherwise transfer, in one transaction or a series of transactions, all or substantially all of the assets of us and our subsidiaries, taken as a whole, to another person (a “business combination event”), unless:</w:t>
      </w:r>
    </w:p>
    <w:p>
      <w:pPr>
        <w:spacing w:after="0" w:line="89" w:lineRule="exact"/>
        <w:rPr>
          <w:sz w:val="20"/>
          <w:szCs w:val="20"/>
          <w:color w:val="auto"/>
        </w:rPr>
      </w:pPr>
    </w:p>
    <w:p>
      <w:pPr>
        <w:ind w:left="520" w:right="479" w:hanging="157"/>
        <w:spacing w:after="0" w:line="234"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resulting, surviving or transferee person is us or, if not us, is a “qualified successor entity” (as defined below under the caption “— Definitions”) (such qualified successor entity, the “successor entity”)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all of our obligations under the indenture and the notes;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S-46</w:t>
      </w:r>
    </w:p>
    <w:p>
      <w:pPr>
        <w:sectPr>
          <w:pgSz w:w="11900" w:h="16838" w:orient="portrait"/>
          <w:cols w:equalWidth="0" w:num="1">
            <w:col w:w="9019"/>
          </w:cols>
          <w:pgMar w:left="1440" w:top="238" w:right="1440" w:bottom="1440" w:gutter="0" w:footer="0" w:header="0"/>
        </w:sectPr>
      </w:pPr>
    </w:p>
    <w:bookmarkStart w:id="49" w:name="page50"/>
    <w:bookmarkEnd w:id="49"/>
    <w:p>
      <w:pPr>
        <w:ind w:left="520" w:right="419" w:hanging="157"/>
        <w:spacing w:after="0" w:line="249"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immediately after giving effect to such business combination event, no “default” (as defined below under the caption “—Definitions”) will have occurred and be continuing.</w:t>
      </w:r>
    </w:p>
    <w:p>
      <w:pPr>
        <w:spacing w:after="0" w:line="82" w:lineRule="exact"/>
        <w:rPr>
          <w:sz w:val="20"/>
          <w:szCs w:val="20"/>
          <w:color w:val="auto"/>
        </w:rPr>
      </w:pPr>
    </w:p>
    <w:p>
      <w:pPr>
        <w:ind w:left="360" w:right="379"/>
        <w:spacing w:after="0" w:line="238" w:lineRule="auto"/>
        <w:rPr>
          <w:sz w:val="20"/>
          <w:szCs w:val="20"/>
          <w:color w:val="auto"/>
        </w:rPr>
      </w:pPr>
      <w:r>
        <w:rPr>
          <w:rFonts w:ascii="Arial" w:cs="Arial" w:eastAsia="Arial" w:hAnsi="Arial"/>
          <w:sz w:val="14"/>
          <w:szCs w:val="14"/>
          <w:color w:val="auto"/>
        </w:rPr>
        <w:t>At the effective time of a business combination event that complies with the provisions described above, the successor entity (if not us) will succeed to, and may exercise every right and power of, us under the indenture and the notes, and, except in the case of a lease, the predecessor company will be discharged from its obligations under the indenture and the notes.</w:t>
      </w:r>
    </w:p>
    <w:p>
      <w:pPr>
        <w:spacing w:after="0" w:line="79" w:lineRule="exact"/>
        <w:rPr>
          <w:sz w:val="20"/>
          <w:szCs w:val="20"/>
          <w:color w:val="auto"/>
        </w:rPr>
      </w:pPr>
    </w:p>
    <w:p>
      <w:pPr>
        <w:jc w:val="both"/>
        <w:ind w:left="360" w:right="739"/>
        <w:spacing w:after="0" w:line="238" w:lineRule="auto"/>
        <w:rPr>
          <w:sz w:val="20"/>
          <w:szCs w:val="20"/>
          <w:color w:val="auto"/>
        </w:rPr>
      </w:pPr>
      <w:r>
        <w:rPr>
          <w:rFonts w:ascii="Arial" w:cs="Arial" w:eastAsia="Arial" w:hAnsi="Arial"/>
          <w:sz w:val="14"/>
          <w:szCs w:val="14"/>
          <w:color w:val="auto"/>
        </w:rPr>
        <w:t>Notwithstanding anything to the contrary above, the provisions described above will not apply to any transfer of assets (other than by merger or consolidation) between or among us and any one or more of our “wholly owned subsidiaries” (as defined below under the caption “—Definitions”).</w:t>
      </w:r>
    </w:p>
    <w:p>
      <w:pPr>
        <w:spacing w:after="0" w:line="89" w:lineRule="exact"/>
        <w:rPr>
          <w:sz w:val="20"/>
          <w:szCs w:val="20"/>
          <w:color w:val="auto"/>
        </w:rPr>
      </w:pPr>
    </w:p>
    <w:p>
      <w:pPr>
        <w:ind w:left="360" w:right="459"/>
        <w:spacing w:after="0" w:line="298" w:lineRule="auto"/>
        <w:rPr>
          <w:sz w:val="20"/>
          <w:szCs w:val="20"/>
          <w:color w:val="auto"/>
        </w:rPr>
      </w:pPr>
      <w:r>
        <w:rPr>
          <w:rFonts w:ascii="Arial" w:cs="Arial" w:eastAsia="Arial" w:hAnsi="Arial"/>
          <w:sz w:val="12"/>
          <w:szCs w:val="12"/>
          <w:color w:val="auto"/>
        </w:rPr>
        <w:t>The definition of “business combination event” includes a reference to “all or substantially all” of our and our subsidiaries’ assets. There is no precise, established definition of the phrase “all or substantially all” under applicable law. Accordingly, there may be uncertainty as to whether the provisions described above would apply to a sale, lease or transfer of less than all of our and our subsidiaries’ assets.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Events of Default</w:t>
      </w:r>
    </w:p>
    <w:p>
      <w:pPr>
        <w:spacing w:after="0" w:line="119"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For purposes of the notes, the description below under this section titled “—Events of Default” supersedes, in its entirety, the information in the accompanying prospectus under the caption “Description of Debt Securities—Events of Default.”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Generally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 “event of default” means the occurrence of any of the following:</w:t>
      </w:r>
    </w:p>
    <w:p>
      <w:pPr>
        <w:spacing w:after="0" w:line="103" w:lineRule="exact"/>
        <w:rPr>
          <w:sz w:val="20"/>
          <w:szCs w:val="20"/>
          <w:color w:val="auto"/>
        </w:rPr>
      </w:pPr>
    </w:p>
    <w:p>
      <w:pPr>
        <w:ind w:left="680" w:right="499" w:hanging="317"/>
        <w:spacing w:after="0" w:line="249" w:lineRule="auto"/>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default in the payment when due (whether at maturity, upon redemption or repurchase upon fundamental change or otherwise) of the principal of, or the redemption price or fundamental change repurchase price for, any note;</w:t>
      </w:r>
    </w:p>
    <w:p>
      <w:pPr>
        <w:spacing w:after="0" w:line="82" w:lineRule="exact"/>
        <w:rPr>
          <w:rFonts w:ascii="Arial" w:cs="Arial" w:eastAsia="Arial" w:hAnsi="Arial"/>
          <w:sz w:val="14"/>
          <w:szCs w:val="14"/>
          <w:color w:val="auto"/>
        </w:rPr>
      </w:pPr>
    </w:p>
    <w:p>
      <w:pPr>
        <w:ind w:left="680" w:hanging="317"/>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default for 30 consecutive days in the payment when due of interest on any note;</w:t>
      </w:r>
    </w:p>
    <w:p>
      <w:pPr>
        <w:spacing w:after="0" w:line="102" w:lineRule="exact"/>
        <w:rPr>
          <w:rFonts w:ascii="Arial" w:cs="Arial" w:eastAsia="Arial" w:hAnsi="Arial"/>
          <w:sz w:val="14"/>
          <w:szCs w:val="14"/>
          <w:color w:val="auto"/>
        </w:rPr>
      </w:pPr>
    </w:p>
    <w:p>
      <w:pPr>
        <w:ind w:left="680" w:right="419" w:hanging="317"/>
        <w:spacing w:after="0" w:line="234" w:lineRule="auto"/>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failure to deliver, when required by the indenture, a fundamental change notice or a notice pursuant to the provisions described above under the caption “—Conversion Rights—When the Notes May Be Converted—Conversion Upon Specified Corporate Events,” if (in the case of any notice other than a notice pursuant to the provisions described above under the caption “—Conversion Rights—When the Notes May Be Converted—Conversion Upon Specified Corporate Events—Certain Distributions”) such failure is not cured within five days after its occurrence;</w:t>
      </w:r>
    </w:p>
    <w:p>
      <w:pPr>
        <w:spacing w:after="0" w:line="87" w:lineRule="exact"/>
        <w:rPr>
          <w:rFonts w:ascii="Arial" w:cs="Arial" w:eastAsia="Arial" w:hAnsi="Arial"/>
          <w:sz w:val="14"/>
          <w:szCs w:val="14"/>
          <w:color w:val="auto"/>
        </w:rPr>
      </w:pPr>
    </w:p>
    <w:p>
      <w:pPr>
        <w:ind w:left="680" w:right="559" w:hanging="317"/>
        <w:spacing w:after="0" w:line="249" w:lineRule="auto"/>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default in our obligation to convert a note in accordance with the indenture upon the exercise of the conversion right with respect thereto, if such default is not cured within five days after its occurrence;</w:t>
      </w:r>
    </w:p>
    <w:p>
      <w:pPr>
        <w:spacing w:after="0" w:line="82" w:lineRule="exact"/>
        <w:rPr>
          <w:rFonts w:ascii="Arial" w:cs="Arial" w:eastAsia="Arial" w:hAnsi="Arial"/>
          <w:sz w:val="14"/>
          <w:szCs w:val="14"/>
          <w:color w:val="auto"/>
        </w:rPr>
      </w:pPr>
    </w:p>
    <w:p>
      <w:pPr>
        <w:ind w:left="680" w:hanging="317"/>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default in our obligations described above under the caption “—Consolidation, Merger and Asset Sale”;</w:t>
      </w:r>
    </w:p>
    <w:p>
      <w:pPr>
        <w:spacing w:after="0" w:line="102" w:lineRule="exact"/>
        <w:rPr>
          <w:rFonts w:ascii="Arial" w:cs="Arial" w:eastAsia="Arial" w:hAnsi="Arial"/>
          <w:sz w:val="14"/>
          <w:szCs w:val="14"/>
          <w:color w:val="auto"/>
        </w:rPr>
      </w:pPr>
    </w:p>
    <w:p>
      <w:pPr>
        <w:ind w:left="680" w:right="519" w:hanging="317"/>
        <w:spacing w:after="0" w:line="287" w:lineRule="auto"/>
        <w:tabs>
          <w:tab w:leader="none" w:pos="6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 default in any of our obligations or agreements under the notes or under the indenture with respect to the notes (other than a default set forth in paragraphs (1), (2), (3), (4) or (5) above) where such default is not cured or waived within 60 days after notice to us by the trustee, or to us and the trustee by holders of at least 25% of the aggregate principal amount of notes then outstanding, which notice must specify such default, demand that it be remedied and state that such notice is a “notice of default”;</w:t>
      </w:r>
    </w:p>
    <w:p>
      <w:pPr>
        <w:spacing w:after="0" w:line="60" w:lineRule="exact"/>
        <w:rPr>
          <w:rFonts w:ascii="Arial" w:cs="Arial" w:eastAsia="Arial" w:hAnsi="Arial"/>
          <w:sz w:val="12"/>
          <w:szCs w:val="12"/>
          <w:color w:val="auto"/>
        </w:rPr>
      </w:pPr>
    </w:p>
    <w:p>
      <w:pPr>
        <w:ind w:left="680" w:right="459" w:hanging="317"/>
        <w:spacing w:after="0" w:line="249" w:lineRule="auto"/>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default by us or any of our “significant subsidiaries” (as defined below under the caption “—Definitions”) with respect to any one or more mortgages, agreements or other instruments under which there is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S-47</w:t>
      </w:r>
    </w:p>
    <w:p>
      <w:pPr>
        <w:sectPr>
          <w:pgSz w:w="11900" w:h="16838" w:orient="portrait"/>
          <w:cols w:equalWidth="0" w:num="1">
            <w:col w:w="9019"/>
          </w:cols>
          <w:pgMar w:left="1440" w:top="238" w:right="1440" w:bottom="1440" w:gutter="0" w:footer="0" w:header="0"/>
        </w:sectPr>
      </w:pPr>
    </w:p>
    <w:bookmarkStart w:id="50" w:name="page51"/>
    <w:bookmarkEnd w:id="50"/>
    <w:p>
      <w:pPr>
        <w:ind w:left="680" w:right="45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outstanding, or by which there is secured or evidenced, any indebtedness for borrowed money of at least $100,000,000 (or its foreign currency equivalent) in the aggregate of us or any of our significant subsidiaries, whether such indebtedness exists as of the date we first issue the notes or is thereafter created, where such default:</w:t>
      </w:r>
    </w:p>
    <w:p>
      <w:pPr>
        <w:spacing w:after="0" w:line="89" w:lineRule="exact"/>
        <w:rPr>
          <w:sz w:val="20"/>
          <w:szCs w:val="20"/>
          <w:color w:val="auto"/>
        </w:rPr>
      </w:pPr>
    </w:p>
    <w:p>
      <w:pPr>
        <w:ind w:left="1020" w:right="539" w:hanging="332"/>
        <w:spacing w:after="0" w:line="331" w:lineRule="auto"/>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35" w:lineRule="exact"/>
        <w:rPr>
          <w:rFonts w:ascii="Arial" w:cs="Arial" w:eastAsia="Arial" w:hAnsi="Arial"/>
          <w:sz w:val="12"/>
          <w:szCs w:val="12"/>
          <w:color w:val="auto"/>
        </w:rPr>
      </w:pPr>
    </w:p>
    <w:p>
      <w:pPr>
        <w:ind w:left="1020" w:hanging="332"/>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results in such indebtedness becoming or being declared due and payable before its stated maturity,</w:t>
      </w:r>
    </w:p>
    <w:p>
      <w:pPr>
        <w:spacing w:after="0" w:line="103" w:lineRule="exact"/>
        <w:rPr>
          <w:sz w:val="20"/>
          <w:szCs w:val="20"/>
          <w:color w:val="auto"/>
        </w:rPr>
      </w:pPr>
    </w:p>
    <w:p>
      <w:pPr>
        <w:ind w:left="700" w:right="639"/>
        <w:spacing w:after="0" w:line="249" w:lineRule="auto"/>
        <w:rPr>
          <w:sz w:val="20"/>
          <w:szCs w:val="20"/>
          <w:color w:val="auto"/>
        </w:rPr>
      </w:pPr>
      <w:r>
        <w:rPr>
          <w:rFonts w:ascii="Arial" w:cs="Arial" w:eastAsia="Arial" w:hAnsi="Arial"/>
          <w:sz w:val="14"/>
          <w:szCs w:val="14"/>
          <w:color w:val="auto"/>
        </w:rPr>
        <w:t>in each case where such default is not cured or waived within 30 days after notice to us by the trustee or to us and the trustee by holders of at least 25% of the aggregate principal amount of notes then outstanding; and</w:t>
      </w:r>
    </w:p>
    <w:p>
      <w:pPr>
        <w:spacing w:after="0" w:line="82" w:lineRule="exact"/>
        <w:rPr>
          <w:sz w:val="20"/>
          <w:szCs w:val="20"/>
          <w:color w:val="auto"/>
        </w:rPr>
      </w:pPr>
    </w:p>
    <w:p>
      <w:pPr>
        <w:ind w:left="680" w:hanging="317"/>
        <w:spacing w:after="0"/>
        <w:tabs>
          <w:tab w:leader="none" w:pos="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certain events of bankruptcy, insolvency and reorganization with respect to us or any of our significant subsidiaries.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Acceleration</w:t>
      </w:r>
    </w:p>
    <w:p>
      <w:pPr>
        <w:spacing w:after="0" w:line="103" w:lineRule="exact"/>
        <w:rPr>
          <w:sz w:val="20"/>
          <w:szCs w:val="20"/>
          <w:color w:val="auto"/>
        </w:rPr>
      </w:pPr>
    </w:p>
    <w:p>
      <w:pPr>
        <w:ind w:left="360" w:right="419"/>
        <w:spacing w:after="0" w:line="230" w:lineRule="auto"/>
        <w:rPr>
          <w:sz w:val="20"/>
          <w:szCs w:val="20"/>
          <w:color w:val="auto"/>
        </w:rPr>
      </w:pPr>
      <w:r>
        <w:rPr>
          <w:rFonts w:ascii="Arial" w:cs="Arial" w:eastAsia="Arial" w:hAnsi="Arial"/>
          <w:sz w:val="14"/>
          <w:szCs w:val="14"/>
          <w:color w:val="auto"/>
        </w:rPr>
        <w:t>If an event of default described in paragraph (8) above occurs with respect to us (and not solely with respect to a significant subsidiary of ours), then the principal amount of, and all accrued and unpaid interest on, all of the notes then outstanding will immediately become due and payable without any further action or notice by any person. If an event of default (other than an event of default described in paragraph (8) above with respect to us and not solely with respect to a significant subsidiary of ours) occurs and is continuing, then, except as described below under the caption “—Special Interest as Sole Remedy for Certain Reporting Defaults,” the trustee, by notice to us, or noteholders of at least 25% of the aggregate principal amount of notes then outstanding, by notice to us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spacing w:after="0" w:line="81" w:lineRule="exact"/>
        <w:rPr>
          <w:sz w:val="20"/>
          <w:szCs w:val="20"/>
          <w:color w:val="auto"/>
        </w:rPr>
      </w:pPr>
    </w:p>
    <w:p>
      <w:pPr>
        <w:ind w:left="360" w:right="379"/>
        <w:spacing w:after="0" w:line="234" w:lineRule="auto"/>
        <w:rPr>
          <w:sz w:val="20"/>
          <w:szCs w:val="20"/>
          <w:color w:val="auto"/>
        </w:rPr>
      </w:pPr>
      <w:r>
        <w:rPr>
          <w:rFonts w:ascii="Arial" w:cs="Arial" w:eastAsia="Arial" w:hAnsi="Arial"/>
          <w:sz w:val="14"/>
          <w:szCs w:val="14"/>
          <w:color w:val="auto"/>
        </w:rPr>
        <w:t>Noteholders of a majority in aggregate principal amount of the notes then outstanding, by notice to us and the trustee, may, on behalf of all noteholders,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88" w:lineRule="exact"/>
        <w:rPr>
          <w:sz w:val="20"/>
          <w:szCs w:val="20"/>
          <w:color w:val="auto"/>
        </w:rPr>
      </w:pPr>
    </w:p>
    <w:p>
      <w:pPr>
        <w:ind w:left="360" w:right="379"/>
        <w:spacing w:after="0" w:line="331" w:lineRule="auto"/>
        <w:rPr>
          <w:sz w:val="20"/>
          <w:szCs w:val="20"/>
          <w:color w:val="auto"/>
        </w:rPr>
      </w:pPr>
      <w:r>
        <w:rPr>
          <w:rFonts w:ascii="Arial" w:cs="Arial" w:eastAsia="Arial" w:hAnsi="Arial"/>
          <w:sz w:val="12"/>
          <w:szCs w:val="12"/>
          <w:color w:val="auto"/>
        </w:rPr>
        <w:t>If any portion of the amount payable on the notes upon acceleration is considered by a court to be unearned interest (through the allocation of the value of the instrument to the embedded warrant or otherwise), then the court could disallow recovery of any such portion.</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Waiver of Past Defaults</w:t>
      </w:r>
    </w:p>
    <w:p>
      <w:pPr>
        <w:spacing w:after="0" w:line="103" w:lineRule="exact"/>
        <w:rPr>
          <w:sz w:val="20"/>
          <w:szCs w:val="20"/>
          <w:color w:val="auto"/>
        </w:rPr>
      </w:pPr>
    </w:p>
    <w:p>
      <w:pPr>
        <w:ind w:left="360" w:right="519"/>
        <w:spacing w:after="0" w:line="235" w:lineRule="auto"/>
        <w:rPr>
          <w:sz w:val="20"/>
          <w:szCs w:val="20"/>
          <w:color w:val="auto"/>
        </w:rPr>
      </w:pPr>
      <w:r>
        <w:rPr>
          <w:rFonts w:ascii="Arial" w:cs="Arial" w:eastAsia="Arial" w:hAnsi="Arial"/>
          <w:sz w:val="14"/>
          <w:szCs w:val="14"/>
          <w:color w:val="auto"/>
        </w:rPr>
        <w:t>A default that is (or, after notice, passage of time or both, would be) an event of default pursuant to paragraph (1), (2), (4) or (6) above (that, in the case of paragraph (6) only, results from a default under any covenant that cannot be amended without the consent of each affected noteholder) can be waived only with the consent of each affected noteholder. Each other default may be waived, on behalf of all noteholders, by noteholders of a majority in aggregate principal amount of the notes then outstanding.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S-48</w:t>
      </w:r>
    </w:p>
    <w:p>
      <w:pPr>
        <w:sectPr>
          <w:pgSz w:w="11900" w:h="16838" w:orient="portrait"/>
          <w:cols w:equalWidth="0" w:num="1">
            <w:col w:w="9019"/>
          </w:cols>
          <w:pgMar w:left="1440" w:top="238" w:right="1440" w:bottom="1440" w:gutter="0" w:footer="0" w:header="0"/>
        </w:sectPr>
      </w:pPr>
    </w:p>
    <w:bookmarkStart w:id="51" w:name="page52"/>
    <w:bookmarkEnd w:id="51"/>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Cure of Defaults; Ability to Cure or Waive Before Event of Default Occurs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the avoidance of doubt, and without limiting the manner in which any default can be cured,</w:t>
      </w:r>
    </w:p>
    <w:p>
      <w:pPr>
        <w:spacing w:after="0" w:line="103" w:lineRule="exact"/>
        <w:rPr>
          <w:sz w:val="20"/>
          <w:szCs w:val="20"/>
          <w:color w:val="auto"/>
        </w:rPr>
      </w:pPr>
    </w:p>
    <w:p>
      <w:pPr>
        <w:ind w:left="520" w:right="599" w:hanging="157"/>
        <w:spacing w:after="0" w:line="249"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default consisting of a failure to send a notice in accordance with the terms of the indenture will be cured upon the sending of such notice;</w:t>
      </w:r>
    </w:p>
    <w:p>
      <w:pPr>
        <w:spacing w:after="0" w:line="82" w:lineRule="exact"/>
        <w:rPr>
          <w:rFonts w:ascii="Arial" w:cs="Arial" w:eastAsia="Arial" w:hAnsi="Arial"/>
          <w:sz w:val="14"/>
          <w:szCs w:val="14"/>
          <w:color w:val="auto"/>
        </w:rPr>
      </w:pPr>
    </w:p>
    <w:p>
      <w:pPr>
        <w:ind w:left="520" w:right="439" w:hanging="157"/>
        <w:spacing w:after="0" w:line="23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default in making any payment on (or delivering any other consideration in respect of) any note will be cured upon the delivery, in accordance with the indenture, of such payment (or other consideration) together, if applicable, with “default interest” (as defined below under the caption “—Default Interest”) thereon; and</w:t>
      </w:r>
    </w:p>
    <w:p>
      <w:pPr>
        <w:spacing w:after="0" w:line="89" w:lineRule="exact"/>
        <w:rPr>
          <w:rFonts w:ascii="Arial" w:cs="Arial" w:eastAsia="Arial" w:hAnsi="Arial"/>
          <w:sz w:val="14"/>
          <w:szCs w:val="14"/>
          <w:color w:val="auto"/>
        </w:rPr>
      </w:pPr>
    </w:p>
    <w:p>
      <w:pPr>
        <w:jc w:val="both"/>
        <w:ind w:left="520" w:right="519" w:hanging="157"/>
        <w:spacing w:after="0" w:line="23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default that is (or, after notice, passage of time or both, would be) a “reporting event of default” (as defined below under the caption “—Special Interest as Sole Remedy for Certain Reporting Defaults”) will be cured upon the filing of the relevant report(s) giving rise to such default.</w:t>
      </w:r>
    </w:p>
    <w:p>
      <w:pPr>
        <w:spacing w:after="0" w:line="79" w:lineRule="exact"/>
        <w:rPr>
          <w:sz w:val="20"/>
          <w:szCs w:val="20"/>
          <w:color w:val="auto"/>
        </w:rPr>
      </w:pPr>
    </w:p>
    <w:p>
      <w:pPr>
        <w:ind w:left="360" w:right="879"/>
        <w:spacing w:after="0" w:line="249" w:lineRule="auto"/>
        <w:rPr>
          <w:sz w:val="20"/>
          <w:szCs w:val="20"/>
          <w:color w:val="auto"/>
        </w:rPr>
      </w:pPr>
      <w:r>
        <w:rPr>
          <w:rFonts w:ascii="Arial" w:cs="Arial" w:eastAsia="Arial" w:hAnsi="Arial"/>
          <w:sz w:val="14"/>
          <w:szCs w:val="14"/>
          <w:color w:val="auto"/>
        </w:rPr>
        <w:t>In addition, for the avoidance of doubt, if a default that is not an event of default is cured or waived before such default would have constituted an event of default, then no event of default will result from such default.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of Defaults</w:t>
      </w:r>
    </w:p>
    <w:p>
      <w:pPr>
        <w:spacing w:after="0" w:line="93" w:lineRule="exact"/>
        <w:rPr>
          <w:sz w:val="20"/>
          <w:szCs w:val="20"/>
          <w:color w:val="auto"/>
        </w:rPr>
      </w:pPr>
    </w:p>
    <w:p>
      <w:pPr>
        <w:ind w:left="360" w:right="379"/>
        <w:spacing w:after="0" w:line="230" w:lineRule="auto"/>
        <w:rPr>
          <w:sz w:val="20"/>
          <w:szCs w:val="20"/>
          <w:color w:val="auto"/>
        </w:rPr>
      </w:pPr>
      <w:r>
        <w:rPr>
          <w:rFonts w:ascii="Arial" w:cs="Arial" w:eastAsia="Arial" w:hAnsi="Arial"/>
          <w:sz w:val="14"/>
          <w:szCs w:val="14"/>
          <w:color w:val="auto"/>
        </w:rPr>
        <w:t>If a default occurs, then we will, within 30 days after its first occurrence, notify the trustee, setting forth what action we are taking or propose to take with respect thereto. However, we will not be required to provide such notification at any time after such default is cured or waived. We must also provide the trustee annually with a certificate as to whether any defaults have occurred or are continuing. If a default occurs and is continuing and is actually known to a responsible officer of the trustee, then the trustee must notify the noteholders of the same within 90 days after it occurs or, if it is not actually known to a responsible officer of the trustee at such time, promptly (and in any event within 10 business days) after it becomes actually known to a responsible officer of the trustee. However, except in the case of a default in the payment of the principal of, or interest on, any note, the trustee may withhold such notice if and for so long as it in good faith determines that withholding such notice is in the interests of the noteholders. For the avoidance of doubt, the trustee will not be required to deliver such notice at any time after such default is cured or waived.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Limitation on Suits; Absolute Rights of Noteholders</w:t>
      </w:r>
    </w:p>
    <w:p>
      <w:pPr>
        <w:spacing w:after="0" w:line="93" w:lineRule="exact"/>
        <w:rPr>
          <w:sz w:val="20"/>
          <w:szCs w:val="20"/>
          <w:color w:val="auto"/>
        </w:rPr>
      </w:pPr>
    </w:p>
    <w:p>
      <w:pPr>
        <w:ind w:left="360" w:right="779"/>
        <w:spacing w:after="0" w:line="249" w:lineRule="auto"/>
        <w:rPr>
          <w:sz w:val="20"/>
          <w:szCs w:val="20"/>
          <w:color w:val="auto"/>
        </w:rPr>
      </w:pPr>
      <w:r>
        <w:rPr>
          <w:rFonts w:ascii="Arial" w:cs="Arial" w:eastAsia="Arial" w:hAnsi="Arial"/>
          <w:sz w:val="14"/>
          <w:szCs w:val="14"/>
          <w:color w:val="auto"/>
        </w:rPr>
        <w:t>Except with respect to the rights referred to below, no noteholder may pursue any remedy with respect to the indenture or the notes, unless:</w:t>
      </w:r>
    </w:p>
    <w:p>
      <w:pPr>
        <w:spacing w:after="0" w:line="82" w:lineRule="exact"/>
        <w:rPr>
          <w:sz w:val="20"/>
          <w:szCs w:val="20"/>
          <w:color w:val="auto"/>
        </w:rPr>
      </w:pPr>
    </w:p>
    <w:p>
      <w:pPr>
        <w:ind w:left="520" w:hanging="157"/>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such noteholder has previously delivered to the trustee notice that an event of default is continuing;</w:t>
      </w:r>
    </w:p>
    <w:p>
      <w:pPr>
        <w:spacing w:after="0" w:line="102" w:lineRule="exact"/>
        <w:rPr>
          <w:rFonts w:ascii="Arial" w:cs="Arial" w:eastAsia="Arial" w:hAnsi="Arial"/>
          <w:sz w:val="14"/>
          <w:szCs w:val="14"/>
          <w:color w:val="auto"/>
        </w:rPr>
      </w:pPr>
    </w:p>
    <w:p>
      <w:pPr>
        <w:ind w:left="520" w:right="799" w:hanging="157"/>
        <w:spacing w:after="0" w:line="249"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noteholders of at least 25% in aggregate principal amount of the notes then outstanding deliver a written request to the trustee to pursue such remedy;</w:t>
      </w:r>
    </w:p>
    <w:p>
      <w:pPr>
        <w:spacing w:after="0" w:line="82" w:lineRule="exact"/>
        <w:rPr>
          <w:rFonts w:ascii="Arial" w:cs="Arial" w:eastAsia="Arial" w:hAnsi="Arial"/>
          <w:sz w:val="14"/>
          <w:szCs w:val="14"/>
          <w:color w:val="auto"/>
        </w:rPr>
      </w:pPr>
    </w:p>
    <w:p>
      <w:pPr>
        <w:ind w:left="520" w:right="699" w:hanging="157"/>
        <w:spacing w:after="0" w:line="249"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such noteholder(s) offer and, if requested, provide to the trustee security and indemnity satisfactory to the trustee against any loss, liability or expense to the trustee that may result from the trustee’s following such request;</w:t>
      </w:r>
    </w:p>
    <w:p>
      <w:pPr>
        <w:spacing w:after="0" w:line="82" w:lineRule="exact"/>
        <w:rPr>
          <w:rFonts w:ascii="Arial" w:cs="Arial" w:eastAsia="Arial" w:hAnsi="Arial"/>
          <w:sz w:val="14"/>
          <w:szCs w:val="14"/>
          <w:color w:val="auto"/>
        </w:rPr>
      </w:pPr>
    </w:p>
    <w:p>
      <w:pPr>
        <w:ind w:left="520" w:right="699" w:hanging="157"/>
        <w:spacing w:after="0" w:line="249"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trustee does not comply with such request within 60 calendar days after its receipt of such request and such offer of security or indemnity; and</w:t>
      </w:r>
    </w:p>
    <w:p>
      <w:pPr>
        <w:spacing w:after="0" w:line="82" w:lineRule="exact"/>
        <w:rPr>
          <w:rFonts w:ascii="Arial" w:cs="Arial" w:eastAsia="Arial" w:hAnsi="Arial"/>
          <w:sz w:val="14"/>
          <w:szCs w:val="14"/>
          <w:color w:val="auto"/>
        </w:rPr>
      </w:pPr>
    </w:p>
    <w:p>
      <w:pPr>
        <w:ind w:left="520" w:right="799" w:hanging="157"/>
        <w:spacing w:after="0" w:line="249"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such 60 calendar day period, noteholders of a majority in aggregate principal amount of the notes then outstanding do not deliver to the trustee a direction that is inconsistent with such request.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S-49</w:t>
      </w:r>
    </w:p>
    <w:p>
      <w:pPr>
        <w:sectPr>
          <w:pgSz w:w="11900" w:h="16838" w:orient="portrait"/>
          <w:cols w:equalWidth="0" w:num="1">
            <w:col w:w="9019"/>
          </w:cols>
          <w:pgMar w:left="1440" w:top="239" w:right="1440" w:bottom="1440" w:gutter="0" w:footer="0" w:header="0"/>
        </w:sectPr>
      </w:pPr>
    </w:p>
    <w:bookmarkStart w:id="52" w:name="page53"/>
    <w:bookmarkEnd w:id="52"/>
    <w:p>
      <w:pPr>
        <w:ind w:left="360" w:right="439"/>
        <w:spacing w:after="0" w:line="23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However, notwithstanding anything to the contrary, but without limiting the provisions described under the caption “—Modification and Amendment” relating to amendments and supplements without the consent of any noteholder, the right of each holder of a note to receive payment or delivery, as applicable, of the principal of, or the fundamental change repurchase price or redemption price for, or any interest on, or the consideration due upon conversion of, such note on or after the respective due dates therefor, or to bring suit for the enforcement of any such payment or delivery on or after such respective due dates, will not be impaired or affected without the consent of such holder.</w:t>
      </w:r>
    </w:p>
    <w:p>
      <w:pPr>
        <w:spacing w:after="0" w:line="91" w:lineRule="exact"/>
        <w:rPr>
          <w:sz w:val="20"/>
          <w:szCs w:val="20"/>
          <w:color w:val="auto"/>
        </w:rPr>
      </w:pPr>
    </w:p>
    <w:p>
      <w:pPr>
        <w:ind w:left="360" w:right="379"/>
        <w:spacing w:after="0" w:line="232" w:lineRule="auto"/>
        <w:rPr>
          <w:sz w:val="20"/>
          <w:szCs w:val="20"/>
          <w:color w:val="auto"/>
        </w:rPr>
      </w:pPr>
      <w:r>
        <w:rPr>
          <w:rFonts w:ascii="Arial" w:cs="Arial" w:eastAsia="Arial" w:hAnsi="Arial"/>
          <w:sz w:val="14"/>
          <w:szCs w:val="14"/>
          <w:color w:val="auto"/>
        </w:rPr>
        <w:t>Noteholders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the terms of the indenture, the trustee determines may be unduly prejudicial to the rights of other noteholders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Default Interest</w:t>
      </w:r>
    </w:p>
    <w:p>
      <w:pPr>
        <w:spacing w:after="0" w:line="103"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Payments of any cash amounts due on the notes that are not made when due will accrue interest at a rate per annum equal to the rate per annum at which stated interest accrues on the notes. We refer to such interest, if any, as “default interest.”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Special Interest as Sole Remedy for Certain Reporting Defaults</w:t>
      </w:r>
    </w:p>
    <w:p>
      <w:pPr>
        <w:spacing w:after="0" w:line="103" w:lineRule="exact"/>
        <w:rPr>
          <w:sz w:val="20"/>
          <w:szCs w:val="20"/>
          <w:color w:val="auto"/>
        </w:rPr>
      </w:pPr>
    </w:p>
    <w:p>
      <w:pPr>
        <w:ind w:left="360" w:right="379"/>
        <w:spacing w:after="0" w:line="231" w:lineRule="auto"/>
        <w:rPr>
          <w:sz w:val="20"/>
          <w:szCs w:val="20"/>
          <w:color w:val="auto"/>
        </w:rPr>
      </w:pPr>
      <w:r>
        <w:rPr>
          <w:rFonts w:ascii="Arial" w:cs="Arial" w:eastAsia="Arial" w:hAnsi="Arial"/>
          <w:sz w:val="14"/>
          <w:szCs w:val="14"/>
          <w:color w:val="auto"/>
        </w:rPr>
        <w:t>Notwithstanding anything to the contrary described above, we may elect that the sole remedy for any event of default (a “reporting event of default”) pursuant to paragraph (6) above arising from our failure to comply with our obligations described below under the caption “— Exchange Act Reports” (including our obligations under Section 314(a)(1) of the Trust Indenture Act) will, for each of the first 365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366th calendar day on which a reporting event of default has occurred and is continuing or if we fail to pay any accrued and unpaid special interest when due; and (ii) special interest will cease to accrue on any notes from, and including, such 366th calendar day.</w:t>
      </w:r>
    </w:p>
    <w:p>
      <w:pPr>
        <w:spacing w:after="0" w:line="80"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Any special interest that accrues on a note will be payable on the same dates and in the same manner as the stated interest on such note and will accrue at a rate per annum equal to 0.25% of the principal amount thereof for the first 180 days on which special interest accrues and, thereafter, at a rate per annum equal to 0.50% of the principal amount thereof. For the avoidance of doubt, any special interest that accrues on a note will be in addition to the stated interest that accrues on such note.</w:t>
      </w:r>
    </w:p>
    <w:p>
      <w:pPr>
        <w:spacing w:after="0" w:line="90" w:lineRule="exact"/>
        <w:rPr>
          <w:sz w:val="20"/>
          <w:szCs w:val="20"/>
          <w:color w:val="auto"/>
        </w:rPr>
      </w:pPr>
    </w:p>
    <w:p>
      <w:pPr>
        <w:ind w:left="360" w:right="399"/>
        <w:spacing w:after="0" w:line="235" w:lineRule="auto"/>
        <w:rPr>
          <w:sz w:val="20"/>
          <w:szCs w:val="20"/>
          <w:color w:val="auto"/>
        </w:rPr>
      </w:pPr>
      <w:r>
        <w:rPr>
          <w:rFonts w:ascii="Arial" w:cs="Arial" w:eastAsia="Arial" w:hAnsi="Arial"/>
          <w:sz w:val="14"/>
          <w:szCs w:val="14"/>
          <w:color w:val="auto"/>
        </w:rPr>
        <w:t>To make the election to pay special interest as described above, we must provide notice of such election to noteholders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S-50</w:t>
      </w:r>
    </w:p>
    <w:p>
      <w:pPr>
        <w:sectPr>
          <w:pgSz w:w="11900" w:h="16838" w:orient="portrait"/>
          <w:cols w:equalWidth="0" w:num="1">
            <w:col w:w="9019"/>
          </w:cols>
          <w:pgMar w:left="1440" w:top="239" w:right="1440" w:bottom="1440" w:gutter="0" w:footer="0" w:header="0"/>
        </w:sectPr>
      </w:pPr>
    </w:p>
    <w:bookmarkStart w:id="53" w:name="page54"/>
    <w:bookmarkEnd w:id="5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Modification and Amendment</w:t>
      </w:r>
    </w:p>
    <w:p>
      <w:pPr>
        <w:spacing w:after="0" w:line="119" w:lineRule="exact"/>
        <w:rPr>
          <w:sz w:val="20"/>
          <w:szCs w:val="20"/>
          <w:color w:val="auto"/>
        </w:rPr>
      </w:pPr>
    </w:p>
    <w:p>
      <w:pPr>
        <w:ind w:left="360" w:right="499"/>
        <w:spacing w:after="0" w:line="331" w:lineRule="auto"/>
        <w:rPr>
          <w:sz w:val="20"/>
          <w:szCs w:val="20"/>
          <w:color w:val="auto"/>
        </w:rPr>
      </w:pPr>
      <w:r>
        <w:rPr>
          <w:rFonts w:ascii="Arial" w:cs="Arial" w:eastAsia="Arial" w:hAnsi="Arial"/>
          <w:sz w:val="12"/>
          <w:szCs w:val="12"/>
          <w:color w:val="auto"/>
        </w:rPr>
        <w:t>For purposes of the notes, the description below under this section titled “—Modification and Amendment” supersedes, in its entirety, the information in the accompanying prospectus under the caption “Description of Debt Securities—Modification and Waiver.”</w:t>
      </w:r>
    </w:p>
    <w:p>
      <w:pPr>
        <w:spacing w:after="0" w:line="25"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We and the trustee may, with the consent of holders of a majority in aggregate principal amount of the notes then outstanding, amend or supplement the indenture or the notes or waive compliance with any provision of the indenture or the notes. However, without the consent of each affected noteholder, no amendment or supplement to the indenture or the notes, or waiver of any provision of the indenture or the notes, may:</w:t>
      </w:r>
    </w:p>
    <w:p>
      <w:pPr>
        <w:spacing w:after="0" w:line="90" w:lineRule="exact"/>
        <w:rPr>
          <w:sz w:val="20"/>
          <w:szCs w:val="20"/>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reduce the principal, or change the stated maturity, of any note;</w:t>
      </w:r>
    </w:p>
    <w:p>
      <w:pPr>
        <w:spacing w:after="0" w:line="102" w:lineRule="exact"/>
        <w:rPr>
          <w:rFonts w:ascii="Arial" w:cs="Arial" w:eastAsia="Arial" w:hAnsi="Arial"/>
          <w:sz w:val="14"/>
          <w:szCs w:val="14"/>
          <w:color w:val="auto"/>
        </w:rPr>
      </w:pPr>
    </w:p>
    <w:p>
      <w:pPr>
        <w:ind w:left="520" w:right="499" w:hanging="157"/>
        <w:spacing w:after="0" w:line="249"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reduce the redemption price or fundamental change repurchase price for any note or change the times at which, or the circumstances under which, the notes may or will be redeemed or repurchased by us;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reduce the rate, or extend the time for the payment, of interest on any note;</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any change that adversely affects the conversion rights of any note;</w:t>
      </w:r>
    </w:p>
    <w:p>
      <w:pPr>
        <w:spacing w:after="0" w:line="102" w:lineRule="exact"/>
        <w:rPr>
          <w:rFonts w:ascii="Arial" w:cs="Arial" w:eastAsia="Arial" w:hAnsi="Arial"/>
          <w:sz w:val="14"/>
          <w:szCs w:val="14"/>
          <w:color w:val="auto"/>
        </w:rPr>
      </w:pPr>
    </w:p>
    <w:p>
      <w:pPr>
        <w:ind w:left="520" w:right="479" w:hanging="157"/>
        <w:spacing w:after="0" w:line="298" w:lineRule="auto"/>
        <w:tabs>
          <w:tab w:leader="none" w:pos="5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impair the absolute rights of any holder of a note to receive payment or delivery, as applicable, of the principal of, or the fundamental change repurchase price or redemption price for, or any interest on, or the consideration due upon conversion of, such note on or after the respective due dates therefor, or to bring suit for the enforcement of any such payment or delivery on or after such due dates;</w:t>
      </w:r>
    </w:p>
    <w:p>
      <w:pPr>
        <w:spacing w:after="0" w:line="54" w:lineRule="exact"/>
        <w:rPr>
          <w:rFonts w:ascii="Arial" w:cs="Arial" w:eastAsia="Arial" w:hAnsi="Arial"/>
          <w:sz w:val="12"/>
          <w:szCs w:val="12"/>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 the ranking of the notes;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any note payable in money, or at a place of payment, other than that stated in the indenture or the note;</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reduce the amount of notes whose holders must consent to any amendment, supplement, waiver or other modification; or</w:t>
      </w:r>
    </w:p>
    <w:p>
      <w:pPr>
        <w:spacing w:after="0" w:line="102" w:lineRule="exact"/>
        <w:rPr>
          <w:rFonts w:ascii="Arial" w:cs="Arial" w:eastAsia="Arial" w:hAnsi="Arial"/>
          <w:sz w:val="14"/>
          <w:szCs w:val="14"/>
          <w:color w:val="auto"/>
        </w:rPr>
      </w:pPr>
    </w:p>
    <w:p>
      <w:pPr>
        <w:ind w:left="520" w:right="539" w:hanging="157"/>
        <w:spacing w:after="0" w:line="249"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make any direct or indirect change to any amendment, supplement, waiver or modification provision of the indenture or the notes that requires the consent of each affected noteholder.</w:t>
      </w:r>
    </w:p>
    <w:p>
      <w:pPr>
        <w:spacing w:after="0" w:line="82" w:lineRule="exact"/>
        <w:rPr>
          <w:sz w:val="20"/>
          <w:szCs w:val="20"/>
          <w:color w:val="auto"/>
        </w:rPr>
      </w:pPr>
    </w:p>
    <w:p>
      <w:pPr>
        <w:ind w:left="360" w:right="739"/>
        <w:spacing w:after="0" w:line="249" w:lineRule="auto"/>
        <w:rPr>
          <w:sz w:val="20"/>
          <w:szCs w:val="20"/>
          <w:color w:val="auto"/>
        </w:rPr>
      </w:pPr>
      <w:r>
        <w:rPr>
          <w:rFonts w:ascii="Arial" w:cs="Arial" w:eastAsia="Arial" w:hAnsi="Arial"/>
          <w:sz w:val="14"/>
          <w:szCs w:val="14"/>
          <w:color w:val="auto"/>
        </w:rPr>
        <w:t>Notwithstanding anything to the contrary above, we and the trustee may amend or supplement the indenture or the notes without the consent of any noteholder to:</w:t>
      </w:r>
    </w:p>
    <w:p>
      <w:pPr>
        <w:spacing w:after="0" w:line="82" w:lineRule="exact"/>
        <w:rPr>
          <w:sz w:val="20"/>
          <w:szCs w:val="20"/>
          <w:color w:val="auto"/>
        </w:rPr>
      </w:pPr>
    </w:p>
    <w:p>
      <w:pPr>
        <w:ind w:left="520" w:hanging="1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cure any ambiguity or correct any omission, defect or inconsistency in the indenture or the notes;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add guarantees with respect to our obligations under the indenture or the notes;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secure the notes;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add to our covenants or events of default for the benefit of noteholders or surrender any right or power conferred on us;</w:t>
      </w:r>
    </w:p>
    <w:p>
      <w:pPr>
        <w:spacing w:after="0" w:line="102" w:lineRule="exact"/>
        <w:rPr>
          <w:rFonts w:ascii="Arial" w:cs="Arial" w:eastAsia="Arial" w:hAnsi="Arial"/>
          <w:sz w:val="14"/>
          <w:szCs w:val="14"/>
          <w:color w:val="auto"/>
        </w:rPr>
      </w:pPr>
    </w:p>
    <w:p>
      <w:pPr>
        <w:ind w:left="520" w:right="699" w:hanging="157"/>
        <w:spacing w:after="0" w:line="249"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for the assumption of our obligations under the indenture and the notes pursuant to, and in compliance with, the provisions described above under the caption “—Consolidation, Merger and Asset Sale”;</w:t>
      </w:r>
    </w:p>
    <w:p>
      <w:pPr>
        <w:spacing w:after="0" w:line="82" w:lineRule="exact"/>
        <w:rPr>
          <w:rFonts w:ascii="Arial" w:cs="Arial" w:eastAsia="Arial" w:hAnsi="Arial"/>
          <w:sz w:val="14"/>
          <w:szCs w:val="14"/>
          <w:color w:val="auto"/>
        </w:rPr>
      </w:pPr>
    </w:p>
    <w:p>
      <w:pPr>
        <w:ind w:left="520" w:right="999" w:hanging="157"/>
        <w:spacing w:after="0" w:line="331" w:lineRule="auto"/>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 into supplemental indentures pursuant to, and in accordance with, the provisions described above under the caption “— Conversion Rights—Effect of Common Stock Change Event” in connection with a common stock change event;</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S-51</w:t>
      </w:r>
    </w:p>
    <w:p>
      <w:pPr>
        <w:sectPr>
          <w:pgSz w:w="11900" w:h="16838" w:orient="portrait"/>
          <w:cols w:equalWidth="0" w:num="1">
            <w:col w:w="9019"/>
          </w:cols>
          <w:pgMar w:left="1440" w:top="230" w:right="1440" w:bottom="1440" w:gutter="0" w:footer="0" w:header="0"/>
        </w:sectPr>
      </w:pPr>
    </w:p>
    <w:bookmarkStart w:id="54" w:name="page55"/>
    <w:bookmarkEnd w:id="54"/>
    <w:p>
      <w:pPr>
        <w:ind w:left="520" w:right="439" w:hanging="157"/>
        <w:spacing w:after="0" w:line="238"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irrevocably elect or eliminate any settlement method or specified dollar amount;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such election or elimination will affect any settlement method theretofore elected (or deemed to be elected) with respect to any note pursuant to the provisions described above under the caption “—Conversion Rights—Settlement Upon Conversion—Settlement Method”;</w:t>
      </w:r>
    </w:p>
    <w:p>
      <w:pPr>
        <w:spacing w:after="0" w:line="89" w:lineRule="exact"/>
        <w:rPr>
          <w:rFonts w:ascii="Arial" w:cs="Arial" w:eastAsia="Arial" w:hAnsi="Arial"/>
          <w:sz w:val="14"/>
          <w:szCs w:val="14"/>
          <w:color w:val="auto"/>
        </w:rPr>
      </w:pPr>
    </w:p>
    <w:p>
      <w:pPr>
        <w:ind w:left="520" w:hanging="157"/>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evidence or provide for the acceptance of the appointment of a successor trustee;</w:t>
      </w:r>
    </w:p>
    <w:p>
      <w:pPr>
        <w:spacing w:after="0" w:line="102" w:lineRule="exact"/>
        <w:rPr>
          <w:rFonts w:ascii="Arial" w:cs="Arial" w:eastAsia="Arial" w:hAnsi="Arial"/>
          <w:sz w:val="14"/>
          <w:szCs w:val="14"/>
          <w:color w:val="auto"/>
        </w:rPr>
      </w:pPr>
    </w:p>
    <w:p>
      <w:pPr>
        <w:ind w:left="520" w:right="399" w:hanging="157"/>
        <w:spacing w:after="0" w:line="249"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conform the provisions of the indenture and the notes to the “Description of Notes” section of the preliminary prospectus supplement for this offering, as supplemented by the related pricing term sheet;</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provide for or confirm the issuance of additional notes pursuant to the indenture;</w:t>
      </w:r>
    </w:p>
    <w:p>
      <w:pPr>
        <w:spacing w:after="0" w:line="102" w:lineRule="exact"/>
        <w:rPr>
          <w:rFonts w:ascii="Arial" w:cs="Arial" w:eastAsia="Arial" w:hAnsi="Arial"/>
          <w:sz w:val="14"/>
          <w:szCs w:val="14"/>
          <w:color w:val="auto"/>
        </w:rPr>
      </w:pPr>
    </w:p>
    <w:p>
      <w:pPr>
        <w:ind w:left="520" w:right="439" w:hanging="157"/>
        <w:spacing w:after="0" w:line="235"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provide for any transfer restrictions that apply to any notes issued under the indenture (other than the notes issued in this offering, and any notes issued in exchange therefor or in substitution thereof) that, at the time of their original issuance, constitute “restricted securities” within the meaning of Rule 144 under the Securities Act or that are originally issued in reliance upon Regulation S under the Securities Act;</w:t>
      </w:r>
    </w:p>
    <w:p>
      <w:pPr>
        <w:spacing w:after="0" w:line="90" w:lineRule="exact"/>
        <w:rPr>
          <w:rFonts w:ascii="Arial" w:cs="Arial" w:eastAsia="Arial" w:hAnsi="Arial"/>
          <w:sz w:val="14"/>
          <w:szCs w:val="14"/>
          <w:color w:val="auto"/>
        </w:rPr>
      </w:pPr>
    </w:p>
    <w:p>
      <w:pPr>
        <w:ind w:left="520" w:right="679" w:hanging="157"/>
        <w:spacing w:after="0" w:line="249"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comply with any requirement of the SEC in connection with effecting or maintaining the qualification of the indenture, or any related supplemental indenture, under the Trust Indenture Act, as then in effect; or</w:t>
      </w:r>
    </w:p>
    <w:p>
      <w:pPr>
        <w:spacing w:after="0" w:line="82" w:lineRule="exact"/>
        <w:rPr>
          <w:rFonts w:ascii="Arial" w:cs="Arial" w:eastAsia="Arial" w:hAnsi="Arial"/>
          <w:sz w:val="14"/>
          <w:szCs w:val="14"/>
          <w:color w:val="auto"/>
        </w:rPr>
      </w:pPr>
    </w:p>
    <w:p>
      <w:pPr>
        <w:ind w:left="520" w:right="919" w:hanging="157"/>
        <w:spacing w:after="0" w:line="249"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make any other change to the indenture or the notes that does not, individually or in the aggregate with all other such changes, adversely affect the rights of noteholders, as such, in any material respect, as determined by us in good faith.</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Exchange Act Reports</w:t>
      </w:r>
    </w:p>
    <w:p>
      <w:pPr>
        <w:spacing w:after="0" w:line="119" w:lineRule="exact"/>
        <w:rPr>
          <w:sz w:val="20"/>
          <w:szCs w:val="20"/>
          <w:color w:val="auto"/>
        </w:rPr>
      </w:pPr>
    </w:p>
    <w:p>
      <w:pPr>
        <w:ind w:left="360" w:right="459"/>
        <w:spacing w:after="0" w:line="230" w:lineRule="auto"/>
        <w:rPr>
          <w:sz w:val="20"/>
          <w:szCs w:val="20"/>
          <w:color w:val="auto"/>
        </w:rPr>
      </w:pPr>
      <w:r>
        <w:rPr>
          <w:rFonts w:ascii="Arial" w:cs="Arial" w:eastAsia="Arial" w:hAnsi="Arial"/>
          <w:sz w:val="14"/>
          <w:szCs w:val="14"/>
          <w:color w:val="auto"/>
        </w:rPr>
        <w:t>We will send to the trustee copies of all reports that we are required to file with the SEC pursuant to Section 13(a) or 15(d) of the Exchange Act (other than Form 8-K reports) within 15 calendar days after the date that we are required to so file the same (after giving effect to all applicable grace periods under the Exchange Act). However, we need not send to the trustee any material for which we have received, or are seeking in good faith and have not been denied, confidential treatment by the SEC. Any such report that we file with the SEC through the EDGAR system (or any successor thereto) will be deemed to be sent to the trustee at the time such report is so filed via the EDGAR system (or such successor). Upon the request of any noteholder, the trustee will provide to the noteholder a copy of any report that we have sent the trustee pursuant to the provisions described above, other than a report that is deemed to be sent to the trustee pursuant to the preceding sentence. We will also comply with our other obligations under Section 314(a)(1) of the Trust Indenture Act.</w:t>
      </w:r>
    </w:p>
    <w:p>
      <w:pPr>
        <w:spacing w:after="0" w:line="93" w:lineRule="exact"/>
        <w:rPr>
          <w:sz w:val="20"/>
          <w:szCs w:val="20"/>
          <w:color w:val="auto"/>
        </w:rPr>
      </w:pPr>
    </w:p>
    <w:p>
      <w:pPr>
        <w:jc w:val="both"/>
        <w:ind w:left="360" w:right="579"/>
        <w:spacing w:after="0" w:line="238" w:lineRule="auto"/>
        <w:rPr>
          <w:sz w:val="20"/>
          <w:szCs w:val="20"/>
          <w:color w:val="auto"/>
        </w:rPr>
      </w:pPr>
      <w:r>
        <w:rPr>
          <w:rFonts w:ascii="Arial" w:cs="Arial" w:eastAsia="Arial" w:hAnsi="Arial"/>
          <w:sz w:val="14"/>
          <w:szCs w:val="14"/>
          <w:color w:val="auto"/>
        </w:rPr>
        <w:t>The “grace periods” referred to in the preceding paragraph with respect to any report will include the maximum period afforded by Rule 12b-25 (or any successor rule thereto) under the Exchange Act regardless of whether we file, or indicate in the related Form 12b-25 (or any successor form thereto) that we expect to or will file, such report before the expiration of such maximum period.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Discharge</w:t>
      </w:r>
    </w:p>
    <w:p>
      <w:pPr>
        <w:spacing w:after="0" w:line="119" w:lineRule="exact"/>
        <w:rPr>
          <w:sz w:val="20"/>
          <w:szCs w:val="20"/>
          <w:color w:val="auto"/>
        </w:rPr>
      </w:pPr>
    </w:p>
    <w:p>
      <w:pPr>
        <w:jc w:val="both"/>
        <w:ind w:left="360" w:right="579"/>
        <w:spacing w:after="0" w:line="238" w:lineRule="auto"/>
        <w:rPr>
          <w:sz w:val="20"/>
          <w:szCs w:val="20"/>
          <w:color w:val="auto"/>
        </w:rPr>
      </w:pPr>
      <w:r>
        <w:rPr>
          <w:rFonts w:ascii="Arial" w:cs="Arial" w:eastAsia="Arial" w:hAnsi="Arial"/>
          <w:sz w:val="14"/>
          <w:szCs w:val="14"/>
          <w:color w:val="auto"/>
        </w:rPr>
        <w:t>For purposes of the notes, the description below under this section titled “—Discharge” supersedes, in its entirety, the information in the accompanying prospectus under the caption “Description of Debt Securities—Defeasance of Debt Securities and Certain Covenants in Certain Circumstances.”</w:t>
      </w:r>
    </w:p>
    <w:p>
      <w:pPr>
        <w:spacing w:after="0" w:line="79" w:lineRule="exact"/>
        <w:rPr>
          <w:sz w:val="20"/>
          <w:szCs w:val="20"/>
          <w:color w:val="auto"/>
        </w:rPr>
      </w:pPr>
    </w:p>
    <w:p>
      <w:pPr>
        <w:ind w:left="360" w:right="559"/>
        <w:spacing w:after="0" w:line="287" w:lineRule="auto"/>
        <w:rPr>
          <w:sz w:val="20"/>
          <w:szCs w:val="20"/>
          <w:color w:val="auto"/>
        </w:rPr>
      </w:pPr>
      <w:r>
        <w:rPr>
          <w:rFonts w:ascii="Arial" w:cs="Arial" w:eastAsia="Arial" w:hAnsi="Arial"/>
          <w:sz w:val="12"/>
          <w:szCs w:val="12"/>
          <w:color w:val="auto"/>
        </w:rPr>
        <w:t>Subject to the terms of the indenture, our obligations with respect to the notes under the indenture will be discharged if we deliver all outstanding notes to the trustee for cancellation, or if all outstanding notes have become due and payable (including upon conversion, if the consideration due upon such conversion has been determined) and we have irrevocably deposited with the trustee, or caused to be delivered to noteholders, sufficient cash or other consideration to satisfy all amounts that have become due and payable.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S-52</w:t>
      </w:r>
    </w:p>
    <w:p>
      <w:pPr>
        <w:sectPr>
          <w:pgSz w:w="11900" w:h="16838" w:orient="portrait"/>
          <w:cols w:equalWidth="0" w:num="1">
            <w:col w:w="9019"/>
          </w:cols>
          <w:pgMar w:left="1440" w:top="239" w:right="1440" w:bottom="1440" w:gutter="0" w:footer="0" w:header="0"/>
        </w:sectPr>
      </w:pPr>
    </w:p>
    <w:bookmarkStart w:id="55" w:name="page56"/>
    <w:bookmarkEnd w:id="5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Calculations</w:t>
      </w:r>
    </w:p>
    <w:p>
      <w:pPr>
        <w:spacing w:after="0" w:line="119" w:lineRule="exact"/>
        <w:rPr>
          <w:sz w:val="20"/>
          <w:szCs w:val="20"/>
          <w:color w:val="auto"/>
        </w:rPr>
      </w:pPr>
    </w:p>
    <w:p>
      <w:pPr>
        <w:ind w:left="360" w:right="499"/>
        <w:spacing w:after="0" w:line="232" w:lineRule="auto"/>
        <w:rPr>
          <w:sz w:val="20"/>
          <w:szCs w:val="20"/>
          <w:color w:val="auto"/>
        </w:rPr>
      </w:pPr>
      <w:r>
        <w:rPr>
          <w:rFonts w:ascii="Arial" w:cs="Arial" w:eastAsia="Arial" w:hAnsi="Arial"/>
          <w:sz w:val="14"/>
          <w:szCs w:val="14"/>
          <w:color w:val="auto"/>
        </w:rPr>
        <w:t>Except as otherwise provided in the indenture, we will be responsible for making all calculations called for under the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 We will make all calculations in good faith, and, absent manifest error, our calculations will be final and binding on all noteholders. We will provide a schedule of our calculations to the trustee, and the trustee will promptly forward a copy of each such schedule to any noteholder upon written request.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Trustee</w:t>
      </w:r>
    </w:p>
    <w:p>
      <w:pPr>
        <w:spacing w:after="0" w:line="119" w:lineRule="exact"/>
        <w:rPr>
          <w:sz w:val="20"/>
          <w:szCs w:val="20"/>
          <w:color w:val="auto"/>
        </w:rPr>
      </w:pPr>
    </w:p>
    <w:p>
      <w:pPr>
        <w:ind w:left="360" w:right="399"/>
        <w:spacing w:after="0" w:line="235" w:lineRule="auto"/>
        <w:rPr>
          <w:sz w:val="20"/>
          <w:szCs w:val="20"/>
          <w:color w:val="auto"/>
        </w:rPr>
      </w:pPr>
      <w:r>
        <w:rPr>
          <w:rFonts w:ascii="Arial" w:cs="Arial" w:eastAsia="Arial" w:hAnsi="Arial"/>
          <w:sz w:val="14"/>
          <w:szCs w:val="14"/>
          <w:color w:val="auto"/>
        </w:rPr>
        <w:t>The trustee under the indenture is U.S. Bank Trust Company, National Association. The trustee assumes no responsibility for the accuracy or completeness of the information contained in this prospectus supplement, the accompanying prospectus or the related documents. The trustee and its affiliates have in the past provided and may from time to time in the future provide banking and other services to us in the ordinary course of business.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Notices</w:t>
      </w:r>
    </w:p>
    <w:p>
      <w:pPr>
        <w:spacing w:after="0" w:line="119" w:lineRule="exact"/>
        <w:rPr>
          <w:sz w:val="20"/>
          <w:szCs w:val="20"/>
          <w:color w:val="auto"/>
        </w:rPr>
      </w:pPr>
    </w:p>
    <w:p>
      <w:pPr>
        <w:ind w:left="360" w:right="399"/>
        <w:spacing w:after="0" w:line="234" w:lineRule="auto"/>
        <w:rPr>
          <w:sz w:val="20"/>
          <w:szCs w:val="20"/>
          <w:color w:val="auto"/>
        </w:rPr>
      </w:pPr>
      <w:r>
        <w:rPr>
          <w:rFonts w:ascii="Arial" w:cs="Arial" w:eastAsia="Arial" w:hAnsi="Arial"/>
          <w:sz w:val="14"/>
          <w:szCs w:val="14"/>
          <w:color w:val="auto"/>
        </w:rPr>
        <w:t>We will send all notices or communications to noteholders pursuant to the indenture in writing by first class mail, certified or registered, return receipt requested, or by overnight air courier guaranteeing next day delivery, to the noteholders’ respective addresses shown on the register for the notes. However, in the case of global notes, we are permitted to send notices or communications to noteholders pursuant to the depositary procedures, and notices and communications that we send in this manner will be deemed to have been properly sent to such noteholders in writing.</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 Personal Liability of Directors, Officers, Employees and Stockholders</w:t>
      </w:r>
    </w:p>
    <w:p>
      <w:pPr>
        <w:spacing w:after="0" w:line="119" w:lineRule="exact"/>
        <w:rPr>
          <w:sz w:val="20"/>
          <w:szCs w:val="20"/>
          <w:color w:val="auto"/>
        </w:rPr>
      </w:pPr>
    </w:p>
    <w:p>
      <w:pPr>
        <w:ind w:left="360" w:right="619"/>
        <w:spacing w:after="0" w:line="238" w:lineRule="auto"/>
        <w:rPr>
          <w:sz w:val="20"/>
          <w:szCs w:val="20"/>
          <w:color w:val="auto"/>
        </w:rPr>
      </w:pPr>
      <w:r>
        <w:rPr>
          <w:rFonts w:ascii="Arial" w:cs="Arial" w:eastAsia="Arial" w:hAnsi="Arial"/>
          <w:sz w:val="14"/>
          <w:szCs w:val="14"/>
          <w:color w:val="auto"/>
        </w:rPr>
        <w:t>For purposes of the notes, the description below under this section titled “—No Personal Liability of Directors, Officers, Employees and Stockholders” supersedes, in its entirety, the information in the accompanying prospectus under the caption “Description of Debt Securities—No Personal Liability of Directors, Officers, Employees or Stockholders.”</w:t>
      </w:r>
    </w:p>
    <w:p>
      <w:pPr>
        <w:spacing w:after="0" w:line="79"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No past, present or future director, officer, employee, incorporator or stockholder of ours, as such, will have any liability for any obligations of ours under the indenture or the notes or for any claim based on, in respect of, or by reason of, such obligations or their creation. By accepting any note, each noteholder will be deemed to waive and release all such liability, and such waiver and release are part of the consideration for the issuance of the notes.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Governing Law; Waiver of Jury Trial</w:t>
      </w:r>
    </w:p>
    <w:p>
      <w:pPr>
        <w:spacing w:after="0" w:line="108" w:lineRule="exact"/>
        <w:rPr>
          <w:sz w:val="20"/>
          <w:szCs w:val="20"/>
          <w:color w:val="auto"/>
        </w:rPr>
      </w:pPr>
    </w:p>
    <w:p>
      <w:pPr>
        <w:ind w:left="360" w:right="859"/>
        <w:spacing w:after="0" w:line="331" w:lineRule="auto"/>
        <w:rPr>
          <w:sz w:val="20"/>
          <w:szCs w:val="20"/>
          <w:color w:val="auto"/>
        </w:rPr>
      </w:pPr>
      <w:r>
        <w:rPr>
          <w:rFonts w:ascii="Arial" w:cs="Arial" w:eastAsia="Arial" w:hAnsi="Arial"/>
          <w:sz w:val="12"/>
          <w:szCs w:val="12"/>
          <w:color w:val="auto"/>
        </w:rPr>
        <w:t>For purposes of the notes, the description below under this section titled “—Governing Law; Waiver of Jury Trial” supersedes, in its entirety, the information in the accompanying prospectus under the caption “Description of Debt Securities—Governing Law.”</w:t>
      </w:r>
    </w:p>
    <w:p>
      <w:pPr>
        <w:spacing w:after="0" w:line="35"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The indenture and the notes, and any claim, controversy or dispute arising under or related to the indenture or the notes, will be governed by and construed in accordance with the laws of the state of New York. The indenture will provide that we and the trustee will irrevocably waive, to the fullest extent permitted by applicable law, any and all right to trial by jury in any legal proceeding arising out of or relating to the indenture, the notes or the transactions contemplated by the indenture or the notes.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S-53</w:t>
      </w:r>
    </w:p>
    <w:p>
      <w:pPr>
        <w:sectPr>
          <w:pgSz w:w="11900" w:h="16838" w:orient="portrait"/>
          <w:cols w:equalWidth="0" w:num="1">
            <w:col w:w="9019"/>
          </w:cols>
          <w:pgMar w:left="1440" w:top="230" w:right="1440" w:bottom="1440" w:gutter="0" w:footer="0" w:header="0"/>
        </w:sectPr>
      </w:pPr>
    </w:p>
    <w:bookmarkStart w:id="56" w:name="page57"/>
    <w:bookmarkEnd w:id="56"/>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Submission to Jurisdiction</w:t>
      </w:r>
    </w:p>
    <w:p>
      <w:pPr>
        <w:spacing w:after="0" w:line="119" w:lineRule="exact"/>
        <w:rPr>
          <w:sz w:val="20"/>
          <w:szCs w:val="20"/>
          <w:color w:val="auto"/>
        </w:rPr>
      </w:pPr>
    </w:p>
    <w:p>
      <w:pPr>
        <w:ind w:left="360" w:right="699"/>
        <w:spacing w:after="0" w:line="249" w:lineRule="auto"/>
        <w:rPr>
          <w:sz w:val="20"/>
          <w:szCs w:val="20"/>
          <w:color w:val="auto"/>
        </w:rPr>
      </w:pPr>
      <w:r>
        <w:rPr>
          <w:rFonts w:ascii="Arial" w:cs="Arial" w:eastAsia="Arial" w:hAnsi="Arial"/>
          <w:sz w:val="14"/>
          <w:szCs w:val="14"/>
          <w:color w:val="auto"/>
        </w:rPr>
        <w:t>For purposes of the notes, the description below under this section titled “—Submission to Jurisdiction” supersedes, in its entirety, the information in the accompanying prospectus under the caption “Description of Debt Securities—Governing Law.”</w:t>
      </w:r>
    </w:p>
    <w:p>
      <w:pPr>
        <w:spacing w:after="0" w:line="72" w:lineRule="exact"/>
        <w:rPr>
          <w:sz w:val="20"/>
          <w:szCs w:val="20"/>
          <w:color w:val="auto"/>
        </w:rPr>
      </w:pPr>
    </w:p>
    <w:p>
      <w:pPr>
        <w:ind w:left="360" w:right="379"/>
        <w:spacing w:after="0" w:line="230" w:lineRule="auto"/>
        <w:rPr>
          <w:sz w:val="20"/>
          <w:szCs w:val="20"/>
          <w:color w:val="auto"/>
        </w:rPr>
      </w:pPr>
      <w:r>
        <w:rPr>
          <w:rFonts w:ascii="Arial" w:cs="Arial" w:eastAsia="Arial" w:hAnsi="Arial"/>
          <w:sz w:val="14"/>
          <w:szCs w:val="14"/>
          <w:color w:val="auto"/>
        </w:rPr>
        <w:t>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“specified courts”), and each party will be deemed to irrevocably submit to the non-exclusive jurisdiction of those courts in any such suit, action or proceeding. Service of any process, summons, notice or document by mail (to the extent allowed under any applicable statute or rule of court) to any party’s address as provided in the indenture will be effective service of process for any such suit, action or proceeding brought in any such court. Each of us, the trustee and each noteholder (by its acceptance of any note) will be deemed to irrevocably and unconditionally waive any objection to the laying of venue of any suit, action or other proceeding in the specified courts and to irrevocably and unconditionally waive and agree not to plead or claim any such suit, action or other proceeding has been brought in an inconvenient forum.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Definitions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“Affiliate” has the meaning set forth in Rule 144 under the Securities Act as in effect on the date we first issue the notes.</w:t>
      </w:r>
    </w:p>
    <w:p>
      <w:pPr>
        <w:spacing w:after="0" w:line="103" w:lineRule="exact"/>
        <w:rPr>
          <w:sz w:val="20"/>
          <w:szCs w:val="20"/>
          <w:color w:val="auto"/>
        </w:rPr>
      </w:pPr>
    </w:p>
    <w:p>
      <w:pPr>
        <w:ind w:left="360" w:right="559"/>
        <w:spacing w:after="0" w:line="238" w:lineRule="auto"/>
        <w:rPr>
          <w:sz w:val="20"/>
          <w:szCs w:val="20"/>
          <w:color w:val="auto"/>
        </w:rPr>
      </w:pPr>
      <w:r>
        <w:rPr>
          <w:rFonts w:ascii="Arial" w:cs="Arial" w:eastAsia="Arial" w:hAnsi="Arial"/>
          <w:sz w:val="14"/>
          <w:szCs w:val="14"/>
          <w:color w:val="auto"/>
        </w:rPr>
        <w:t>“Bid solicitation agent” means the person who is required to obtain bids for the trading price in accordance with the provisions described under the caption “—Conversion Rights—When the Notes May Be Converted—Conversion Upon Satisfaction of Note Trading Price Condition” and in the definition of “trading price.”</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“Board of directors” means our board of directors or a committee of such board duly authorized to act on behalf of such board.</w:t>
      </w:r>
    </w:p>
    <w:p>
      <w:pPr>
        <w:spacing w:after="0" w:line="93" w:lineRule="exact"/>
        <w:rPr>
          <w:sz w:val="20"/>
          <w:szCs w:val="20"/>
          <w:color w:val="auto"/>
        </w:rPr>
      </w:pPr>
    </w:p>
    <w:p>
      <w:pPr>
        <w:ind w:left="360" w:right="419"/>
        <w:spacing w:after="0" w:line="249" w:lineRule="auto"/>
        <w:rPr>
          <w:sz w:val="20"/>
          <w:szCs w:val="20"/>
          <w:color w:val="auto"/>
        </w:rPr>
      </w:pPr>
      <w:r>
        <w:rPr>
          <w:rFonts w:ascii="Arial" w:cs="Arial" w:eastAsia="Arial" w:hAnsi="Arial"/>
          <w:sz w:val="14"/>
          <w:szCs w:val="14"/>
          <w:color w:val="auto"/>
        </w:rPr>
        <w:t>“Business day” means any day other than a Saturday, a Sunday or any day on which the Federal Reserve Bank of New York is authorized or required by law or executive order to close or be closed.</w:t>
      </w:r>
    </w:p>
    <w:p>
      <w:pPr>
        <w:spacing w:after="0" w:line="82" w:lineRule="exact"/>
        <w:rPr>
          <w:sz w:val="20"/>
          <w:szCs w:val="20"/>
          <w:color w:val="auto"/>
        </w:rPr>
      </w:pPr>
    </w:p>
    <w:p>
      <w:pPr>
        <w:ind w:left="360" w:right="619"/>
        <w:spacing w:after="0" w:line="238" w:lineRule="auto"/>
        <w:rPr>
          <w:sz w:val="20"/>
          <w:szCs w:val="20"/>
          <w:color w:val="auto"/>
        </w:rPr>
      </w:pPr>
      <w:r>
        <w:rPr>
          <w:rFonts w:ascii="Arial" w:cs="Arial" w:eastAsia="Arial" w:hAnsi="Arial"/>
          <w:sz w:val="14"/>
          <w:szCs w:val="14"/>
          <w:color w:val="auto"/>
        </w:rPr>
        <w:t>“Capital stock”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“Close of business” means 5:00 p.m., New York City time.</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“Conversion price” means, as of any time, an amount equal to (i) $1,000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conversion rate in effect at such time.</w:t>
      </w:r>
    </w:p>
    <w:p>
      <w:pPr>
        <w:spacing w:after="0" w:line="103" w:lineRule="exact"/>
        <w:rPr>
          <w:sz w:val="20"/>
          <w:szCs w:val="20"/>
          <w:color w:val="auto"/>
        </w:rPr>
      </w:pPr>
    </w:p>
    <w:p>
      <w:pPr>
        <w:ind w:left="360" w:right="639"/>
        <w:spacing w:after="0" w:line="235" w:lineRule="auto"/>
        <w:rPr>
          <w:sz w:val="20"/>
          <w:szCs w:val="20"/>
          <w:color w:val="auto"/>
        </w:rPr>
      </w:pPr>
      <w:r>
        <w:rPr>
          <w:rFonts w:ascii="Arial" w:cs="Arial" w:eastAsia="Arial" w:hAnsi="Arial"/>
          <w:sz w:val="14"/>
          <w:szCs w:val="14"/>
          <w:color w:val="auto"/>
        </w:rPr>
        <w:t>“Conversion rate” initially means 5.0302 shares of our common stock per $1,000 principal amount of notes, which amount is subject to adjustment as described above under the caption “—Conversion Rights.” Whenever in this prospectus supplement we refer to the conversion rate as of a particular date without setting forth a particular time on such date, such reference will be deemed to be to the conversion rate immediately after the close of business on such date.</w:t>
      </w:r>
    </w:p>
    <w:p>
      <w:pPr>
        <w:spacing w:after="0" w:line="90" w:lineRule="exact"/>
        <w:rPr>
          <w:sz w:val="20"/>
          <w:szCs w:val="20"/>
          <w:color w:val="auto"/>
        </w:rPr>
      </w:pPr>
    </w:p>
    <w:p>
      <w:pPr>
        <w:ind w:left="360" w:right="779"/>
        <w:spacing w:after="0" w:line="249" w:lineRule="auto"/>
        <w:rPr>
          <w:sz w:val="20"/>
          <w:szCs w:val="20"/>
          <w:color w:val="auto"/>
        </w:rPr>
      </w:pPr>
      <w:r>
        <w:rPr>
          <w:rFonts w:ascii="Arial" w:cs="Arial" w:eastAsia="Arial" w:hAnsi="Arial"/>
          <w:sz w:val="14"/>
          <w:szCs w:val="14"/>
          <w:color w:val="auto"/>
        </w:rPr>
        <w:t>“Daily cash amount” means, with respect to any VWAP trading day, the lesser of (i) the applicable daily maximum cash amount; and (ii) the daily conversion value for such VWAP trading day.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S-54</w:t>
      </w:r>
    </w:p>
    <w:p>
      <w:pPr>
        <w:sectPr>
          <w:pgSz w:w="11900" w:h="16838" w:orient="portrait"/>
          <w:cols w:equalWidth="0" w:num="1">
            <w:col w:w="9019"/>
          </w:cols>
          <w:pgMar w:left="1440" w:top="230" w:right="1440" w:bottom="1440" w:gutter="0" w:footer="0" w:header="0"/>
        </w:sectPr>
      </w:pPr>
    </w:p>
    <w:bookmarkStart w:id="57" w:name="page58"/>
    <w:bookmarkEnd w:id="57"/>
    <w:p>
      <w:pPr>
        <w:ind w:left="360" w:right="51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“Daily conversion value” means, with respect to any VWAP trading day, one-30th of the product of (i) the conversion rate on such VWAP trading day; and (ii) the daily VWAP per share of our common stock on such VWAP trading day.</w:t>
      </w:r>
    </w:p>
    <w:p>
      <w:pPr>
        <w:spacing w:after="0" w:line="82" w:lineRule="exact"/>
        <w:rPr>
          <w:sz w:val="20"/>
          <w:szCs w:val="20"/>
          <w:color w:val="auto"/>
        </w:rPr>
      </w:pPr>
    </w:p>
    <w:p>
      <w:pPr>
        <w:ind w:left="360" w:right="479"/>
        <w:spacing w:after="0" w:line="249" w:lineRule="auto"/>
        <w:rPr>
          <w:sz w:val="20"/>
          <w:szCs w:val="20"/>
          <w:color w:val="auto"/>
        </w:rPr>
      </w:pPr>
      <w:r>
        <w:rPr>
          <w:rFonts w:ascii="Arial" w:cs="Arial" w:eastAsia="Arial" w:hAnsi="Arial"/>
          <w:sz w:val="14"/>
          <w:szCs w:val="14"/>
          <w:color w:val="auto"/>
        </w:rPr>
        <w:t>“Daily maximum cash amount” means, with respect to the conversion of any note, the quotient obtained by dividing (i) the specified dollar amount applicable to such conversion by (ii) 30.</w:t>
      </w:r>
    </w:p>
    <w:p>
      <w:pPr>
        <w:spacing w:after="0" w:line="72" w:lineRule="exact"/>
        <w:rPr>
          <w:sz w:val="20"/>
          <w:szCs w:val="20"/>
          <w:color w:val="auto"/>
        </w:rPr>
      </w:pPr>
    </w:p>
    <w:p>
      <w:pPr>
        <w:ind w:left="360" w:right="659"/>
        <w:spacing w:after="0" w:line="235" w:lineRule="auto"/>
        <w:rPr>
          <w:sz w:val="20"/>
          <w:szCs w:val="20"/>
          <w:color w:val="auto"/>
        </w:rPr>
      </w:pPr>
      <w:r>
        <w:rPr>
          <w:rFonts w:ascii="Arial" w:cs="Arial" w:eastAsia="Arial" w:hAnsi="Arial"/>
          <w:sz w:val="14"/>
          <w:szCs w:val="14"/>
          <w:color w:val="auto"/>
        </w:rPr>
        <w:t>“Daily share amount” means, with respect to any VWAP trading day, the quotient obtained by dividing (i) the excess, if any, of the daily conversion value for such VWAP trading day over the applicable daily maximum cash amount by (ii) the daily VWAP for such VWAP trading day. For the avoidance of doubt, the daily share amount will be zero for such VWAP trading day if such daily conversion value does not exceed such daily maximum cash amount.</w:t>
      </w:r>
    </w:p>
    <w:p>
      <w:pPr>
        <w:spacing w:after="0" w:line="90"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“Daily VWAP” means, for any VWAP trading day, the per share volume-weighted average price of our common stock as displayed under the heading “Bloomberg VWAP” on Bloomberg page “RVMD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our common stock on such VWAP trading day, determined, using a volume-weighted average price method, by a nationally recognized independent investment banking firm we select, which may be any of the underwriters). The daily VWAP will be determined without regard to after-hours trading or any other trading outside of the regular trading session.</w:t>
      </w:r>
    </w:p>
    <w:p>
      <w:pPr>
        <w:spacing w:after="0" w:line="88" w:lineRule="exact"/>
        <w:rPr>
          <w:sz w:val="20"/>
          <w:szCs w:val="20"/>
          <w:color w:val="auto"/>
        </w:rPr>
      </w:pPr>
    </w:p>
    <w:p>
      <w:pPr>
        <w:ind w:left="360" w:right="2219"/>
        <w:spacing w:after="0" w:line="450" w:lineRule="auto"/>
        <w:rPr>
          <w:sz w:val="20"/>
          <w:szCs w:val="20"/>
          <w:color w:val="auto"/>
        </w:rPr>
      </w:pPr>
      <w:r>
        <w:rPr>
          <w:rFonts w:ascii="Arial" w:cs="Arial" w:eastAsia="Arial" w:hAnsi="Arial"/>
          <w:sz w:val="12"/>
          <w:szCs w:val="12"/>
          <w:color w:val="auto"/>
        </w:rPr>
        <w:t>“Default” means any event that is (or, after notice, passage of time or both, would be) an event of default. “Default interest” has the meaning set forth above under the caption “—Events of Default—Default Interest.”</w:t>
      </w:r>
    </w:p>
    <w:p>
      <w:pPr>
        <w:jc w:val="both"/>
        <w:ind w:left="360" w:right="639"/>
        <w:spacing w:after="0" w:line="331" w:lineRule="auto"/>
        <w:rPr>
          <w:sz w:val="20"/>
          <w:szCs w:val="20"/>
          <w:color w:val="auto"/>
        </w:rPr>
      </w:pPr>
      <w:r>
        <w:rPr>
          <w:rFonts w:ascii="Arial" w:cs="Arial" w:eastAsia="Arial" w:hAnsi="Arial"/>
          <w:sz w:val="12"/>
          <w:szCs w:val="12"/>
          <w:color w:val="auto"/>
        </w:rPr>
        <w:t>“Depositary procedures”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“DTC” means The Depository Trust Company.</w:t>
      </w:r>
    </w:p>
    <w:p>
      <w:pPr>
        <w:spacing w:after="0" w:line="93"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“Ex-dividend date” means, with respect to an issuance, dividend or distribution on our common stock, the first date on which shares of our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our common stock under a separate ticker symbol or CUSIP number will not be considered “regular way” for this purpose.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“Exchange Act” means the U.S. Securities Exchange Act of 1934, as amended.</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“Fundamental change” means any of the following events:</w:t>
      </w:r>
    </w:p>
    <w:p>
      <w:pPr>
        <w:spacing w:after="0" w:line="103" w:lineRule="exact"/>
        <w:rPr>
          <w:sz w:val="20"/>
          <w:szCs w:val="20"/>
          <w:color w:val="auto"/>
        </w:rPr>
      </w:pPr>
    </w:p>
    <w:p>
      <w:pPr>
        <w:ind w:left="680" w:right="479" w:hanging="317"/>
        <w:spacing w:after="0" w:line="235"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“person” or “group” (within the meaning of Section 13(d)(3) of the Exchange Act), other than us or our “wholly owned subsidiaries” (as defined below), or any employee benefit plans of ours or our wholly owned subsidiaries, files any report with the SEC indicating that such person or group has become the direct or indirect “beneficial owner” (as defined below) of shares of our common stock representing more than 50% of the voting power of all of our common stock;</w:t>
      </w:r>
    </w:p>
    <w:p>
      <w:pPr>
        <w:spacing w:after="0" w:line="90" w:lineRule="exact"/>
        <w:rPr>
          <w:rFonts w:ascii="Arial" w:cs="Arial" w:eastAsia="Arial" w:hAnsi="Arial"/>
          <w:sz w:val="14"/>
          <w:szCs w:val="14"/>
          <w:color w:val="auto"/>
        </w:rPr>
      </w:pPr>
    </w:p>
    <w:p>
      <w:pPr>
        <w:ind w:left="680" w:right="559" w:hanging="317"/>
        <w:spacing w:after="0" w:line="235"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consummation of: (1) any sale, lease or other transfer, in one transaction or a series of transactions, of all or substantially all of the assets of us and our subsidiaries, taken as a whole, to any person, other than solely to one or more of our wholly owned subsidiaries; or (2) any transaction or series of related transactions in connection with which (whether by means of merger, consolidation, share exchange,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S-55</w:t>
      </w:r>
    </w:p>
    <w:p>
      <w:pPr>
        <w:sectPr>
          <w:pgSz w:w="11900" w:h="16838" w:orient="portrait"/>
          <w:cols w:equalWidth="0" w:num="1">
            <w:col w:w="9019"/>
          </w:cols>
          <w:pgMar w:left="1440" w:top="238" w:right="1440" w:bottom="1440" w:gutter="0" w:footer="0" w:header="0"/>
        </w:sectPr>
      </w:pPr>
    </w:p>
    <w:bookmarkStart w:id="58" w:name="page59"/>
    <w:bookmarkEnd w:id="58"/>
    <w:p>
      <w:pPr>
        <w:ind w:left="680" w:right="419"/>
        <w:spacing w:after="0" w:line="27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combination, reclassification, recapitalization, acquisition, liquidation or otherwise) all of our common stock is exchanged for, converted into, acquired for, or constitutes solely the right to receive, other securities, cash or other property;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merger, consolidation, share exchange or combination of us pursuant to which the persons that directly or indirectly “beneficially owned” (as defined below) all classes of our common equity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clause (ii);</w:t>
      </w:r>
    </w:p>
    <w:p>
      <w:pPr>
        <w:spacing w:after="0" w:line="70" w:lineRule="exact"/>
        <w:rPr>
          <w:sz w:val="20"/>
          <w:szCs w:val="20"/>
          <w:color w:val="auto"/>
        </w:rPr>
      </w:pPr>
    </w:p>
    <w:p>
      <w:pPr>
        <w:ind w:left="680" w:hanging="317"/>
        <w:spacing w:after="0"/>
        <w:tabs>
          <w:tab w:leader="none" w:pos="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stockholders approve any plan or proposal for our liquidation or dissolution; or</w:t>
      </w:r>
    </w:p>
    <w:p>
      <w:pPr>
        <w:spacing w:after="0" w:line="102" w:lineRule="exact"/>
        <w:rPr>
          <w:rFonts w:ascii="Arial" w:cs="Arial" w:eastAsia="Arial" w:hAnsi="Arial"/>
          <w:sz w:val="14"/>
          <w:szCs w:val="14"/>
          <w:color w:val="auto"/>
        </w:rPr>
      </w:pPr>
    </w:p>
    <w:p>
      <w:pPr>
        <w:ind w:left="680" w:right="659" w:hanging="317"/>
        <w:spacing w:after="0" w:line="249" w:lineRule="auto"/>
        <w:tabs>
          <w:tab w:leader="none" w:pos="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common stock ceases to be listed on any of the New York Stock Exchange, the Nasdaq Global Market or the Nasdaq Global Select Market (or any of their respective successors);</w:t>
      </w:r>
    </w:p>
    <w:p>
      <w:pPr>
        <w:spacing w:after="0" w:line="82" w:lineRule="exact"/>
        <w:rPr>
          <w:sz w:val="20"/>
          <w:szCs w:val="20"/>
          <w:color w:val="auto"/>
        </w:rPr>
      </w:pPr>
    </w:p>
    <w:p>
      <w:pPr>
        <w:ind w:left="360" w:right="459"/>
        <w:spacing w:after="0" w:line="275"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a transaction or event described in clause (i) or (ii) above will not constitute a fundamental change if at least 90%</w:t>
      </w:r>
      <w:r>
        <w:rPr>
          <w:rFonts w:ascii="Arial" w:cs="Arial" w:eastAsia="Arial" w:hAnsi="Arial"/>
          <w:sz w:val="12"/>
          <w:szCs w:val="12"/>
          <w:i w:val="1"/>
          <w:iCs w:val="1"/>
          <w:color w:val="auto"/>
        </w:rPr>
        <w:t xml:space="preserve"> </w:t>
      </w:r>
      <w:r>
        <w:rPr>
          <w:rFonts w:ascii="Arial" w:cs="Arial" w:eastAsia="Arial" w:hAnsi="Arial"/>
          <w:sz w:val="12"/>
          <w:szCs w:val="12"/>
          <w:color w:val="auto"/>
        </w:rPr>
        <w:t>of the consideration received or to be received by the holders of our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60" w:lineRule="exact"/>
        <w:rPr>
          <w:sz w:val="20"/>
          <w:szCs w:val="20"/>
          <w:color w:val="auto"/>
        </w:rPr>
      </w:pPr>
    </w:p>
    <w:p>
      <w:pPr>
        <w:ind w:left="360" w:right="379"/>
        <w:spacing w:after="0" w:line="235" w:lineRule="auto"/>
        <w:rPr>
          <w:sz w:val="20"/>
          <w:szCs w:val="20"/>
          <w:color w:val="auto"/>
        </w:rPr>
      </w:pPr>
      <w:r>
        <w:rPr>
          <w:rFonts w:ascii="Arial" w:cs="Arial" w:eastAsia="Arial" w:hAnsi="Arial"/>
          <w:sz w:val="14"/>
          <w:szCs w:val="14"/>
          <w:color w:val="auto"/>
        </w:rPr>
        <w:t>For the purposes of this definition, (x) any transaction or event described in both clause (i) and in clause (ii)(1) or (2) above (without regard to the proviso in clause (ii)) will be deemed to occur solely pursuant to clause (ii) above (subject to such proviso); and (y) whether a person is a “beneficial owner,” whether shares are “beneficially owned,” and percentage beneficial ownership, will be determined in accordance with Rule 13d-3 under the Exchange Act.</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“Holder” and “noteholder” mean a person in whose name a note is registered in the register for the notes.</w:t>
      </w:r>
    </w:p>
    <w:p>
      <w:pPr>
        <w:spacing w:after="0" w:line="103" w:lineRule="exact"/>
        <w:rPr>
          <w:sz w:val="20"/>
          <w:szCs w:val="20"/>
          <w:color w:val="auto"/>
        </w:rPr>
      </w:pPr>
    </w:p>
    <w:p>
      <w:pPr>
        <w:ind w:left="360" w:right="459"/>
        <w:spacing w:after="0" w:line="273" w:lineRule="auto"/>
        <w:rPr>
          <w:sz w:val="20"/>
          <w:szCs w:val="20"/>
          <w:color w:val="auto"/>
        </w:rPr>
      </w:pPr>
      <w:r>
        <w:rPr>
          <w:rFonts w:ascii="Arial" w:cs="Arial" w:eastAsia="Arial" w:hAnsi="Arial"/>
          <w:sz w:val="12"/>
          <w:szCs w:val="12"/>
          <w:color w:val="auto"/>
        </w:rPr>
        <w:t>“Last reported sale price” of our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our common stock on such trading day as reported in composite transactions for the principal U.S. national or regional securities exchange on which our common stock is then listed. If our common stock is not listed on a U.S. national or regional securities exchange on such trading day, then the last reported sale price will be the last quoted bid price per share of our common stock on such trading day in the over-the-counter market as reported by OTC Markets Group Inc. or a similar organization. If our common stock is not so quoted on such trading day, then the last reported sale price will be the average of the mid-point of the last bid price and the last ask price per share of our common stock on such trading day from a nationally recognized independent investment banking firm we select, which may be any of the underwriters.</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“Make-whole fundamental change” means (i) a fundamental change (determined after giving effect to the proviso immediately after clause</w:t>
      </w:r>
    </w:p>
    <w:p>
      <w:pPr>
        <w:spacing w:after="0" w:line="26" w:lineRule="exact"/>
        <w:rPr>
          <w:sz w:val="20"/>
          <w:szCs w:val="20"/>
          <w:color w:val="auto"/>
        </w:rPr>
      </w:pPr>
    </w:p>
    <w:p>
      <w:pPr>
        <w:ind w:left="360" w:right="379" w:firstLine="3"/>
        <w:spacing w:after="0" w:line="231" w:lineRule="auto"/>
        <w:tabs>
          <w:tab w:leader="none" w:pos="585"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of the definition thereof, but without regard to the proviso to clause (ii)(2) of such definition); or (ii) the sending of any redemption notice pursuant to the provisions described above under the caption “—Optional Redemption”;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sending of any such redemption notice will constitute a make-whole fundamental change only with respect to the notes called for redemption pursuant to such notice and not with respect to any other notes.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S-56</w:t>
      </w:r>
    </w:p>
    <w:p>
      <w:pPr>
        <w:sectPr>
          <w:pgSz w:w="11900" w:h="16838" w:orient="portrait"/>
          <w:cols w:equalWidth="0" w:num="1">
            <w:col w:w="9019"/>
          </w:cols>
          <w:pgMar w:left="1440" w:top="238" w:right="1440" w:bottom="1440" w:gutter="0" w:footer="0" w:header="0"/>
        </w:sectPr>
      </w:pPr>
    </w:p>
    <w:bookmarkStart w:id="59" w:name="page60"/>
    <w:bookmarkEnd w:id="59"/>
    <w:p>
      <w:pPr>
        <w:ind w:left="3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“Make-whole fundamental change conversion period” has the following meaning:</w:t>
      </w:r>
    </w:p>
    <w:p>
      <w:pPr>
        <w:spacing w:after="0" w:line="103" w:lineRule="exact"/>
        <w:rPr>
          <w:sz w:val="20"/>
          <w:szCs w:val="20"/>
          <w:color w:val="auto"/>
        </w:rPr>
      </w:pPr>
    </w:p>
    <w:p>
      <w:pPr>
        <w:ind w:left="680" w:right="399" w:hanging="317"/>
        <w:spacing w:after="0" w:line="287" w:lineRule="auto"/>
        <w:tabs>
          <w:tab w:leader="none" w:pos="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60" w:lineRule="exact"/>
        <w:rPr>
          <w:rFonts w:ascii="Arial" w:cs="Arial" w:eastAsia="Arial" w:hAnsi="Arial"/>
          <w:sz w:val="12"/>
          <w:szCs w:val="12"/>
          <w:color w:val="auto"/>
        </w:rPr>
      </w:pPr>
    </w:p>
    <w:p>
      <w:pPr>
        <w:ind w:left="680" w:right="519" w:hanging="317"/>
        <w:spacing w:after="0" w:line="238" w:lineRule="auto"/>
        <w:tabs>
          <w:tab w:leader="none" w:pos="6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case of a make-whole fundamental change pursuant to clause (ii) of the definition thereof, the period from, and including, the date we send the redemption notice for the related redemption to, and including, the second business day immediately before the related redemption date;</w:t>
      </w:r>
    </w:p>
    <w:p>
      <w:pPr>
        <w:spacing w:after="0" w:line="89" w:lineRule="exact"/>
        <w:rPr>
          <w:sz w:val="20"/>
          <w:szCs w:val="20"/>
          <w:color w:val="auto"/>
        </w:rPr>
      </w:pPr>
    </w:p>
    <w:p>
      <w:pPr>
        <w:ind w:left="360" w:right="439"/>
        <w:spacing w:after="0" w:line="232"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conversion date for the conversion of a note that has been called for redemption occurs during the make-whole fundamental change conversion period for both a make-whole fundamental change occurring pursuant to clause (i) of the definition of “make-whole fundamental change” and a make-whole fundamental change resulting from such redemption pursuant to clause (ii) of such definition, then,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78" w:lineRule="exact"/>
        <w:rPr>
          <w:sz w:val="20"/>
          <w:szCs w:val="20"/>
          <w:color w:val="auto"/>
        </w:rPr>
      </w:pPr>
    </w:p>
    <w:p>
      <w:pPr>
        <w:ind w:left="360" w:right="399"/>
        <w:spacing w:after="0" w:line="298" w:lineRule="auto"/>
        <w:rPr>
          <w:sz w:val="20"/>
          <w:szCs w:val="20"/>
          <w:color w:val="auto"/>
        </w:rPr>
      </w:pPr>
      <w:r>
        <w:rPr>
          <w:rFonts w:ascii="Arial" w:cs="Arial" w:eastAsia="Arial" w:hAnsi="Arial"/>
          <w:sz w:val="12"/>
          <w:szCs w:val="12"/>
          <w:color w:val="auto"/>
        </w:rPr>
        <w:t>“Make-whole fundamental change effective date” means (i) with respect to a make-whole fundamental change pursuant to clause (i) of the definition thereof, the date on which such make-whole fundamental change occurs or becomes effective; and (ii) with respect to a make-whole fundamental change pursuant to clause (ii) of the definition thereof, the applicable “redemption notice date” (as defined below).</w:t>
      </w:r>
    </w:p>
    <w:p>
      <w:pPr>
        <w:spacing w:after="0" w:line="54"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“Market disruption event” means, with respect to any date, the occurrence or existence, during the one-half hour period ending at the scheduled close of trading on such date on the principal U.S. national or regional securities exchange or other market on which our common stock is listed for trading or trades, of any material suspension or limitation imposed on trading (by reason of movements in price exceeding limits permitted by the relevant exchange or otherwise) in our common stock or in any options contracts or futures contracts relating to our common stock.</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“Maturity date” means May 1, 2033.</w:t>
      </w:r>
    </w:p>
    <w:p>
      <w:pPr>
        <w:spacing w:after="0" w:line="93"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“Observation period” means, with respect to any note to be converted, (i) subject to clause (ii) below, if the conversion date for such note occurs before February 1, 2033, the 30 consecutive VWAP trading days beginning on, and including, the second VWAP trading day immediately after such conversion date; (ii) if such conversion date occurs on or after the date we have sent a redemption notice calling all or any notes for redemption and on or before the second business day before the related redemption date, the 30 consecutive VWAP trading days beginning on, and including, the 31st scheduled trading day immediately before such redemption date; and (iii) subject to clause (ii) above, if such conversion date occurs on or after February 1, 2033, the 30 consecutive VWAP trading days beginning on, and including, the 31st scheduled trading day immediately before the maturity date.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“Open of business” means 9:00 a.m., New York City time.</w:t>
      </w:r>
    </w:p>
    <w:p>
      <w:pPr>
        <w:spacing w:after="0" w:line="103" w:lineRule="exact"/>
        <w:rPr>
          <w:sz w:val="20"/>
          <w:szCs w:val="20"/>
          <w:color w:val="auto"/>
        </w:rPr>
      </w:pPr>
    </w:p>
    <w:p>
      <w:pPr>
        <w:ind w:left="360" w:right="639"/>
        <w:spacing w:after="0" w:line="238" w:lineRule="auto"/>
        <w:rPr>
          <w:sz w:val="20"/>
          <w:szCs w:val="20"/>
          <w:color w:val="auto"/>
        </w:rPr>
      </w:pPr>
      <w:r>
        <w:rPr>
          <w:rFonts w:ascii="Arial" w:cs="Arial" w:eastAsia="Arial" w:hAnsi="Arial"/>
          <w:sz w:val="14"/>
          <w:szCs w:val="14"/>
          <w:color w:val="auto"/>
        </w:rPr>
        <w:t>“Person”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S-57</w:t>
      </w:r>
    </w:p>
    <w:p>
      <w:pPr>
        <w:sectPr>
          <w:pgSz w:w="11900" w:h="16838" w:orient="portrait"/>
          <w:cols w:equalWidth="0" w:num="1">
            <w:col w:w="9019"/>
          </w:cols>
          <w:pgMar w:left="1440" w:top="238" w:right="1440" w:bottom="1440" w:gutter="0" w:footer="0" w:header="0"/>
        </w:sectPr>
      </w:pPr>
    </w:p>
    <w:bookmarkStart w:id="60" w:name="page61"/>
    <w:bookmarkEnd w:id="60"/>
    <w:p>
      <w:pPr>
        <w:ind w:left="360" w:right="399"/>
        <w:spacing w:after="0" w:line="2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“Qualified successor entity” means, with respect to a business combination event, a corporation; provided, however, that a limited liability company, limited partnership or other similar entity will also constitute a qualified successor entity with respect to such business combination event if either (i) such business combination event is an exempted fundamental change; or (ii) both of the following conditions are satisfied: (1) either (a)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(b) we have received an opinion of a nationally recognized tax counsel to the effect that such business combination event will not be treated as an exchange under Section 1001 of the Internal Revenue Code of 1986, as amended, for holders or beneficial owners of the notes; and (2) either (a) such business combination event constitutes a common stock change event whose reference property consists solely of any combination of cash in U.S. dollars and shares of common stock or other corporate common equity interests of an entity that is (I) treated as a corporation for U.S. federal income tax purposes; (II) duly organized and existing under the laws of the United States of America, any State thereof or the District of Columbia; and (III) the direct or indirect parent of such limited liability company, limited partnership or other similar entity; or (b) both of the following conditions are satisfied: (I) such business combination event does not constitute a common stock change event; and (II) we (x) remain an obligor of the notes following such business combination event; and (y) are the direct or indirect parent of such limited liability company, limited partnership or other similar entity.</w:t>
      </w:r>
    </w:p>
    <w:p>
      <w:pPr>
        <w:spacing w:after="0" w:line="91" w:lineRule="exact"/>
        <w:rPr>
          <w:sz w:val="20"/>
          <w:szCs w:val="20"/>
          <w:color w:val="auto"/>
        </w:rPr>
      </w:pPr>
    </w:p>
    <w:p>
      <w:pPr>
        <w:ind w:left="360" w:right="519"/>
        <w:spacing w:after="0" w:line="249" w:lineRule="auto"/>
        <w:rPr>
          <w:sz w:val="20"/>
          <w:szCs w:val="20"/>
          <w:color w:val="auto"/>
        </w:rPr>
      </w:pPr>
      <w:r>
        <w:rPr>
          <w:rFonts w:ascii="Arial" w:cs="Arial" w:eastAsia="Arial" w:hAnsi="Arial"/>
          <w:sz w:val="14"/>
          <w:szCs w:val="14"/>
          <w:color w:val="auto"/>
        </w:rPr>
        <w:t>“Redemption notice date” means, with respect to a redemption, the date on which we send the related redemption notice pursuant to the provisions described above under the caption “—Optional Redemption.”</w:t>
      </w:r>
    </w:p>
    <w:p>
      <w:pPr>
        <w:spacing w:after="0" w:line="72" w:lineRule="exact"/>
        <w:rPr>
          <w:sz w:val="20"/>
          <w:szCs w:val="20"/>
          <w:color w:val="auto"/>
        </w:rPr>
      </w:pPr>
    </w:p>
    <w:p>
      <w:pPr>
        <w:ind w:left="360" w:right="379"/>
        <w:spacing w:after="0" w:line="235" w:lineRule="auto"/>
        <w:rPr>
          <w:sz w:val="20"/>
          <w:szCs w:val="20"/>
          <w:color w:val="auto"/>
        </w:rPr>
      </w:pPr>
      <w:r>
        <w:rPr>
          <w:rFonts w:ascii="Arial" w:cs="Arial" w:eastAsia="Arial" w:hAnsi="Arial"/>
          <w:sz w:val="14"/>
          <w:szCs w:val="14"/>
          <w:color w:val="auto"/>
        </w:rPr>
        <w:t>“Scheduled trading day” means any day that is scheduled to be a trading day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“scheduled trading day” means a business day.</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“Securities Act” means the U.S. Securities Act of 1933, as amended.</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“Significant subsidiary” of any person means any subsidiary of that person that constitutes a “significant subsidiary” (as defined in Rule</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1-02(w) of Regulation S-X under the Exchange Act) of that person;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a subsidiary meets the criteria of clause (1)</w:t>
      </w:r>
    </w:p>
    <w:p>
      <w:pPr>
        <w:spacing w:after="0" w:line="14" w:lineRule="exact"/>
        <w:rPr>
          <w:sz w:val="20"/>
          <w:szCs w:val="20"/>
          <w:color w:val="auto"/>
        </w:rPr>
      </w:pPr>
    </w:p>
    <w:p>
      <w:pPr>
        <w:ind w:left="360" w:right="459" w:firstLine="3"/>
        <w:spacing w:after="0" w:line="231" w:lineRule="auto"/>
        <w:tabs>
          <w:tab w:leader="none" w:pos="578" w:val="left"/>
        </w:tabs>
        <w:numPr>
          <w:ilvl w:val="0"/>
          <w:numId w:val="50"/>
        </w:numPr>
        <w:rPr>
          <w:rFonts w:ascii="Arial" w:cs="Arial" w:eastAsia="Arial" w:hAnsi="Arial"/>
          <w:sz w:val="14"/>
          <w:szCs w:val="14"/>
          <w:color w:val="auto"/>
        </w:rPr>
      </w:pPr>
      <w:r>
        <w:rPr>
          <w:rFonts w:ascii="Arial" w:cs="Arial" w:eastAsia="Arial" w:hAnsi="Arial"/>
          <w:sz w:val="14"/>
          <w:szCs w:val="14"/>
          <w:color w:val="auto"/>
        </w:rPr>
        <w:t>of the definition of “significant subsidiary” in Rule 1-02(w) but not clause (1)(i) or (1)(ii) thereof (or, if applicable, the respective successor clauses to the aforementioned clauses), then such subsidiary will be deemed not to be a significant subsidiary of that person unless such subsidiary’s income from continuing operations before income taxes, exclusive of amounts attributable to any non-controlling interests, for the last completed fiscal year before the date of determination exceeds $20,000,000.</w:t>
      </w:r>
    </w:p>
    <w:p>
      <w:pPr>
        <w:spacing w:after="0" w:line="79" w:lineRule="exact"/>
        <w:rPr>
          <w:sz w:val="20"/>
          <w:szCs w:val="20"/>
          <w:color w:val="auto"/>
        </w:rPr>
      </w:pPr>
    </w:p>
    <w:p>
      <w:pPr>
        <w:ind w:left="360" w:right="639"/>
        <w:spacing w:after="0" w:line="238" w:lineRule="auto"/>
        <w:rPr>
          <w:sz w:val="20"/>
          <w:szCs w:val="20"/>
          <w:color w:val="auto"/>
        </w:rPr>
      </w:pPr>
      <w:r>
        <w:rPr>
          <w:rFonts w:ascii="Arial" w:cs="Arial" w:eastAsia="Arial" w:hAnsi="Arial"/>
          <w:sz w:val="14"/>
          <w:szCs w:val="14"/>
          <w:color w:val="auto"/>
        </w:rPr>
        <w:t>“Specified dollar amount”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“Stated interest” has the meaning set forth above under the caption “—Interest.”</w:t>
      </w:r>
    </w:p>
    <w:p>
      <w:pPr>
        <w:spacing w:after="0" w:line="103" w:lineRule="exact"/>
        <w:rPr>
          <w:sz w:val="20"/>
          <w:szCs w:val="20"/>
          <w:color w:val="auto"/>
        </w:rPr>
      </w:pPr>
    </w:p>
    <w:p>
      <w:pPr>
        <w:ind w:left="360" w:right="439"/>
        <w:spacing w:after="0" w:line="281" w:lineRule="auto"/>
        <w:rPr>
          <w:sz w:val="20"/>
          <w:szCs w:val="20"/>
          <w:color w:val="auto"/>
        </w:rPr>
      </w:pPr>
      <w:r>
        <w:rPr>
          <w:rFonts w:ascii="Arial" w:cs="Arial" w:eastAsia="Arial" w:hAnsi="Arial"/>
          <w:sz w:val="12"/>
          <w:szCs w:val="12"/>
          <w:color w:val="auto"/>
        </w:rPr>
        <w:t>“Stock price” has the following meaning for any make-whole fundamental change: (i) if the holders of our common stock receive only cash in consideration for their shares of our common stock in such make-whole fundamental change and such make-whole fundamental change is pursuant to clause (ii) of the definition of “fundamental change,” then the stock price is the amount of cash paid per share of our common stock in such make-whole fundamental change; and (ii) in all other cases, the stock price is the average of the last reported sale prices per share of our common stock for the five consecutive trading days ending on, and including, the</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S-58</w:t>
      </w:r>
    </w:p>
    <w:p>
      <w:pPr>
        <w:sectPr>
          <w:pgSz w:w="11900" w:h="16838" w:orient="portrait"/>
          <w:cols w:equalWidth="0" w:num="1">
            <w:col w:w="9019"/>
          </w:cols>
          <w:pgMar w:left="1440" w:top="239" w:right="1440" w:bottom="1440" w:gutter="0" w:footer="0" w:header="0"/>
        </w:sectPr>
      </w:pPr>
    </w:p>
    <w:bookmarkStart w:id="61" w:name="page62"/>
    <w:bookmarkEnd w:id="61"/>
    <w:p>
      <w:pPr>
        <w:ind w:left="3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trading day immediately before the make-whole fundamental change effective date of such make-whole fundamental change.</w:t>
      </w:r>
    </w:p>
    <w:p>
      <w:pPr>
        <w:spacing w:after="0" w:line="103" w:lineRule="exact"/>
        <w:rPr>
          <w:sz w:val="20"/>
          <w:szCs w:val="20"/>
          <w:color w:val="auto"/>
        </w:rPr>
      </w:pPr>
    </w:p>
    <w:p>
      <w:pPr>
        <w:ind w:left="360" w:right="379"/>
        <w:spacing w:after="0" w:line="272" w:lineRule="auto"/>
        <w:rPr>
          <w:sz w:val="20"/>
          <w:szCs w:val="20"/>
          <w:color w:val="auto"/>
        </w:rPr>
      </w:pPr>
      <w:r>
        <w:rPr>
          <w:rFonts w:ascii="Arial" w:cs="Arial" w:eastAsia="Arial" w:hAnsi="Arial"/>
          <w:sz w:val="12"/>
          <w:szCs w:val="12"/>
          <w:color w:val="auto"/>
        </w:rPr>
        <w:t>“Subsidiary” means, with respect to any person, (i)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(ii) any partnership or limited liability company where (x) more than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216" w:lineRule="exact"/>
        <w:rPr>
          <w:sz w:val="20"/>
          <w:szCs w:val="20"/>
          <w:color w:val="auto"/>
        </w:rPr>
      </w:pPr>
    </w:p>
    <w:p>
      <w:pPr>
        <w:ind w:left="360" w:right="399"/>
        <w:spacing w:after="0" w:line="287" w:lineRule="auto"/>
        <w:rPr>
          <w:sz w:val="20"/>
          <w:szCs w:val="20"/>
          <w:color w:val="auto"/>
        </w:rPr>
      </w:pPr>
      <w:r>
        <w:rPr>
          <w:rFonts w:ascii="Arial" w:cs="Arial" w:eastAsia="Arial" w:hAnsi="Arial"/>
          <w:sz w:val="12"/>
          <w:szCs w:val="12"/>
          <w:color w:val="auto"/>
        </w:rPr>
        <w:t>“Trading day” means any day on which (i)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and (ii) there is no “market disruption event” (as defined above in this “—Definitions” section). If our common stock is not so listed or traded, then “trading day” means a business day.</w:t>
      </w:r>
    </w:p>
    <w:p>
      <w:pPr>
        <w:spacing w:after="0" w:line="61" w:lineRule="exact"/>
        <w:rPr>
          <w:sz w:val="20"/>
          <w:szCs w:val="20"/>
          <w:color w:val="auto"/>
        </w:rPr>
      </w:pPr>
    </w:p>
    <w:p>
      <w:pPr>
        <w:ind w:left="360" w:right="399"/>
        <w:spacing w:after="0" w:line="229" w:lineRule="auto"/>
        <w:rPr>
          <w:sz w:val="20"/>
          <w:szCs w:val="20"/>
          <w:color w:val="auto"/>
        </w:rPr>
      </w:pPr>
      <w:r>
        <w:rPr>
          <w:rFonts w:ascii="Arial" w:cs="Arial" w:eastAsia="Arial" w:hAnsi="Arial"/>
          <w:sz w:val="14"/>
          <w:szCs w:val="14"/>
          <w:color w:val="auto"/>
        </w:rPr>
        <w:t xml:space="preserve">“Trading price” of the notes on any trading day means the average of the secondary market bid quotations, expressed as a cash amount per $1,000 principal amount of notes, obtained by the bid solicitation agent for $1,000,000 (or such lesser amount as may then be outstanding) in principal amount of notes at approximately 3:30 p.m., New York City time, on such trading day from three nationally recognized independent securities dealers we select, which may include any of the underwriters;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(or such lesser amount as may then be outstanding) in principal amount of notes from a nationally recognized independent securities dealer; (ii) we are not acting as the bid solicitation agent and we fail to instruct the bid solicitation agent to obtain bids when required; or (iii) the bid solicitation agent fails to solicit bids when required, then, in each case, the trading price per $1,000 principal amount of notes on such trading day will be deemed to be less than 98% of the product of the last reported sale price per share of our common stock on such trading day and the conversion rate on such trading day.</w:t>
      </w:r>
    </w:p>
    <w:p>
      <w:pPr>
        <w:spacing w:after="0" w:line="95"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“VWAP market disruption event” means, with respect to any date, (i) the failure by the principal U.S. national or regional securities exchange on which our common stock is then listed, or, if our common stock is not then listed on a U.S. national or regional securities exchange, the principal other market on which our common stock is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our common stock or in any options contracts or futures contracts relating to our common stock, and such suspension or limitation occurs or exists at any time before 1:00 p.m., New York City time, on such date.</w:t>
      </w:r>
    </w:p>
    <w:p>
      <w:pPr>
        <w:spacing w:after="0" w:line="78" w:lineRule="exact"/>
        <w:rPr>
          <w:sz w:val="20"/>
          <w:szCs w:val="20"/>
          <w:color w:val="auto"/>
        </w:rPr>
      </w:pPr>
    </w:p>
    <w:p>
      <w:pPr>
        <w:ind w:left="360" w:right="559"/>
        <w:spacing w:after="0" w:line="249" w:lineRule="auto"/>
        <w:rPr>
          <w:sz w:val="20"/>
          <w:szCs w:val="20"/>
          <w:color w:val="auto"/>
        </w:rPr>
      </w:pPr>
      <w:r>
        <w:rPr>
          <w:rFonts w:ascii="Arial" w:cs="Arial" w:eastAsia="Arial" w:hAnsi="Arial"/>
          <w:sz w:val="14"/>
          <w:szCs w:val="14"/>
          <w:color w:val="auto"/>
        </w:rPr>
        <w:t>“VWAP trading day” means a day on which (i) there is no VWAP market disruption event; and (ii) trading in our common stock generally occurs on the principal U.S. national or regional securities exchange on which our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S-59</w:t>
      </w:r>
    </w:p>
    <w:p>
      <w:pPr>
        <w:sectPr>
          <w:pgSz w:w="11900" w:h="16838" w:orient="portrait"/>
          <w:cols w:equalWidth="0" w:num="1">
            <w:col w:w="9019"/>
          </w:cols>
          <w:pgMar w:left="1440" w:top="238" w:right="1440" w:bottom="1440" w:gutter="0" w:footer="0" w:header="0"/>
        </w:sectPr>
      </w:pPr>
    </w:p>
    <w:bookmarkStart w:id="62" w:name="page63"/>
    <w:bookmarkEnd w:id="62"/>
    <w:p>
      <w:pPr>
        <w:ind w:left="360" w:right="43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common stock is then listed or, if our common stock is not then listed on a U.S. national or regional securities exchange, on the principal other market on which our common stock is then traded. If our common stock is not so listed or traded, then “VWAP trading day” means a business day.</w:t>
      </w:r>
    </w:p>
    <w:p>
      <w:pPr>
        <w:spacing w:after="0" w:line="89" w:lineRule="exact"/>
        <w:rPr>
          <w:sz w:val="20"/>
          <w:szCs w:val="20"/>
          <w:color w:val="auto"/>
        </w:rPr>
      </w:pPr>
    </w:p>
    <w:p>
      <w:pPr>
        <w:ind w:left="360" w:right="619"/>
        <w:spacing w:after="0" w:line="238" w:lineRule="auto"/>
        <w:rPr>
          <w:sz w:val="20"/>
          <w:szCs w:val="20"/>
          <w:color w:val="auto"/>
        </w:rPr>
      </w:pPr>
      <w:r>
        <w:rPr>
          <w:rFonts w:ascii="Arial" w:cs="Arial" w:eastAsia="Arial" w:hAnsi="Arial"/>
          <w:sz w:val="14"/>
          <w:szCs w:val="14"/>
          <w:color w:val="auto"/>
        </w:rPr>
        <w:t>“Wholly owned subsidiary”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Book Entry, Settlement and Clearance</w:t>
      </w:r>
    </w:p>
    <w:p>
      <w:pPr>
        <w:spacing w:after="0" w:line="119" w:lineRule="exact"/>
        <w:rPr>
          <w:sz w:val="20"/>
          <w:szCs w:val="20"/>
          <w:color w:val="auto"/>
        </w:rPr>
      </w:pPr>
    </w:p>
    <w:p>
      <w:pPr>
        <w:ind w:left="360" w:right="559"/>
        <w:spacing w:after="0" w:line="331" w:lineRule="auto"/>
        <w:rPr>
          <w:sz w:val="20"/>
          <w:szCs w:val="20"/>
          <w:color w:val="auto"/>
        </w:rPr>
      </w:pPr>
      <w:r>
        <w:rPr>
          <w:rFonts w:ascii="Arial" w:cs="Arial" w:eastAsia="Arial" w:hAnsi="Arial"/>
          <w:sz w:val="12"/>
          <w:szCs w:val="12"/>
          <w:color w:val="auto"/>
        </w:rPr>
        <w:t>For purposes of the notes, the description below under this section titled “—Fundamental Change Permits Noteholders to Require Us to Repurchase Notes” supersedes, in its entirety, the information in the accompanying prospectus under the caption “Global Securities.”</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Global Notes</w:t>
      </w:r>
    </w:p>
    <w:p>
      <w:pPr>
        <w:spacing w:after="0" w:line="103" w:lineRule="exact"/>
        <w:rPr>
          <w:sz w:val="20"/>
          <w:szCs w:val="20"/>
          <w:color w:val="auto"/>
        </w:rPr>
      </w:pPr>
    </w:p>
    <w:p>
      <w:pPr>
        <w:ind w:left="360" w:right="799"/>
        <w:spacing w:after="0" w:line="249" w:lineRule="auto"/>
        <w:rPr>
          <w:sz w:val="20"/>
          <w:szCs w:val="20"/>
          <w:color w:val="auto"/>
        </w:rPr>
      </w:pPr>
      <w:r>
        <w:rPr>
          <w:rFonts w:ascii="Arial" w:cs="Arial" w:eastAsia="Arial" w:hAnsi="Arial"/>
          <w:sz w:val="14"/>
          <w:szCs w:val="14"/>
          <w:color w:val="auto"/>
        </w:rPr>
        <w:t>The notes will be initially issued in the form of one or more notes registered in the name of Cede &amp; Co., as nominee of DTC, without interest coupons (the “global notes”), and will be deposited with the trustee as custodian for DTC.</w:t>
      </w:r>
    </w:p>
    <w:p>
      <w:pPr>
        <w:spacing w:after="0" w:line="72" w:lineRule="exact"/>
        <w:rPr>
          <w:sz w:val="20"/>
          <w:szCs w:val="20"/>
          <w:color w:val="auto"/>
        </w:rPr>
      </w:pPr>
    </w:p>
    <w:p>
      <w:pPr>
        <w:ind w:left="360" w:right="919"/>
        <w:spacing w:after="0" w:line="249" w:lineRule="auto"/>
        <w:rPr>
          <w:sz w:val="20"/>
          <w:szCs w:val="20"/>
          <w:color w:val="auto"/>
        </w:rPr>
      </w:pPr>
      <w:r>
        <w:rPr>
          <w:rFonts w:ascii="Arial" w:cs="Arial" w:eastAsia="Arial" w:hAnsi="Arial"/>
          <w:sz w:val="14"/>
          <w:szCs w:val="14"/>
          <w:color w:val="auto"/>
        </w:rPr>
        <w:t>Only persons who have accounts with DTC (“DTC participants”) or persons who hold interests through DTC participants may own beneficial interests in a global note. We expect that, under procedures established by DTC:</w:t>
      </w:r>
    </w:p>
    <w:p>
      <w:pPr>
        <w:spacing w:after="0" w:line="82" w:lineRule="exact"/>
        <w:rPr>
          <w:sz w:val="20"/>
          <w:szCs w:val="20"/>
          <w:color w:val="auto"/>
        </w:rPr>
      </w:pPr>
    </w:p>
    <w:p>
      <w:pPr>
        <w:ind w:left="520" w:right="399" w:hanging="157"/>
        <w:spacing w:after="0" w:line="249"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deposit of a global note with DTC’s custodian, DTC will credit portions of the principal amount of the global note to the accounts of the DTC participants designated by the underwriters; and</w:t>
      </w:r>
    </w:p>
    <w:p>
      <w:pPr>
        <w:spacing w:after="0" w:line="82" w:lineRule="exact"/>
        <w:rPr>
          <w:rFonts w:ascii="Arial" w:cs="Arial" w:eastAsia="Arial" w:hAnsi="Arial"/>
          <w:sz w:val="14"/>
          <w:szCs w:val="14"/>
          <w:color w:val="auto"/>
        </w:rPr>
      </w:pPr>
    </w:p>
    <w:p>
      <w:pPr>
        <w:jc w:val="both"/>
        <w:ind w:left="520" w:right="459" w:hanging="157"/>
        <w:spacing w:after="0" w:line="238"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ownership of beneficial interests in a global note will be shown on, and transfers of such interests will be effected only through, records maintained by DTC (with respect to interests of DTC participants) and the records of DTC participants (with respect to other owners of beneficial interests in the global note).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Book-Entry Procedures for Global Notes</w:t>
      </w:r>
    </w:p>
    <w:p>
      <w:pPr>
        <w:spacing w:after="0" w:line="93" w:lineRule="exact"/>
        <w:rPr>
          <w:sz w:val="20"/>
          <w:szCs w:val="20"/>
          <w:color w:val="auto"/>
        </w:rPr>
      </w:pPr>
    </w:p>
    <w:p>
      <w:pPr>
        <w:ind w:left="360" w:right="699"/>
        <w:spacing w:after="0" w:line="235" w:lineRule="auto"/>
        <w:rPr>
          <w:sz w:val="20"/>
          <w:szCs w:val="20"/>
          <w:color w:val="auto"/>
        </w:rPr>
      </w:pPr>
      <w:r>
        <w:rPr>
          <w:rFonts w:ascii="Arial" w:cs="Arial" w:eastAsia="Arial" w:hAnsi="Arial"/>
          <w:sz w:val="14"/>
          <w:szCs w:val="14"/>
          <w:color w:val="auto"/>
        </w:rPr>
        <w:t>All interests in a global note will be subject to the operations and procedures of DTC. Accordingly, you must allow for sufficient time in order to comply with those operations and procedures if you wish to exercise any of your rights with respect to global notes. The operations and procedures of DTC are controlled by DTC and may be changed at any time. None of us, the trustee or any of the underwriters will be responsible for those operations or procedures.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DTC has advised us that it is:</w:t>
      </w:r>
    </w:p>
    <w:p>
      <w:pPr>
        <w:spacing w:after="0" w:line="103" w:lineRule="exact"/>
        <w:rPr>
          <w:sz w:val="20"/>
          <w:szCs w:val="20"/>
          <w:color w:val="auto"/>
        </w:rPr>
      </w:pPr>
    </w:p>
    <w:p>
      <w:pPr>
        <w:ind w:left="520" w:hanging="157"/>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limited purpose trust company organized under the laws of the State of New York;</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“banking organization” within the meaning of the New York State Banking Law;</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member of the Federal Reserve System;</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“clearing corporation” within the meaning of the Uniform Commercial Code; and</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“clearing agency” registered under Section 17A of the Exchange Act.</w:t>
      </w:r>
    </w:p>
    <w:p>
      <w:pPr>
        <w:spacing w:after="0" w:line="103" w:lineRule="exact"/>
        <w:rPr>
          <w:sz w:val="20"/>
          <w:szCs w:val="20"/>
          <w:color w:val="auto"/>
        </w:rPr>
      </w:pPr>
    </w:p>
    <w:p>
      <w:pPr>
        <w:ind w:left="360" w:right="499"/>
        <w:spacing w:after="0" w:line="249" w:lineRule="auto"/>
        <w:rPr>
          <w:sz w:val="20"/>
          <w:szCs w:val="20"/>
          <w:color w:val="auto"/>
        </w:rPr>
      </w:pPr>
      <w:r>
        <w:rPr>
          <w:rFonts w:ascii="Arial" w:cs="Arial" w:eastAsia="Arial" w:hAnsi="Arial"/>
          <w:sz w:val="14"/>
          <w:szCs w:val="14"/>
          <w:color w:val="auto"/>
        </w:rPr>
        <w:t>DTC was created to hold securities for its participants and to facilitate the clearance and settlement of securities transactions between its participants through electronic book-entry changes to the accounts of its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S-60</w:t>
      </w:r>
    </w:p>
    <w:p>
      <w:pPr>
        <w:sectPr>
          <w:pgSz w:w="11900" w:h="16838" w:orient="portrait"/>
          <w:cols w:equalWidth="0" w:num="1">
            <w:col w:w="9019"/>
          </w:cols>
          <w:pgMar w:left="1440" w:top="238" w:right="1440" w:bottom="1440" w:gutter="0" w:footer="0" w:header="0"/>
        </w:sectPr>
      </w:pPr>
    </w:p>
    <w:bookmarkStart w:id="63" w:name="page64"/>
    <w:bookmarkEnd w:id="63"/>
    <w:p>
      <w:pPr>
        <w:ind w:left="360" w:right="45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participants. DTC’s participants include securities brokers and dealers (including the underwriters), banks and trust companies, clearing corporations and other organizations. Indirect access to DTC’s book-entry system is also available to other “indirect participants,” such as banks, brokers, dealers and trust companies, who directly or indirectly clear through or maintain a custodial relationship with a DTC participant. Purchasers of notes who are not DTC participants may beneficially own securities held by or on behalf of DTC only through DTC participants or indirect participants in DTC.</w:t>
      </w:r>
    </w:p>
    <w:p>
      <w:pPr>
        <w:spacing w:after="0" w:line="88" w:lineRule="exact"/>
        <w:rPr>
          <w:sz w:val="20"/>
          <w:szCs w:val="20"/>
          <w:color w:val="auto"/>
        </w:rPr>
      </w:pPr>
    </w:p>
    <w:p>
      <w:pPr>
        <w:jc w:val="both"/>
        <w:ind w:left="360" w:right="439"/>
        <w:spacing w:after="0" w:line="238" w:lineRule="auto"/>
        <w:rPr>
          <w:sz w:val="20"/>
          <w:szCs w:val="20"/>
          <w:color w:val="auto"/>
        </w:rPr>
      </w:pPr>
      <w:r>
        <w:rPr>
          <w:rFonts w:ascii="Arial" w:cs="Arial" w:eastAsia="Arial" w:hAnsi="Arial"/>
          <w:sz w:val="14"/>
          <w:szCs w:val="14"/>
          <w:color w:val="auto"/>
        </w:rPr>
        <w:t>So long as DTC or its nominee is the registered owner of a global note, DTC or that nominee will be considered the sole owner or holder of the notes represented by that global note for all purposes under the indenture. Except as provided below, owners of beneficial interests in a global note:</w:t>
      </w:r>
    </w:p>
    <w:p>
      <w:pPr>
        <w:spacing w:after="0" w:line="89" w:lineRule="exact"/>
        <w:rPr>
          <w:sz w:val="20"/>
          <w:szCs w:val="20"/>
          <w:color w:val="auto"/>
        </w:rPr>
      </w:pPr>
    </w:p>
    <w:p>
      <w:pPr>
        <w:ind w:left="520" w:hanging="157"/>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will not be entitled to have notes represented by the global note registered in their names;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will not receive or be entitled to receive physical, certificated notes; and</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will not be considered the owners or holders of the notes under the indenture for any purpose.</w:t>
      </w:r>
    </w:p>
    <w:p>
      <w:pPr>
        <w:spacing w:after="0" w:line="93" w:lineRule="exact"/>
        <w:rPr>
          <w:sz w:val="20"/>
          <w:szCs w:val="20"/>
          <w:color w:val="auto"/>
        </w:rPr>
      </w:pPr>
    </w:p>
    <w:p>
      <w:pPr>
        <w:ind w:left="360" w:right="499"/>
        <w:spacing w:after="0" w:line="238" w:lineRule="auto"/>
        <w:rPr>
          <w:sz w:val="20"/>
          <w:szCs w:val="20"/>
          <w:color w:val="auto"/>
        </w:rPr>
      </w:pPr>
      <w:r>
        <w:rPr>
          <w:rFonts w:ascii="Arial" w:cs="Arial" w:eastAsia="Arial" w:hAnsi="Arial"/>
          <w:sz w:val="14"/>
          <w:szCs w:val="14"/>
          <w:color w:val="auto"/>
        </w:rPr>
        <w:t>As a result, each investor who owns a beneficial interest in a global note must rely on the procedures of DTC (and, if the investor is not a participant or an indirect participant in DTC, on the procedures of the DTC participant through whom the investor owns its interest) to exercise any rights of a noteholder under the indenture.</w:t>
      </w:r>
    </w:p>
    <w:p>
      <w:pPr>
        <w:spacing w:after="0" w:line="89" w:lineRule="exact"/>
        <w:rPr>
          <w:sz w:val="20"/>
          <w:szCs w:val="20"/>
          <w:color w:val="auto"/>
        </w:rPr>
      </w:pPr>
    </w:p>
    <w:p>
      <w:pPr>
        <w:ind w:left="360" w:right="379"/>
        <w:spacing w:after="0" w:line="232" w:lineRule="auto"/>
        <w:rPr>
          <w:sz w:val="20"/>
          <w:szCs w:val="20"/>
          <w:color w:val="auto"/>
        </w:rPr>
      </w:pPr>
      <w:r>
        <w:rPr>
          <w:rFonts w:ascii="Arial" w:cs="Arial" w:eastAsia="Arial" w:hAnsi="Arial"/>
          <w:sz w:val="14"/>
          <w:szCs w:val="14"/>
          <w:color w:val="auto"/>
        </w:rPr>
        <w:t>Payments on any global notes will be made to DTC’s nominee as the registered holder of the global note. None of us, the trustee or any of the underwriters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Transfers between participants in DTC will be effected under DTC’s procedures and will be settled in same-day funds.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Physical Notes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global note will be exchanged, pursuant to customary procedures, for one or more physical notes only if:</w:t>
      </w:r>
    </w:p>
    <w:p>
      <w:pPr>
        <w:spacing w:after="0" w:line="103" w:lineRule="exact"/>
        <w:rPr>
          <w:sz w:val="20"/>
          <w:szCs w:val="20"/>
          <w:color w:val="auto"/>
        </w:rPr>
      </w:pPr>
    </w:p>
    <w:p>
      <w:pPr>
        <w:ind w:left="520" w:right="419" w:hanging="157"/>
        <w:spacing w:after="0" w:line="238"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DTC notifies us or the trustee that it is unwilling or unable to continue as depositary for such global note or DTC ceases to be a “clearing agency” registered under Section 17A of the Exchange Act and, in each case, we fail to appoint a successor depositary within 90 days of such notice or cessation;</w:t>
      </w:r>
    </w:p>
    <w:p>
      <w:pPr>
        <w:spacing w:after="0" w:line="89" w:lineRule="exact"/>
        <w:rPr>
          <w:rFonts w:ascii="Arial" w:cs="Arial" w:eastAsia="Arial" w:hAnsi="Arial"/>
          <w:sz w:val="14"/>
          <w:szCs w:val="14"/>
          <w:color w:val="auto"/>
        </w:rPr>
      </w:pPr>
    </w:p>
    <w:p>
      <w:pPr>
        <w:ind w:left="520" w:right="439" w:hanging="157"/>
        <w:spacing w:after="0" w:line="238"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event of default has occurred and is continuing and we, the trustee or the registrar has received a written request from DTC, or from a holder of a beneficial interest in such global note, to exchange such global note or beneficial interest, as applicable, for one or more physical notes; or</w:t>
      </w:r>
    </w:p>
    <w:p>
      <w:pPr>
        <w:spacing w:after="0" w:line="89" w:lineRule="exact"/>
        <w:rPr>
          <w:rFonts w:ascii="Arial" w:cs="Arial" w:eastAsia="Arial" w:hAnsi="Arial"/>
          <w:sz w:val="14"/>
          <w:szCs w:val="14"/>
          <w:color w:val="auto"/>
        </w:rPr>
      </w:pPr>
    </w:p>
    <w:p>
      <w:pPr>
        <w:ind w:left="520" w:right="799" w:hanging="157"/>
        <w:spacing w:after="0" w:line="249"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in our sole discretion, permit the exchange of any beneficial interest in such global note for one or more physical notes at the request of the owner of such beneficial interest.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S-61</w:t>
      </w:r>
    </w:p>
    <w:p>
      <w:pPr>
        <w:sectPr>
          <w:pgSz w:w="11900" w:h="16838" w:orient="portrait"/>
          <w:cols w:equalWidth="0" w:num="1">
            <w:col w:w="9019"/>
          </w:cols>
          <w:pgMar w:left="1440" w:top="239" w:right="1440" w:bottom="1440" w:gutter="0" w:footer="0" w:header="0"/>
        </w:sectPr>
      </w:pPr>
    </w:p>
    <w:bookmarkStart w:id="64" w:name="page65"/>
    <w:bookmarkEnd w:id="64"/>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Other Indebtedness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Royalty Purchase Agreement</w:t>
      </w:r>
    </w:p>
    <w:p>
      <w:pPr>
        <w:spacing w:after="0" w:line="108" w:lineRule="exact"/>
        <w:rPr>
          <w:sz w:val="20"/>
          <w:szCs w:val="20"/>
          <w:color w:val="auto"/>
        </w:rPr>
      </w:pPr>
    </w:p>
    <w:p>
      <w:pPr>
        <w:ind w:left="360" w:right="419"/>
        <w:spacing w:after="0" w:line="231" w:lineRule="auto"/>
        <w:rPr>
          <w:sz w:val="20"/>
          <w:szCs w:val="20"/>
          <w:color w:val="auto"/>
        </w:rPr>
      </w:pPr>
      <w:r>
        <w:rPr>
          <w:rFonts w:ascii="Arial" w:cs="Arial" w:eastAsia="Arial" w:hAnsi="Arial"/>
          <w:sz w:val="14"/>
          <w:szCs w:val="14"/>
          <w:color w:val="auto"/>
        </w:rPr>
        <w:t>In June 2025, we entered into a revenue participation right purchase and sale agreement (the “Royalty Purchase Agreement”) with Royalty Pharma Investments 2019 ICAV (“Royalty Pharma”). Pursuant to the Royalty Purchase Agreement, in exchange for an upfront payment of $ 250.0 million, Royalty Pharma purchased from us the right to receive royalty payments (the “Royalty Payments”) with respect to worldwide net product sales in a calendar year (Annual Net Sales) of (a) RMC-6236 Products and (b) RMC-9805 Products, if an RMC-9805 Product is approved for the same indication or subset of the same indication for which an RMC-6236 Product is approved. Royalty Pharma is entitled to receive Royalty Payments equal to 2.55% of annual worldwide net sales up to $2.0 billion, 1.50% of annual net sales between $2.0 billion and $4.0 billion, 0.60% of annual net sales between $4.0 billion and $8.0 billion, and no Royalty Payments on sales in excess of $8.0 billion.</w:t>
      </w:r>
    </w:p>
    <w:p>
      <w:pPr>
        <w:spacing w:after="0" w:line="90" w:lineRule="exact"/>
        <w:rPr>
          <w:sz w:val="20"/>
          <w:szCs w:val="20"/>
          <w:color w:val="auto"/>
        </w:rPr>
      </w:pPr>
    </w:p>
    <w:p>
      <w:pPr>
        <w:jc w:val="both"/>
        <w:ind w:left="360" w:right="479"/>
        <w:spacing w:after="0" w:line="235" w:lineRule="auto"/>
        <w:rPr>
          <w:sz w:val="20"/>
          <w:szCs w:val="20"/>
          <w:color w:val="auto"/>
        </w:rPr>
      </w:pPr>
      <w:r>
        <w:rPr>
          <w:rFonts w:ascii="Arial" w:cs="Arial" w:eastAsia="Arial" w:hAnsi="Arial"/>
          <w:sz w:val="14"/>
          <w:szCs w:val="14"/>
          <w:color w:val="auto"/>
        </w:rPr>
        <w:t>In addition, under the Royalty Purchase Agreement, Royalty Pharma has agreed to purchase up to an additional $1.0 billion in synthetic royalty funding divided into four additional tranches of up to $250.0 million. Each of these tranches is subject to the satisfaction of certain triggers, and three of these tranches, or $750.0 million in the aggregate, are available at our election, provided the relevant trigger events have occurred.</w:t>
      </w:r>
    </w:p>
    <w:p>
      <w:pPr>
        <w:spacing w:after="0" w:line="90" w:lineRule="exact"/>
        <w:rPr>
          <w:sz w:val="20"/>
          <w:szCs w:val="20"/>
          <w:color w:val="auto"/>
        </w:rPr>
      </w:pPr>
    </w:p>
    <w:p>
      <w:pPr>
        <w:ind w:left="360" w:right="439"/>
        <w:spacing w:after="0" w:line="235" w:lineRule="auto"/>
        <w:rPr>
          <w:sz w:val="20"/>
          <w:szCs w:val="20"/>
          <w:color w:val="auto"/>
        </w:rPr>
      </w:pPr>
      <w:r>
        <w:rPr>
          <w:rFonts w:ascii="Arial" w:cs="Arial" w:eastAsia="Arial" w:hAnsi="Arial"/>
          <w:sz w:val="14"/>
          <w:szCs w:val="14"/>
          <w:color w:val="auto"/>
        </w:rPr>
        <w:t>Our obligations under the Royalty Purchase Agreement will terminate upon the fifteenth anniversary of the first commercial sale of an RMC-6236 Product in the United States (or in the European Union for ex-U.S. sales). The Royalty Purchase Agreement contains customary representations, warranties and indemnities of the Company and Royalty Pharma, and customary covenants on the part of the Company.</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Term Loan Credit Agreement</w:t>
      </w:r>
    </w:p>
    <w:p>
      <w:pPr>
        <w:spacing w:after="0" w:line="119" w:lineRule="exact"/>
        <w:rPr>
          <w:sz w:val="20"/>
          <w:szCs w:val="20"/>
          <w:color w:val="auto"/>
        </w:rPr>
      </w:pPr>
    </w:p>
    <w:p>
      <w:pPr>
        <w:ind w:left="360" w:right="559"/>
        <w:spacing w:after="0" w:line="232" w:lineRule="auto"/>
        <w:rPr>
          <w:sz w:val="20"/>
          <w:szCs w:val="20"/>
          <w:color w:val="auto"/>
        </w:rPr>
      </w:pPr>
      <w:r>
        <w:rPr>
          <w:rFonts w:ascii="Arial" w:cs="Arial" w:eastAsia="Arial" w:hAnsi="Arial"/>
          <w:sz w:val="14"/>
          <w:szCs w:val="14"/>
          <w:color w:val="auto"/>
        </w:rPr>
        <w:t>In June 2025, we entered into a senior secured term loan agreement (the “Term Loan Credit Agreement”) with Royalty Pharma Development Funding, LLC, as a lender, and Wilmington Trust, National Association, as administrative agent. The Term Loan Credit Agreement provides for up to $750.0 million in term loans (the “Term Loan Facility”), consisting of three tranches of $250.0 million each. The first tranche is required to be drawn in full by the Company within 45 days following receipt of FDA marketing approval for daraxonrasib for any indication related to metastatic PDAC, if such approval occurs on or before January 1, 2028, unless we previously elected to terminate the Term Loan Credit Agreement. The second and third tranches are optional and may be drawn in whole or in part upon achievement of specified commercial milestones prior to January 1, 2028.</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Loan Credit Agreement matures on the earlier of (i) the six year anniversary of the Tranche A Funding Date and</w:t>
      </w:r>
    </w:p>
    <w:p>
      <w:pPr>
        <w:spacing w:after="0" w:line="3" w:lineRule="exact"/>
        <w:rPr>
          <w:sz w:val="20"/>
          <w:szCs w:val="20"/>
          <w:color w:val="auto"/>
        </w:rPr>
      </w:pPr>
    </w:p>
    <w:p>
      <w:pPr>
        <w:jc w:val="both"/>
        <w:ind w:left="360" w:right="399" w:firstLine="3"/>
        <w:spacing w:after="0" w:line="233" w:lineRule="auto"/>
        <w:tabs>
          <w:tab w:leader="none" w:pos="548"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December 31, 2032 (such earlier date, the “Maturity Date”), and bears interest at a floating per annum rate equal to (a) the three-month term SOFR (subject to a 3.50% floor) plus (b) 5.75%, payable on a quarterly basis. The Term Loan Facility has no scheduled amortization payments prior to the Maturity Date.</w:t>
      </w:r>
    </w:p>
    <w:p>
      <w:pPr>
        <w:spacing w:after="0" w:line="77"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The Term Loan Credit Agreement permits voluntary prepayment in full at any time, and also requires mandatory prepayment in connection with a change of control. Prepayments made prior to the second anniversary of the applicable funding date for the applicable tranche of loans are subject to a make-whole premium equal to the foregone interest through the second anniversary, as well as a prepayment premium of 3.00%. Prepayments made on or after the second anniversary but before the third anniversary are subject to a 3.00% prepayment premium, and prepayments made on or after the third anniversary are subject to a 1.00% prepayment premium. No make-whole or prepayment premium is due if repayment occurs at maturity.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S-62</w:t>
      </w:r>
    </w:p>
    <w:p>
      <w:pPr>
        <w:sectPr>
          <w:pgSz w:w="11900" w:h="16838" w:orient="portrait"/>
          <w:cols w:equalWidth="0" w:num="1">
            <w:col w:w="9019"/>
          </w:cols>
          <w:pgMar w:left="1440" w:top="226" w:right="1440" w:bottom="1440" w:gutter="0" w:footer="0" w:header="0"/>
        </w:sectPr>
      </w:pPr>
    </w:p>
    <w:bookmarkStart w:id="65" w:name="page66"/>
    <w:bookmarkEnd w:id="65"/>
    <w:p>
      <w:pPr>
        <w:ind w:left="360" w:right="419"/>
        <w:spacing w:after="0" w:line="23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Term Loan Credit Agreement is secured by liens on substantially all our assets and contains customary affirmative and negative covenants but does not include any financial covenants. The Term Loan Credit Agreement provides an enumerated list of customary events of default whereby certain actions could be exercised against the Company, including, without limitation, (i) the acceleration of all amounts due under the Term Loan Credit Agreement; (ii) the application of default rate interest; (iii) the exercise of powers of attorney, voting proxies and other similar rights; (iv) the foreclosure and sale of property and assets and (v) other actions permitted to be taken by a secured creditor.</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not drawn any amounts under the Term Loan Credit Agreement.</w:t>
      </w:r>
    </w:p>
    <w:p>
      <w:pPr>
        <w:spacing w:after="0" w:line="103"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S-63</w:t>
      </w:r>
    </w:p>
    <w:p>
      <w:pPr>
        <w:sectPr>
          <w:pgSz w:w="11900" w:h="16838" w:orient="portrait"/>
          <w:cols w:equalWidth="0" w:num="1">
            <w:col w:w="9019"/>
          </w:cols>
          <w:pgMar w:left="1440" w:top="239" w:right="1440" w:bottom="1440" w:gutter="0" w:footer="0" w:header="0"/>
        </w:sectPr>
      </w:pPr>
    </w:p>
    <w:bookmarkStart w:id="66" w:name="page67"/>
    <w:bookmarkEnd w:id="66"/>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Material U.S. Federal Income Tax Considerations</w:t>
      </w:r>
    </w:p>
    <w:p>
      <w:pPr>
        <w:spacing w:after="0" w:line="125" w:lineRule="exact"/>
        <w:rPr>
          <w:sz w:val="20"/>
          <w:szCs w:val="20"/>
          <w:color w:val="auto"/>
        </w:rPr>
      </w:pPr>
    </w:p>
    <w:p>
      <w:pPr>
        <w:ind w:left="360" w:right="379"/>
        <w:spacing w:after="0" w:line="229" w:lineRule="auto"/>
        <w:rPr>
          <w:sz w:val="20"/>
          <w:szCs w:val="20"/>
          <w:color w:val="auto"/>
        </w:rPr>
      </w:pPr>
      <w:r>
        <w:rPr>
          <w:rFonts w:ascii="Arial" w:cs="Arial" w:eastAsia="Arial" w:hAnsi="Arial"/>
          <w:sz w:val="14"/>
          <w:szCs w:val="14"/>
          <w:color w:val="auto"/>
        </w:rPr>
        <w:t>The following is a summary of material U.S. federal income tax considerations of the purchase, ownership, conversion and disposition of the notes issued pursuant to this offering and the ownership and disposition of the shares of our common stock into which the notes may be converted, but does not purport to be a complete analysis of all potential tax effects. The effects of other U.S. federal tax laws, such as estate and gift tax laws, and any applicable state, local or non-U.S. tax laws are not discussed. This summary is based upon provisions of the U.S. Internal Revenue Code of 1986, as amended (the “Code”), applicable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or the shares of our common stock into which the notes may be converted.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of the notes and the ownership and disposition of the shares of our common stock into which the notes may be converted.</w:t>
      </w:r>
    </w:p>
    <w:p>
      <w:pPr>
        <w:spacing w:after="0" w:line="85"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Except where noted, this summary addresses only notes or shares of common stock held as “capital assets” within the meaning of Section 1221 of the Code (generally, property held for investment) by a beneficial owner who purchased the notes on original issuance for cash at their “issue price” within the meaning of Section 1273 of the Code (i.e., the first price at which a substantial amount of the notes is sold for cash to persons other than bond houses, brokers, or similar persons or organizations acting in the capacity of underwriters, placement agents or wholesalers). This summary does not address all aspects of U.S. federal income taxes relevant to holders of notes or common stock (including the potential application of the Medicare contribution tax), nor does it address all tax consequences that may be relevant to such holders in light of their personal circumstances or particular situations, such as:</w:t>
      </w:r>
    </w:p>
    <w:p>
      <w:pPr>
        <w:spacing w:after="0" w:line="88" w:lineRule="exact"/>
        <w:rPr>
          <w:sz w:val="20"/>
          <w:szCs w:val="20"/>
          <w:color w:val="auto"/>
        </w:rPr>
      </w:pPr>
    </w:p>
    <w:p>
      <w:pPr>
        <w:ind w:left="520" w:right="439" w:hanging="157"/>
        <w:spacing w:after="0" w:line="235"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consequences to holders who may be subject to special tax treatment, including dealers in securities or currencies, banks, financial institutions, regulated investment companies, real estate investment trusts, tax-exempt organizations, governmental organizations, “controlled foreign corporations,” “foreign controlled foreign corporations,” “passive foreign investment companies,” insurance companies or traders in securities that elect to use a mark-to-market method of tax accounting for their securities;</w:t>
      </w:r>
    </w:p>
    <w:p>
      <w:pPr>
        <w:spacing w:after="0" w:line="90" w:lineRule="exact"/>
        <w:rPr>
          <w:rFonts w:ascii="Arial" w:cs="Arial" w:eastAsia="Arial" w:hAnsi="Arial"/>
          <w:sz w:val="14"/>
          <w:szCs w:val="14"/>
          <w:color w:val="auto"/>
        </w:rPr>
      </w:pPr>
    </w:p>
    <w:p>
      <w:pPr>
        <w:ind w:left="520" w:right="419" w:hanging="157"/>
        <w:spacing w:after="0" w:line="249"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consequences to persons holding notes or common stock as a part of a hedging, integrated or conversion transaction or a straddle, or persons deemed to sell notes or common stock under the constructive sale provisions of the Code;</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consequences to U.S. holders (as defined below) whose “functional currency” is not the U.S. dollar;</w:t>
      </w:r>
    </w:p>
    <w:p>
      <w:pPr>
        <w:spacing w:after="0" w:line="102" w:lineRule="exact"/>
        <w:rPr>
          <w:rFonts w:ascii="Arial" w:cs="Arial" w:eastAsia="Arial" w:hAnsi="Arial"/>
          <w:sz w:val="14"/>
          <w:szCs w:val="14"/>
          <w:color w:val="auto"/>
        </w:rPr>
      </w:pPr>
    </w:p>
    <w:p>
      <w:pPr>
        <w:ind w:left="520" w:right="419" w:hanging="157"/>
        <w:spacing w:after="0" w:line="249"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consequences to partnerships or other pass-through entities or arrangements, or investors that hold the notes or our common stock through partnerships or other pass-through entities or arrangements;</w:t>
      </w:r>
    </w:p>
    <w:p>
      <w:pPr>
        <w:spacing w:after="0" w:line="82" w:lineRule="exact"/>
        <w:rPr>
          <w:rFonts w:ascii="Arial" w:cs="Arial" w:eastAsia="Arial" w:hAnsi="Arial"/>
          <w:sz w:val="14"/>
          <w:szCs w:val="14"/>
          <w:color w:val="auto"/>
        </w:rPr>
      </w:pPr>
    </w:p>
    <w:p>
      <w:pPr>
        <w:ind w:left="520" w:right="399" w:hanging="157"/>
        <w:spacing w:after="0" w:line="249"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tax consequences to persons subject to special tax accounting rules as a result of any item of gross income with respect to the notes or common stock being taken into account in an applicable financial statement; and</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minimum tax consequences.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S-64</w:t>
      </w:r>
    </w:p>
    <w:p>
      <w:pPr>
        <w:sectPr>
          <w:pgSz w:w="11900" w:h="16838" w:orient="portrait"/>
          <w:cols w:equalWidth="0" w:num="1">
            <w:col w:w="9019"/>
          </w:cols>
          <w:pgMar w:left="1440" w:top="226" w:right="1440" w:bottom="1440" w:gutter="0" w:footer="0" w:header="0"/>
        </w:sectPr>
      </w:pPr>
    </w:p>
    <w:bookmarkStart w:id="67" w:name="page68"/>
    <w:bookmarkEnd w:id="67"/>
    <w:p>
      <w:pPr>
        <w:jc w:val="both"/>
        <w:ind w:left="360" w:right="459"/>
        <w:spacing w:after="0" w:line="23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If an entity or arrangement treated as a partnership for U.S. federal income tax purposes holds notes or common stock, the tax treatment of a partner in the partnership will depend on the status of the partner, the activities of the partnership and certain determinations made at the partner level. Accordingly, partnerships holding notes or common stock and the partners in such partnerships should consult their tax advisors.</w:t>
      </w:r>
    </w:p>
    <w:p>
      <w:pPr>
        <w:spacing w:after="0" w:line="82" w:lineRule="exact"/>
        <w:rPr>
          <w:sz w:val="20"/>
          <w:szCs w:val="20"/>
          <w:color w:val="auto"/>
        </w:rPr>
      </w:pPr>
    </w:p>
    <w:p>
      <w:pPr>
        <w:ind w:left="360" w:right="559"/>
        <w:spacing w:after="0" w:line="246" w:lineRule="auto"/>
        <w:rPr>
          <w:sz w:val="20"/>
          <w:szCs w:val="20"/>
          <w:color w:val="auto"/>
        </w:rPr>
      </w:pPr>
      <w:r>
        <w:rPr>
          <w:rFonts w:ascii="Arial" w:cs="Arial" w:eastAsia="Arial" w:hAnsi="Arial"/>
          <w:sz w:val="16"/>
          <w:szCs w:val="16"/>
          <w:b w:val="1"/>
          <w:bCs w:val="1"/>
          <w:color w:val="auto"/>
        </w:rPr>
        <w:t>THIS DISCUSSION IS FOR INFORMATIONAL PURPOSES ONLY AND IS NOT TAX ADVICE. YOU SHOULD CONSULT YOUR TAX ADVISOR WITH RESPECT TO THE APPLICATION OF THE U.S. FEDERAL INCOME TAX LAWS TO YOUR PARTICULAR SITUATION AS WELL AS ANY TAX CONSEQUENCES OF THE PURCHASE, OWNERSHIP, CONVERSION AND DISPOSITION OF NOTES AND THE OWNERSHIP AND DISPOSITION OF THE COMMON STOCK ARISING UNDER OTHER U.S. FEDERAL TAX LAWS (INCLUDING ESTATE AND GIFT TAX LAWS), UNDER THE LAWS OF ANY STATE, LOCAL OR NON-U.S. TAXING JURISDICTION OR UNDER ANY APPLICABLE TAX TREATY.</w:t>
      </w:r>
    </w:p>
    <w:p>
      <w:pPr>
        <w:spacing w:after="0" w:line="68" w:lineRule="exact"/>
        <w:rPr>
          <w:sz w:val="20"/>
          <w:szCs w:val="20"/>
          <w:color w:val="auto"/>
        </w:rPr>
      </w:pPr>
    </w:p>
    <w:p>
      <w:pPr>
        <w:ind w:left="360" w:right="379"/>
        <w:spacing w:after="0" w:line="249" w:lineRule="auto"/>
        <w:rPr>
          <w:sz w:val="20"/>
          <w:szCs w:val="20"/>
          <w:color w:val="auto"/>
        </w:rPr>
      </w:pPr>
      <w:r>
        <w:rPr>
          <w:rFonts w:ascii="Arial" w:cs="Arial" w:eastAsia="Arial" w:hAnsi="Arial"/>
          <w:sz w:val="14"/>
          <w:szCs w:val="14"/>
          <w:color w:val="auto"/>
        </w:rPr>
        <w:t>As used herein, a “U.S. holder” is a beneficial owner of a note or common stock received upon conversion of a note that is, for U.S. federal income tax purposes:</w:t>
      </w:r>
    </w:p>
    <w:p>
      <w:pPr>
        <w:spacing w:after="0" w:line="82" w:lineRule="exact"/>
        <w:rPr>
          <w:sz w:val="20"/>
          <w:szCs w:val="20"/>
          <w:color w:val="auto"/>
        </w:rPr>
      </w:pPr>
    </w:p>
    <w:p>
      <w:pPr>
        <w:ind w:left="520" w:hanging="157"/>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02" w:lineRule="exact"/>
        <w:rPr>
          <w:rFonts w:ascii="Arial" w:cs="Arial" w:eastAsia="Arial" w:hAnsi="Arial"/>
          <w:sz w:val="14"/>
          <w:szCs w:val="14"/>
          <w:color w:val="auto"/>
        </w:rPr>
      </w:pPr>
    </w:p>
    <w:p>
      <w:pPr>
        <w:ind w:left="520" w:right="599" w:hanging="157"/>
        <w:spacing w:after="0" w:line="249"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102" w:lineRule="exact"/>
        <w:rPr>
          <w:rFonts w:ascii="Arial" w:cs="Arial" w:eastAsia="Arial" w:hAnsi="Arial"/>
          <w:sz w:val="14"/>
          <w:szCs w:val="14"/>
          <w:color w:val="auto"/>
        </w:rPr>
      </w:pPr>
    </w:p>
    <w:p>
      <w:pPr>
        <w:ind w:left="520" w:right="439" w:hanging="157"/>
        <w:spacing w:after="0" w:line="23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trust, if it (i) is subject to the primary supervision of a court within the United States and one or more U.S. persons have the authority to control all substantial decisions of the trust, or (ii) has a valid election in effect under applicable Treasury regulations to be treated as a United States person.</w:t>
      </w:r>
    </w:p>
    <w:p>
      <w:pPr>
        <w:spacing w:after="0" w:line="89" w:lineRule="exact"/>
        <w:rPr>
          <w:sz w:val="20"/>
          <w:szCs w:val="20"/>
          <w:color w:val="auto"/>
        </w:rPr>
      </w:pPr>
    </w:p>
    <w:p>
      <w:pPr>
        <w:ind w:left="360" w:right="519"/>
        <w:spacing w:after="0" w:line="232" w:lineRule="auto"/>
        <w:rPr>
          <w:sz w:val="20"/>
          <w:szCs w:val="20"/>
          <w:color w:val="auto"/>
        </w:rPr>
      </w:pPr>
      <w:r>
        <w:rPr>
          <w:rFonts w:ascii="Arial" w:cs="Arial" w:eastAsia="Arial" w:hAnsi="Arial"/>
          <w:sz w:val="14"/>
          <w:szCs w:val="14"/>
          <w:color w:val="auto"/>
        </w:rPr>
        <w:t>A “non-U.S. holder” is a beneficial owner of a note or common stock received upon conversion of a note that is an individual, corporation (or any other entity treated as a corporation for U.S. federal income tax purposes), estate or trust that is not a U.S. holder. Special rules may apply to certain non-U.S. holders such as corporations that accumulate earnings to avoid U.S. federal income tax or, in certain circumstances, individuals who are U.S. expatriates. Consequently, non-U.S. holders should consult their tax advisors to determine the U.S. federal, state and local, and non-U.S. and other tax consequences that may be relevant to them in light of their particular circumstances.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Consequences to U.S. Holders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on the Notes</w:t>
      </w:r>
    </w:p>
    <w:p>
      <w:pPr>
        <w:spacing w:after="0" w:line="103" w:lineRule="exact"/>
        <w:rPr>
          <w:sz w:val="20"/>
          <w:szCs w:val="20"/>
          <w:color w:val="auto"/>
        </w:rPr>
      </w:pPr>
    </w:p>
    <w:p>
      <w:pPr>
        <w:ind w:left="360" w:right="579"/>
        <w:spacing w:after="0" w:line="298" w:lineRule="auto"/>
        <w:rPr>
          <w:sz w:val="20"/>
          <w:szCs w:val="20"/>
          <w:color w:val="auto"/>
        </w:rPr>
      </w:pPr>
      <w:r>
        <w:rPr>
          <w:rFonts w:ascii="Arial" w:cs="Arial" w:eastAsia="Arial" w:hAnsi="Arial"/>
          <w:sz w:val="12"/>
          <w:szCs w:val="12"/>
          <w:color w:val="auto"/>
        </w:rPr>
        <w:t>It is anticipated, and this discussion assumes, that the notes will be issued with less than de minimis original issue discount for U.S. federal income tax purposes. In such case, stated interest on a note generally will be taxable to a U.S. holder as ordinary income at the time it is received or accrues in accordance with the U.S. holder’s usual method of accounting for U.S. federal income tax purposes.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Additional Payments</w:t>
      </w:r>
    </w:p>
    <w:p>
      <w:pPr>
        <w:spacing w:after="0" w:line="93" w:lineRule="exact"/>
        <w:rPr>
          <w:sz w:val="20"/>
          <w:szCs w:val="20"/>
          <w:color w:val="auto"/>
        </w:rPr>
      </w:pPr>
    </w:p>
    <w:p>
      <w:pPr>
        <w:ind w:left="360" w:right="559"/>
        <w:spacing w:after="0" w:line="234" w:lineRule="auto"/>
        <w:rPr>
          <w:sz w:val="20"/>
          <w:szCs w:val="20"/>
          <w:color w:val="auto"/>
        </w:rPr>
      </w:pPr>
      <w:r>
        <w:rPr>
          <w:rFonts w:ascii="Arial" w:cs="Arial" w:eastAsia="Arial" w:hAnsi="Arial"/>
          <w:sz w:val="14"/>
          <w:szCs w:val="14"/>
          <w:color w:val="auto"/>
        </w:rPr>
        <w:t>In certain circumstances, we may be obligated to make payments on the notes in excess of stated principal and interest and/or to make payments in advance of their scheduled times. We intend to take the position that these contingencies should not cause the notes to be treated as contingent payment debt instruments under the applicable Treasury regulations. Assuming such position is respected by the IRS, a U.S. holder may be required to include in income the amount of any such additional payments at the time such payments are received or accrued in accordance with such U.S. holder’s method of accounting for U.S. federal income tax</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S-65</w:t>
      </w:r>
    </w:p>
    <w:p>
      <w:pPr>
        <w:sectPr>
          <w:pgSz w:w="11900" w:h="16838" w:orient="portrait"/>
          <w:cols w:equalWidth="0" w:num="1">
            <w:col w:w="9019"/>
          </w:cols>
          <w:pgMar w:left="1440" w:top="239" w:right="1440" w:bottom="1440" w:gutter="0" w:footer="0" w:header="0"/>
        </w:sectPr>
      </w:pPr>
    </w:p>
    <w:bookmarkStart w:id="68" w:name="page69"/>
    <w:bookmarkEnd w:id="68"/>
    <w:p>
      <w:pPr>
        <w:ind w:left="360" w:right="459"/>
        <w:spacing w:after="0" w:line="27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purposes. Our position is binding on a U.S. holder, unless the holder discloses in the proper manner to the IRS that it is taking a different position. If the IRS successfully challenged our position, and the notes were treated as contingent payment debt instruments, a U.S. holder would be required to accrue interest income based upon a “comparable yield,” regardless of the U.S. holder’s method of accounting, and to treat as ordinary income, rather than capital gain, any gain recognized on a sale, exchange, retirement or redemption of a note (including all gain realized upon conversion, even if the U.S. holder receives shares of our common stock). That yield would generally be at a rate higher than the notes’ stated interest rate. This discussion assumes that the notes will not be considered contingent payment debt instruments and that no such other payments will be due. U.S. holders are urged to consult their tax advisors regarding the potential application to the notes of the contingent payment debt instrument rules and the consequences thereof.</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Sale, Exchange, Redemption or Other Taxable Disposition of Notes</w:t>
      </w:r>
    </w:p>
    <w:p>
      <w:pPr>
        <w:spacing w:after="0" w:line="93" w:lineRule="exact"/>
        <w:rPr>
          <w:sz w:val="20"/>
          <w:szCs w:val="20"/>
          <w:color w:val="auto"/>
        </w:rPr>
      </w:pPr>
    </w:p>
    <w:p>
      <w:pPr>
        <w:jc w:val="both"/>
        <w:ind w:left="360" w:right="539"/>
        <w:spacing w:after="0" w:line="268" w:lineRule="auto"/>
        <w:rPr>
          <w:sz w:val="20"/>
          <w:szCs w:val="20"/>
          <w:color w:val="auto"/>
        </w:rPr>
      </w:pPr>
      <w:r>
        <w:rPr>
          <w:rFonts w:ascii="Arial" w:cs="Arial" w:eastAsia="Arial" w:hAnsi="Arial"/>
          <w:sz w:val="12"/>
          <w:szCs w:val="12"/>
          <w:color w:val="auto"/>
        </w:rPr>
        <w:t>Except as provided below under “—Conversion of Notes,” a U.S. holder generally will recognize gain or loss upon the sale, exchange, redemption or other taxable disposition of a note (including an exchange with a designated financial institution in lieu of conversion, as described in “Description of Notes—Conversion Rights—Exchange in Lieu of Conversion”) equal to the difference between the amount realized and such U.S. holder’s adjusted tax basis in the note. The amount realized by a U.S. holder will include the amount of any cash and the fair market value of any other property received for the note, but does not include any amount attributable to accrued interest.</w:t>
      </w:r>
    </w:p>
    <w:p>
      <w:pPr>
        <w:spacing w:after="0" w:line="3" w:lineRule="exact"/>
        <w:rPr>
          <w:sz w:val="20"/>
          <w:szCs w:val="20"/>
          <w:color w:val="auto"/>
        </w:rPr>
      </w:pPr>
    </w:p>
    <w:p>
      <w:pPr>
        <w:ind w:left="360" w:right="579"/>
        <w:spacing w:after="0" w:line="231" w:lineRule="auto"/>
        <w:rPr>
          <w:sz w:val="20"/>
          <w:szCs w:val="20"/>
          <w:color w:val="auto"/>
        </w:rPr>
      </w:pPr>
      <w:r>
        <w:rPr>
          <w:rFonts w:ascii="Arial" w:cs="Arial" w:eastAsia="Arial" w:hAnsi="Arial"/>
          <w:sz w:val="14"/>
          <w:szCs w:val="14"/>
          <w:color w:val="auto"/>
        </w:rPr>
        <w:t>Amounts attributable to accrued interest are treated as interest as described above under “—Interest on the Notes.” A U.S. holder’s adjusted tax basis in a note generally will be equal to the amount that the U.S. holder paid for the note, increased by the amount, if any, included in income as a dividend by the U.S. holder upon an adjustment (or failure to make an adjustment) to the conversion rate of the note, as described in “—Constructive Distributions” below.</w:t>
      </w:r>
    </w:p>
    <w:p>
      <w:pPr>
        <w:spacing w:after="0" w:line="89" w:lineRule="exact"/>
        <w:rPr>
          <w:sz w:val="20"/>
          <w:szCs w:val="20"/>
          <w:color w:val="auto"/>
        </w:rPr>
      </w:pPr>
    </w:p>
    <w:p>
      <w:pPr>
        <w:ind w:left="360" w:right="419"/>
        <w:spacing w:after="0" w:line="234" w:lineRule="auto"/>
        <w:rPr>
          <w:sz w:val="20"/>
          <w:szCs w:val="20"/>
          <w:color w:val="auto"/>
        </w:rPr>
      </w:pPr>
      <w:r>
        <w:rPr>
          <w:rFonts w:ascii="Arial" w:cs="Arial" w:eastAsia="Arial" w:hAnsi="Arial"/>
          <w:sz w:val="14"/>
          <w:szCs w:val="14"/>
          <w:color w:val="auto"/>
        </w:rPr>
        <w:t>Any gain or loss recognized on a taxable disposition of a note generally will be capital gain or loss. If, at the time of the sale, exchange, redemption or other taxable disposition of a note, a U.S. holder held the note for more than one year, such gain or loss generally will be long-term capital gain or loss. Otherwise, such gain or loss will be short-term capital gain or loss. In the case of certain non-corporate U.S. holders (including individuals) long-term capital gains are generally eligible for a reduced rate of U.S. federal income tax. The deductibility of capital losses is subject to limitations.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Conversion of Notes</w:t>
      </w:r>
    </w:p>
    <w:p>
      <w:pPr>
        <w:spacing w:after="0" w:line="93" w:lineRule="exact"/>
        <w:rPr>
          <w:sz w:val="20"/>
          <w:szCs w:val="20"/>
          <w:color w:val="auto"/>
        </w:rPr>
      </w:pPr>
    </w:p>
    <w:p>
      <w:pPr>
        <w:ind w:left="360" w:right="559"/>
        <w:spacing w:after="0" w:line="249" w:lineRule="auto"/>
        <w:rPr>
          <w:sz w:val="20"/>
          <w:szCs w:val="20"/>
          <w:color w:val="auto"/>
        </w:rPr>
      </w:pPr>
      <w:r>
        <w:rPr>
          <w:rFonts w:ascii="Arial" w:cs="Arial" w:eastAsia="Arial" w:hAnsi="Arial"/>
          <w:sz w:val="14"/>
          <w:szCs w:val="14"/>
          <w:color w:val="auto"/>
        </w:rPr>
        <w:t>If a U.S. holder presents a note for conversion, the U.S. holder may receive solely cash, solely common stock, or a combination of cash and common stock in exchange for the note, depending upon our chosen settlement method.</w:t>
      </w:r>
    </w:p>
    <w:p>
      <w:pPr>
        <w:spacing w:after="0" w:line="82" w:lineRule="exact"/>
        <w:rPr>
          <w:sz w:val="20"/>
          <w:szCs w:val="20"/>
          <w:color w:val="auto"/>
        </w:rPr>
      </w:pPr>
    </w:p>
    <w:p>
      <w:pPr>
        <w:ind w:left="360" w:right="439"/>
        <w:spacing w:after="0" w:line="238" w:lineRule="auto"/>
        <w:rPr>
          <w:sz w:val="20"/>
          <w:szCs w:val="20"/>
          <w:color w:val="auto"/>
        </w:rPr>
      </w:pPr>
      <w:r>
        <w:rPr>
          <w:rFonts w:ascii="Arial" w:cs="Arial" w:eastAsia="Arial" w:hAnsi="Arial"/>
          <w:sz w:val="14"/>
          <w:szCs w:val="14"/>
          <w:color w:val="auto"/>
        </w:rPr>
        <w:t>If a U.S. holder receives solely cash in exchange for a note upon conversion, the U.S. holder will generally recognize gain or loss upon such conversion, and the U.S. holder’s gain or loss will be determined in the same manner as if the U.S. holder disposed of the notes in a taxable disposition (as described above under “—Sale, Exchange, Redemption or Other Taxable Disposition of Notes”).</w:t>
      </w:r>
    </w:p>
    <w:p>
      <w:pPr>
        <w:spacing w:after="0" w:line="89" w:lineRule="exact"/>
        <w:rPr>
          <w:sz w:val="20"/>
          <w:szCs w:val="20"/>
          <w:color w:val="auto"/>
        </w:rPr>
      </w:pPr>
    </w:p>
    <w:p>
      <w:pPr>
        <w:ind w:left="360" w:right="379"/>
        <w:spacing w:after="0" w:line="276" w:lineRule="auto"/>
        <w:rPr>
          <w:sz w:val="20"/>
          <w:szCs w:val="20"/>
          <w:color w:val="auto"/>
        </w:rPr>
      </w:pPr>
      <w:r>
        <w:rPr>
          <w:rFonts w:ascii="Arial" w:cs="Arial" w:eastAsia="Arial" w:hAnsi="Arial"/>
          <w:sz w:val="12"/>
          <w:szCs w:val="12"/>
          <w:color w:val="auto"/>
        </w:rPr>
        <w:t>If a U.S. holder receives solely common stock in exchange for notes upon conversion (excluding an exchange with a designated financial institution in lieu of conversion, as described in “Description of Notes— Conversion Rights—Exchange in Lieu of Conversion,” which would be taxable as described above, under “—Sale, Exchange, Redemption or Other Taxable Disposition of Notes,” and in which case the holder would have a tax basis in the shares of common stock equal to their fair market value at the time of the conversion, and a holding period beginning the day after the date of receipt), the U.S. holder generally will not recognize gain or loss upon the conversion of the notes into common stock except to the extent of (i) cash received in lieu of a fractional share and (ii) amounts received with respect to accrued but unpaid interest (which will be treated as described above under “—Interest on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S-66</w:t>
      </w:r>
    </w:p>
    <w:p>
      <w:pPr>
        <w:sectPr>
          <w:pgSz w:w="11900" w:h="16838" w:orient="portrait"/>
          <w:cols w:equalWidth="0" w:num="1">
            <w:col w:w="9019"/>
          </w:cols>
          <w:pgMar w:left="1440" w:top="239" w:right="1440" w:bottom="1440" w:gutter="0" w:footer="0" w:header="0"/>
        </w:sectPr>
      </w:pPr>
    </w:p>
    <w:bookmarkStart w:id="69" w:name="page70"/>
    <w:bookmarkEnd w:id="69"/>
    <w:p>
      <w:pPr>
        <w:ind w:left="360" w:right="439"/>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amount of gain or loss a U.S. holder will recognize on the receipt of cash in lieu of a fractional share will be equal to the difference between the amount of cash the U.S. holder receives in respect of the fractional share and the portion of the U.S. holder’s adjusted tax basis in the note that is allocable to the fractional share. Any such gain or loss generally will be capital gain or loss and generally will be long-term capital gain or loss, if at the time of the conversion, the note has been held for more than one year. The tax basis of shares of common stock received upon a conversion (other than shares attributable to accrued but unpaid interest, the tax basis of which will equal their fair market value) will equal the adjusted tax basis of the note that was converted (excluding the portion of the adjusted tax basis that is allocable to any fractional share). The U.S. holder’s holding period for the shares of common stock will include the period during which the U.S. holder held the notes, except that the holding period for any shares received with respect to accrued but unpaid interest will commence on the day after the date of receipt.</w:t>
      </w:r>
    </w:p>
    <w:p>
      <w:pPr>
        <w:spacing w:after="0" w:line="93" w:lineRule="exact"/>
        <w:rPr>
          <w:sz w:val="20"/>
          <w:szCs w:val="20"/>
          <w:color w:val="auto"/>
        </w:rPr>
      </w:pPr>
    </w:p>
    <w:p>
      <w:pPr>
        <w:jc w:val="both"/>
        <w:ind w:left="360" w:right="459"/>
        <w:spacing w:after="0" w:line="238" w:lineRule="auto"/>
        <w:rPr>
          <w:sz w:val="20"/>
          <w:szCs w:val="20"/>
          <w:color w:val="auto"/>
        </w:rPr>
      </w:pPr>
      <w:r>
        <w:rPr>
          <w:rFonts w:ascii="Arial" w:cs="Arial" w:eastAsia="Arial" w:hAnsi="Arial"/>
          <w:sz w:val="14"/>
          <w:szCs w:val="14"/>
          <w:color w:val="auto"/>
        </w:rPr>
        <w:t>As described below, the tax treatment of a conversion of a note into cash and common stock is uncertain and subject to different possible characterizations, either as a recapitalization or as an alternative treatment, and U.S. holders should consult their tax advisors regarding the consequences of such a conversion.</w:t>
      </w:r>
    </w:p>
    <w:p>
      <w:pPr>
        <w:spacing w:after="0" w:line="79" w:lineRule="exact"/>
        <w:rPr>
          <w:sz w:val="20"/>
          <w:szCs w:val="20"/>
          <w:color w:val="auto"/>
        </w:rPr>
      </w:pPr>
    </w:p>
    <w:p>
      <w:pPr>
        <w:ind w:left="360" w:right="399"/>
        <w:spacing w:after="0" w:line="229" w:lineRule="auto"/>
        <w:rPr>
          <w:sz w:val="20"/>
          <w:szCs w:val="20"/>
          <w:color w:val="auto"/>
        </w:rPr>
      </w:pPr>
      <w:r>
        <w:rPr>
          <w:rFonts w:ascii="Arial" w:cs="Arial" w:eastAsia="Arial" w:hAnsi="Arial"/>
          <w:sz w:val="14"/>
          <w:szCs w:val="14"/>
          <w:i w:val="1"/>
          <w:iCs w:val="1"/>
          <w:color w:val="auto"/>
        </w:rPr>
        <w:t>Treatment as a Recapitalization</w:t>
      </w:r>
      <w:r>
        <w:rPr>
          <w:rFonts w:ascii="Arial" w:cs="Arial" w:eastAsia="Arial" w:hAnsi="Arial"/>
          <w:sz w:val="14"/>
          <w:szCs w:val="14"/>
          <w:color w:val="auto"/>
        </w:rPr>
        <w:t>. If a combination of cash and common stock is received by a U.S. holder upon conversion of a note</w:t>
      </w:r>
      <w:r>
        <w:rPr>
          <w:rFonts w:ascii="Arial" w:cs="Arial" w:eastAsia="Arial" w:hAnsi="Arial"/>
          <w:sz w:val="14"/>
          <w:szCs w:val="14"/>
          <w:i w:val="1"/>
          <w:iCs w:val="1"/>
          <w:color w:val="auto"/>
        </w:rPr>
        <w:t xml:space="preserve"> </w:t>
      </w:r>
      <w:r>
        <w:rPr>
          <w:rFonts w:ascii="Arial" w:cs="Arial" w:eastAsia="Arial" w:hAnsi="Arial"/>
          <w:sz w:val="14"/>
          <w:szCs w:val="14"/>
          <w:color w:val="auto"/>
        </w:rPr>
        <w:t>(excluding an exchange with a designated financial institution in lieu of conversion, as described in “Description of Notes—Conversion Rights—Exchange in Lieu of Conversion,” which would be taxable as described above, under “—Sale, Exchange, Redemption or Other Taxable Disposition of Notes”), we intend to take the position that the notes are securities for relevant U.S. federal income tax purposes and to treat the conversion as a recapitalization. However, this position is not free from doubt and there can be no assurance in this regard. In such case, gain, but not loss, would be recognized by the U.S. holder equal to the excess of the fair market value of our common stock (including any fractional share) and cash received (other than amounts attributable to accrued but unpaid interest, which will be treated as described above under “—Interest on the Notes,” and other than any cash received in lieu of a fractional share) over the U.S. holder’s adjusted tax basis in the note, but in no event would the gain recognized exceed the amount of cash received (excluding any cash received in lieu of a fractional share or attributable to accrued but unpaid interest). Cash received in lieu of a fractional share of our common stock upon a conversion of a note should be treated as a payment in exchange for the fractional share of our common stock. Accordingly, the receipt of cash in lieu of a fractional share of our common stock should generally result in capital gain or loss, which would be equal to the difference between the amount of cash received in lieu of a fractional share and the portion of the U.S. holder’s tax basis in our common stock received that is allocable to the fractional share. Any gain or loss recognized by a U.S. holder on conversion of a note generally would be capital gain or loss and generally would be long-term capital gain or loss if, at the time of the conversion, the note has been held for more than one year.</w:t>
      </w:r>
    </w:p>
    <w:p>
      <w:pPr>
        <w:spacing w:after="0" w:line="90"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The tax basis of our common stock received upon such a conversion (including any fractional share deemed to be received by the U.S. holder, but excluding any common stock attributable to accrued but unpaid interest, the tax basis of which would equal its fair market value) would equal the adjusted tax basis of the note that was converted, reduced by the amount of any cash received (excluding cash received in lieu of a fractional share or attributable to accrued but unpaid interest), and increased by the amount of gain, if any, recognized (other than gain recognized on any cash received with respect to a fractional share). A U.S. holder’s holding period for common stock would include the period during which the U.S. holder held the note, except that the holding period for any common stock received with respect to accrued but unpaid interest would commence on the day after our common stock is received.</w:t>
      </w:r>
    </w:p>
    <w:p>
      <w:pPr>
        <w:spacing w:after="0" w:line="88" w:lineRule="exact"/>
        <w:rPr>
          <w:sz w:val="20"/>
          <w:szCs w:val="20"/>
          <w:color w:val="auto"/>
        </w:rPr>
      </w:pPr>
    </w:p>
    <w:p>
      <w:pPr>
        <w:ind w:left="360" w:right="619"/>
        <w:spacing w:after="0" w:line="235" w:lineRule="auto"/>
        <w:rPr>
          <w:sz w:val="20"/>
          <w:szCs w:val="20"/>
          <w:color w:val="auto"/>
        </w:rPr>
      </w:pPr>
      <w:r>
        <w:rPr>
          <w:rFonts w:ascii="Arial" w:cs="Arial" w:eastAsia="Arial" w:hAnsi="Arial"/>
          <w:sz w:val="14"/>
          <w:szCs w:val="14"/>
          <w:i w:val="1"/>
          <w:iCs w:val="1"/>
          <w:color w:val="auto"/>
        </w:rPr>
        <w:t>Alternative Treatment as Part Conversion and Part Redemption</w:t>
      </w:r>
      <w:r>
        <w:rPr>
          <w:rFonts w:ascii="Arial" w:cs="Arial" w:eastAsia="Arial" w:hAnsi="Arial"/>
          <w:sz w:val="14"/>
          <w:szCs w:val="14"/>
          <w:color w:val="auto"/>
        </w:rPr>
        <w:t>. If the conversion of a note into cash and common stock (excluding an</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with a designated financial institution in lieu of conversion, as described in “Description of Notes—Conversion Rights— Exchange in Lieu of Conversion,” which would be taxable as described above under “—Sale, Exchange, Redemption or Other Taxable Disposition of Notes”) were not treated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S-67</w:t>
      </w:r>
    </w:p>
    <w:p>
      <w:pPr>
        <w:sectPr>
          <w:pgSz w:w="11900" w:h="16838" w:orient="portrait"/>
          <w:cols w:equalWidth="0" w:num="1">
            <w:col w:w="9019"/>
          </w:cols>
          <w:pgMar w:left="1440" w:top="238" w:right="1440" w:bottom="1440" w:gutter="0" w:footer="0" w:header="0"/>
        </w:sectPr>
      </w:pPr>
    </w:p>
    <w:bookmarkStart w:id="70" w:name="page71"/>
    <w:bookmarkEnd w:id="70"/>
    <w:p>
      <w:pPr>
        <w:ind w:left="360" w:right="379"/>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as a recapitalization as discussed above, the cash payment received (excluding cash received in lieu of a fractional share or attributable to accrued but unpaid interest) may be treated as proceeds from the redemption of a portion of the note and taxed in the manner described above under “—Sale, Exchange, Redemption or Other Taxable Disposition of Notes.” In such case, our common stock received (including any fractional share deemed received) on such a conversion would be treated as received upon a conversion of the other portion of the note, which generally would not be taxable to a U.S. holder except to the extent of any cash received in lieu of a fractional share or any amounts received with respect to accrued but unpaid interest. In that case, the U.S. holder’s adjusted tax basis in the note would generally be allocated pro rata between the portion of the note that is treated as converted into common stock (including any fractional share deemed received) and the portion of the note that is treated as sold for cash based on the fair market value of our common stock and the cash received (other than cash received in lieu of fractional shares, and excluding any amounts received treated as interest). The holding period for our common stock received in the conversion would include the holding period for the note, except that the holding period for any common stock received with respect to accrued but unpaid interest would commence on the day after our common stock is received.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Distributions</w:t>
      </w:r>
    </w:p>
    <w:p>
      <w:pPr>
        <w:spacing w:after="0" w:line="93" w:lineRule="exact"/>
        <w:rPr>
          <w:sz w:val="20"/>
          <w:szCs w:val="20"/>
          <w:color w:val="auto"/>
        </w:rPr>
      </w:pPr>
    </w:p>
    <w:p>
      <w:pPr>
        <w:ind w:left="360" w:right="379"/>
        <w:spacing w:after="0" w:line="271" w:lineRule="auto"/>
        <w:rPr>
          <w:sz w:val="20"/>
          <w:szCs w:val="20"/>
          <w:color w:val="auto"/>
        </w:rPr>
      </w:pPr>
      <w:r>
        <w:rPr>
          <w:rFonts w:ascii="Arial" w:cs="Arial" w:eastAsia="Arial" w:hAnsi="Arial"/>
          <w:sz w:val="12"/>
          <w:szCs w:val="12"/>
          <w:color w:val="auto"/>
        </w:rPr>
        <w:t>We have never declared or paid cash dividends on our common stock, and we do not anticipate paying any cash dividends in the foreseeable future. However, if we do make distributions of cash or property on our common stock (other than certain pro rata distributions of our common stock or rights to acquire common stock), such distributions will constitute ordinary dividend income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holder’s adjusted tax basis in its common stock, but not below zero. Any excess will be treated as capital gain from the sale or exchange of such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 Dividends received by a corporate U.S. holder may be eligible for a dividends received deduction, subject to applicable limitations. Dividends received by certain non-corporate U.S. holders (including individuals) are generally taxed at the lower applicable long-term capital gains rates, provided certain holding period and other requirements are satisfied.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Constructive Distributions</w:t>
      </w:r>
    </w:p>
    <w:p>
      <w:pPr>
        <w:spacing w:after="0" w:line="103" w:lineRule="exact"/>
        <w:rPr>
          <w:sz w:val="20"/>
          <w:szCs w:val="20"/>
          <w:color w:val="auto"/>
        </w:rPr>
      </w:pPr>
    </w:p>
    <w:p>
      <w:pPr>
        <w:ind w:left="360" w:right="399"/>
        <w:spacing w:after="0" w:line="281" w:lineRule="auto"/>
        <w:rPr>
          <w:sz w:val="20"/>
          <w:szCs w:val="20"/>
          <w:color w:val="auto"/>
        </w:rPr>
      </w:pPr>
      <w:r>
        <w:rPr>
          <w:rFonts w:ascii="Arial" w:cs="Arial" w:eastAsia="Arial" w:hAnsi="Arial"/>
          <w:sz w:val="12"/>
          <w:szCs w:val="12"/>
          <w:color w:val="auto"/>
        </w:rPr>
        <w:t>The conversion rate of the notes will be adjusted in certain circumstances. Adjustments (or failures to make adjustments) that have the effect of increasing, for a U.S. holder of notes, the proportionate interest in our assets or earnings and profits may, in some circumstances, result in a deemed distribution to the U.S. holder for U.S. federal income tax purposes even though no cash or property is received. Adjustments to the conversion rate made pursuant to a bona fide reasonable adjustment formula that has the effect of preventing the dilution of the interest of the holders of the notes, however, will generally not result in a deemed distribution to a U.S. holder.</w:t>
      </w:r>
    </w:p>
    <w:p>
      <w:pPr>
        <w:spacing w:after="0" w:line="55" w:lineRule="exact"/>
        <w:rPr>
          <w:sz w:val="20"/>
          <w:szCs w:val="20"/>
          <w:color w:val="auto"/>
        </w:rPr>
      </w:pPr>
    </w:p>
    <w:p>
      <w:pPr>
        <w:ind w:left="360" w:right="399"/>
        <w:spacing w:after="0" w:line="278" w:lineRule="auto"/>
        <w:rPr>
          <w:sz w:val="20"/>
          <w:szCs w:val="20"/>
          <w:color w:val="auto"/>
        </w:rPr>
      </w:pPr>
      <w:r>
        <w:rPr>
          <w:rFonts w:ascii="Arial" w:cs="Arial" w:eastAsia="Arial" w:hAnsi="Arial"/>
          <w:sz w:val="12"/>
          <w:szCs w:val="12"/>
          <w:color w:val="auto"/>
        </w:rPr>
        <w:t>Certain of the conversion rate adjustments provided in the notes (including, without limitation, adjustments in respect of taxable dividends to holders of our common stock) may not qualify as being pursuant to a bona fide reasonable adjustment formula. If such adjustments are made, a U.S. holder of notes will be deemed to have received a distribution even though the U.S. holder has not received any cash or property as a result of such conversion rate adjustment. In addition, an adjustment to the conversion rate in connection with a make-whole fundamental change may, in some circumstances, be treated as a deemed distribution. Any deemed distribution will be taxable as a dividend to the extent of our current or accumulated earnings and profits, generally as described above under “—Distributions.”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S-68</w:t>
      </w:r>
    </w:p>
    <w:p>
      <w:pPr>
        <w:sectPr>
          <w:pgSz w:w="11900" w:h="16838" w:orient="portrait"/>
          <w:cols w:equalWidth="0" w:num="1">
            <w:col w:w="9019"/>
          </w:cols>
          <w:pgMar w:left="1440" w:top="238" w:right="1440" w:bottom="1440" w:gutter="0" w:footer="0" w:header="0"/>
        </w:sectPr>
      </w:pPr>
    </w:p>
    <w:bookmarkStart w:id="71" w:name="page72"/>
    <w:bookmarkEnd w:id="71"/>
    <w:p>
      <w:pPr>
        <w:ind w:left="360" w:right="47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However, it is unclear whether a constructive dividend deemed paid to a non-corporate U.S. holder would be eligible for the lower applicable long-term capital gains rates as described above under “—Distributions.” It is also unclear whether corporate U.S. holders would be entitled to claim the dividends received deduction with respect to any such constructive dividends. Generally, a U.S. holder’s adjusted tax basis in a note will be increased to the extent any such constructive distribution is treated as a dividend. U.S. holders should consult their tax advisors on the effect a constructive distribution may have on their notes.</w:t>
      </w:r>
    </w:p>
    <w:p>
      <w:pPr>
        <w:spacing w:after="0" w:line="88" w:lineRule="exact"/>
        <w:rPr>
          <w:sz w:val="20"/>
          <w:szCs w:val="20"/>
          <w:color w:val="auto"/>
        </w:rPr>
      </w:pPr>
    </w:p>
    <w:p>
      <w:pPr>
        <w:ind w:left="360" w:right="439"/>
        <w:spacing w:after="0" w:line="270" w:lineRule="auto"/>
        <w:rPr>
          <w:sz w:val="20"/>
          <w:szCs w:val="20"/>
          <w:color w:val="auto"/>
        </w:rPr>
      </w:pPr>
      <w:r>
        <w:rPr>
          <w:rFonts w:ascii="Arial" w:cs="Arial" w:eastAsia="Arial" w:hAnsi="Arial"/>
          <w:sz w:val="12"/>
          <w:szCs w:val="12"/>
          <w:color w:val="auto"/>
        </w:rPr>
        <w:t>We are currently required to report the amount of any deemed distributions on our website or to the IRS and holders of notes not exempt from information reporting. The IRS has issued proposed regulations addressing the amount and timing of deemed distributions, as well as obligations of withholding agents and filing and notice obligations of issuers in respect of such deemed distributions. If adopted as proposed, the regulations would generally provide that (i) the amount of a deemed distribution is the excess of the fair market value of the right to acquire stock immediately after the conversion rate adjustment over the fair market value of the right to acquire stock without the adjustment, (ii) the deemed distribution occurs at the earlier of the date the adjustment occurs under the terms of the note and the date of the actual distribution of cash or property that results in the deemed distribution, (iii) subject to certain limited exceptions, a withholding agent is required to impose any applicable withholding on deemed distributions and, if there is no associated cash payment, may withhold the required amounts from, or set off the required amounts against, payments on the notes, payments on our common stock or sales proceeds received by or other funds or assets of an investor and (iv) we are required to report the amount of any deemed distributions on our website or to the IRS and all holders of notes (including holders of notes that would otherwise be exempt from information reporting). The regulations will be effective for deemed distributions occurring on or after the date of their adoption as final regulations, but holders of notes and withholding agents may rely on the proposed regulations prior to that date under certain circumstances.</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Exchange in Lieu of Conversion</w:t>
      </w:r>
    </w:p>
    <w:p>
      <w:pPr>
        <w:spacing w:after="0" w:line="103" w:lineRule="exact"/>
        <w:rPr>
          <w:sz w:val="20"/>
          <w:szCs w:val="20"/>
          <w:color w:val="auto"/>
        </w:rPr>
      </w:pPr>
    </w:p>
    <w:p>
      <w:pPr>
        <w:ind w:left="360" w:right="459"/>
        <w:spacing w:after="0" w:line="234" w:lineRule="auto"/>
        <w:rPr>
          <w:sz w:val="20"/>
          <w:szCs w:val="20"/>
          <w:color w:val="auto"/>
        </w:rPr>
      </w:pPr>
      <w:r>
        <w:rPr>
          <w:rFonts w:ascii="Arial" w:cs="Arial" w:eastAsia="Arial" w:hAnsi="Arial"/>
          <w:sz w:val="14"/>
          <w:szCs w:val="14"/>
          <w:color w:val="auto"/>
        </w:rPr>
        <w:t>If a U.S. holder surrenders notes for conversion and such notes are exchanged with a designated financial institution, as described under “Description of Notes—Conversion Rights—Exchange in Lieu of Conversion,” the U.S. holder will be required to recognize gain or loss as described under “—Sale, Exchange, Redemption or Other Taxable Disposition of Notes.” In such case, the U.S. holder’s tax basis in our Common Stock received will equal the fair market value of our Common Stock on the date of the exchange, and the U.S. holder’s holding period in our Common Stock received will begin on the day after the date of the exchange.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Sales, Certain Redemptions or Other Taxable Dispositions of Common Stock</w:t>
      </w:r>
    </w:p>
    <w:p>
      <w:pPr>
        <w:spacing w:after="0" w:line="93" w:lineRule="exact"/>
        <w:rPr>
          <w:sz w:val="20"/>
          <w:szCs w:val="20"/>
          <w:color w:val="auto"/>
        </w:rPr>
      </w:pPr>
    </w:p>
    <w:p>
      <w:pPr>
        <w:ind w:left="360" w:right="379"/>
        <w:spacing w:after="0" w:line="287" w:lineRule="auto"/>
        <w:rPr>
          <w:sz w:val="20"/>
          <w:szCs w:val="20"/>
          <w:color w:val="auto"/>
        </w:rPr>
      </w:pPr>
      <w:r>
        <w:rPr>
          <w:rFonts w:ascii="Arial" w:cs="Arial" w:eastAsia="Arial" w:hAnsi="Arial"/>
          <w:sz w:val="12"/>
          <w:szCs w:val="12"/>
          <w:color w:val="auto"/>
        </w:rPr>
        <w:t>Upon sales, certain redemptions or other taxable dispositions of our common stock, a U.S. holder generally will recognize gain or loss equal to the difference between the amount realized and the U.S. holder’s tax basis in our common stock. Any gain or loss recognized on a taxable disposition of common stock generally will be capital gain or loss. Such capital gain or loss will be long-term capital gain or loss if a U.S. holder’s holding period at the time of the sale, redemption or other taxable disposition of our common stock is more than one year.</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Possible Effect of a Change in Conversion Consideration</w:t>
      </w:r>
    </w:p>
    <w:p>
      <w:pPr>
        <w:spacing w:after="0" w:line="103" w:lineRule="exact"/>
        <w:rPr>
          <w:sz w:val="20"/>
          <w:szCs w:val="20"/>
          <w:color w:val="auto"/>
        </w:rPr>
      </w:pPr>
    </w:p>
    <w:p>
      <w:pPr>
        <w:ind w:left="360" w:right="419"/>
        <w:spacing w:after="0" w:line="232" w:lineRule="auto"/>
        <w:rPr>
          <w:sz w:val="20"/>
          <w:szCs w:val="20"/>
          <w:color w:val="auto"/>
        </w:rPr>
      </w:pPr>
      <w:r>
        <w:rPr>
          <w:rFonts w:ascii="Arial" w:cs="Arial" w:eastAsia="Arial" w:hAnsi="Arial"/>
          <w:sz w:val="14"/>
          <w:szCs w:val="14"/>
          <w:color w:val="auto"/>
        </w:rPr>
        <w:t>In certain situations, the notes may become convertible or exchangeable into shares of an acquirer or other consideration. Furthermore, we can undertake certain transactions (such as a merger or sale of assets) in connection with a change of control or other transaction. Depending on the circumstances, an adjustment in conversion consideration or such transactions undertaken in connection with a change of control or similar transaction could result in a deemed taxable exchange of the notes to a U.S. holder and the modified notes could be treated as newly issued at that time, potentially resulting in the recognition of taxable gain or loss. Furthermore, depending on the circumstances, the U.S. federal income tax consequences of the exchange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S-69</w:t>
      </w:r>
    </w:p>
    <w:p>
      <w:pPr>
        <w:sectPr>
          <w:pgSz w:w="11900" w:h="16838" w:orient="portrait"/>
          <w:cols w:equalWidth="0" w:num="1">
            <w:col w:w="9019"/>
          </w:cols>
          <w:pgMar w:left="1440" w:top="238" w:right="1440" w:bottom="1440" w:gutter="0" w:footer="0" w:header="0"/>
        </w:sectPr>
      </w:pPr>
    </w:p>
    <w:bookmarkStart w:id="72" w:name="page73"/>
    <w:bookmarkEnd w:id="72"/>
    <w:p>
      <w:pPr>
        <w:ind w:left="360" w:right="53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conversion of the notes as well as the ownership of the notes and the shares of our common stock or other consideration received upon conversion may be different from the U.S. federal income tax consequences addressed in this discussion. U.S. holders should consult their tax advisors regarding the consequences to them of such situations.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Consequences to Non-U.S. Holders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on the Notes</w:t>
      </w:r>
    </w:p>
    <w:p>
      <w:pPr>
        <w:spacing w:after="0" w:line="103" w:lineRule="exact"/>
        <w:rPr>
          <w:sz w:val="20"/>
          <w:szCs w:val="20"/>
          <w:color w:val="auto"/>
        </w:rPr>
      </w:pPr>
    </w:p>
    <w:p>
      <w:pPr>
        <w:ind w:left="360" w:right="479"/>
        <w:spacing w:after="0" w:line="287" w:lineRule="auto"/>
        <w:rPr>
          <w:sz w:val="20"/>
          <w:szCs w:val="20"/>
          <w:color w:val="auto"/>
        </w:rPr>
      </w:pPr>
      <w:r>
        <w:rPr>
          <w:rFonts w:ascii="Arial" w:cs="Arial" w:eastAsia="Arial" w:hAnsi="Arial"/>
          <w:sz w:val="12"/>
          <w:szCs w:val="12"/>
          <w:color w:val="auto"/>
        </w:rPr>
        <w:t>Subject to the discussions below under “Information Reporting and Backup Withholding” and “Foreign Account Tax Compliance Act,” interest paid on a note to a non-U.S. holder that is not effectively connected with the non-U.S. holder’s conduct of a trade or business within the United States (and, if required by an applicable income tax treaty, is not attributable to a U.S. permanent establishment or fixed base maintained by the non-U.S. holder) generally will not be subject to U.S. federal income or withholding tax of 30%, provided that:</w:t>
      </w:r>
    </w:p>
    <w:p>
      <w:pPr>
        <w:spacing w:after="0" w:line="61" w:lineRule="exact"/>
        <w:rPr>
          <w:sz w:val="20"/>
          <w:szCs w:val="20"/>
          <w:color w:val="auto"/>
        </w:rPr>
      </w:pPr>
    </w:p>
    <w:p>
      <w:pPr>
        <w:ind w:left="520" w:right="459" w:hanging="157"/>
        <w:spacing w:after="0" w:line="249"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non-U.S. holder does not actually or constructively own (pursuant to the conversion feature of the notes or otherwise) 10% or more of the total combined voting power of all classes of our stock that are entitled to vote;</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non-U.S. holder is not a controlled foreign corporation that is related to us (actually or constructively) through stock ownership; and</w:t>
      </w:r>
    </w:p>
    <w:p>
      <w:pPr>
        <w:spacing w:after="0" w:line="125" w:lineRule="exact"/>
        <w:rPr>
          <w:rFonts w:ascii="Arial" w:cs="Arial" w:eastAsia="Arial" w:hAnsi="Arial"/>
          <w:sz w:val="12"/>
          <w:szCs w:val="12"/>
          <w:color w:val="auto"/>
        </w:rPr>
      </w:pPr>
    </w:p>
    <w:p>
      <w:pPr>
        <w:ind w:left="520" w:right="699" w:hanging="157"/>
        <w:spacing w:after="0" w:line="235"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non-U.S. holder (a) provides its name and address, and certifies, under penalties of perjury, that it is not a U.S. person (which certification may be made on an IRS Form W-8BEN or W-8BEN-E (or other applicable form)) or (b) holds the notes through certain foreign intermediaries and the non-U.S. holder and the foreign intermediaries satisfy the certification requirements of applicable Treasury regulations.</w:t>
      </w:r>
    </w:p>
    <w:p>
      <w:pPr>
        <w:spacing w:after="0" w:line="90" w:lineRule="exact"/>
        <w:rPr>
          <w:sz w:val="20"/>
          <w:szCs w:val="20"/>
          <w:color w:val="auto"/>
        </w:rPr>
      </w:pPr>
    </w:p>
    <w:p>
      <w:pPr>
        <w:ind w:left="360" w:right="419"/>
        <w:spacing w:after="0" w:line="271" w:lineRule="auto"/>
        <w:rPr>
          <w:sz w:val="20"/>
          <w:szCs w:val="20"/>
          <w:color w:val="auto"/>
        </w:rPr>
      </w:pPr>
      <w:r>
        <w:rPr>
          <w:rFonts w:ascii="Arial" w:cs="Arial" w:eastAsia="Arial" w:hAnsi="Arial"/>
          <w:sz w:val="12"/>
          <w:szCs w:val="12"/>
          <w:color w:val="auto"/>
        </w:rPr>
        <w:t>If a non-U.S. holder cannot satisfy the requirements described above, payments of interest will be subject to a U.S. federal withholding tax at a 30% rate, unless the non-U.S. holder provides the applicable withholding agent with a properly executed (i) IRS Form W-8BEN or W-8BEN-E (or other applicable form) claiming an exemption from or reduction in withholding under an applicable income tax treaty or</w:t>
      </w:r>
    </w:p>
    <w:p>
      <w:pPr>
        <w:spacing w:after="0" w:line="1" w:lineRule="exact"/>
        <w:rPr>
          <w:sz w:val="20"/>
          <w:szCs w:val="20"/>
          <w:color w:val="auto"/>
        </w:rPr>
      </w:pPr>
    </w:p>
    <w:p>
      <w:pPr>
        <w:ind w:left="360" w:right="439" w:firstLine="3"/>
        <w:spacing w:after="0" w:line="271" w:lineRule="auto"/>
        <w:tabs>
          <w:tab w:leader="none" w:pos="5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IRS Form W-8ECI (or other applicable form) stating that interest paid on the notes is not subject to withholding tax because it is effectively connected with the non-U.S. holder’s conduct of a trade or business in the United States. If a non-U.S. holder is engaged in a trade or business in the United States and interest on a note is effectively connected with the conduct of that trade or business (and, if required by an applicable income tax treaty, is attributable to a U.S. permanent establishment or fixed base maintained by the non-U.S. holder), then (although the non-U.S. holder will be exempt from the 30% withholding tax provided the certification requirements discussed above are satisfied) the non-U.S. holder will be subject to U.S. federal income tax on that interest on a net income basis generally in the same manner as if the non-U.S. holder were a U.S. holder. In addition, if the non-U.S. holder is a foreign corporation, it may be subject to a branch profits tax equal to 30% (or lesser rate under an applicable income tax treaty) of its earnings and profits for the taxable year, subject to adjustments, that are effectively connected with its conduct of a trade or business in the United States.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Dividends and Constructive Distributions</w:t>
      </w:r>
    </w:p>
    <w:p>
      <w:pPr>
        <w:spacing w:after="0" w:line="103" w:lineRule="exact"/>
        <w:rPr>
          <w:sz w:val="20"/>
          <w:szCs w:val="20"/>
          <w:color w:val="auto"/>
        </w:rPr>
      </w:pPr>
    </w:p>
    <w:p>
      <w:pPr>
        <w:ind w:left="360" w:right="559"/>
        <w:spacing w:after="0" w:line="278" w:lineRule="auto"/>
        <w:rPr>
          <w:sz w:val="20"/>
          <w:szCs w:val="20"/>
          <w:color w:val="auto"/>
        </w:rPr>
      </w:pPr>
      <w:r>
        <w:rPr>
          <w:rFonts w:ascii="Arial" w:cs="Arial" w:eastAsia="Arial" w:hAnsi="Arial"/>
          <w:sz w:val="12"/>
          <w:szCs w:val="12"/>
          <w:color w:val="auto"/>
        </w:rPr>
        <w:t>Subject to the discussion below on effectively connected income, dividends paid to a non-U.S. holder (and any deemed dividends resulting from certain adjustments, or failures to make adjustments, to the conversion rate of the notes, see above under “— Consequences to U.S. Holders—Constructive Distributions”), will be subject to U.S. federal withholding tax at a rate of 30% of the gross amount of the dividends or deemed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S-70</w:t>
      </w:r>
    </w:p>
    <w:p>
      <w:pPr>
        <w:sectPr>
          <w:pgSz w:w="11900" w:h="16838" w:orient="portrait"/>
          <w:cols w:equalWidth="0" w:num="1">
            <w:col w:w="9019"/>
          </w:cols>
          <w:pgMar w:left="1440" w:top="238" w:right="1440" w:bottom="1440" w:gutter="0" w:footer="0" w:header="0"/>
        </w:sectPr>
      </w:pPr>
    </w:p>
    <w:bookmarkStart w:id="73" w:name="page74"/>
    <w:bookmarkEnd w:id="73"/>
    <w:p>
      <w:pPr>
        <w:ind w:left="360" w:right="37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rate, may obtain a refund of any excess amounts withheld by timely filing an appropriate claim for refund with the IRS. Non-U.S. holders should consult their tax advisors regarding their entitlement to benefits under any applicable income tax treaty. Any applicable withholding taxes (including backup withholding) with respect to deemed dividends may be withheld from or set-off against interest and payments upon conversion, repurchase, redemption or maturity of the notes or, in some circumstances, any payments on our common stock or sales proceeds received by or other funds or assets of such non-U.S. holder.</w:t>
      </w:r>
    </w:p>
    <w:p>
      <w:pPr>
        <w:spacing w:after="0" w:line="88" w:lineRule="exact"/>
        <w:rPr>
          <w:sz w:val="20"/>
          <w:szCs w:val="20"/>
          <w:color w:val="auto"/>
        </w:rPr>
      </w:pPr>
    </w:p>
    <w:p>
      <w:pPr>
        <w:ind w:left="360" w:right="439"/>
        <w:spacing w:after="0" w:line="232" w:lineRule="auto"/>
        <w:rPr>
          <w:sz w:val="20"/>
          <w:szCs w:val="20"/>
          <w:color w:val="auto"/>
        </w:rPr>
      </w:pPr>
      <w:r>
        <w:rPr>
          <w:rFonts w:ascii="Arial" w:cs="Arial" w:eastAsia="Arial" w:hAnsi="Arial"/>
          <w:sz w:val="14"/>
          <w:szCs w:val="14"/>
          <w:color w:val="auto"/>
        </w:rPr>
        <w:t>If dividends (or deemed dividends) paid to a non-U.S. holder are effectively connected with the non-U.S. holder’s conduct of a trade or business within the United States (and, if required by an applicable income tax treaty, is attributable to a U.S. permanent establishment or fixed base maintained by the non-U.S. holder), the non-U.S. holder will be exempt from the U.S. federal withholding tax described above. To claim the exemption, the non-U.S. holder must furnish to the applicable withholding agent a valid IRS Form W-8ECI, certifying that the dividends (or deemed dividends) are effectively connected with the non-U.S. holder’s conduct of a trade or business within the United States.</w:t>
      </w:r>
    </w:p>
    <w:p>
      <w:pPr>
        <w:spacing w:after="0" w:line="81" w:lineRule="exact"/>
        <w:rPr>
          <w:sz w:val="20"/>
          <w:szCs w:val="20"/>
          <w:color w:val="auto"/>
        </w:rPr>
      </w:pPr>
    </w:p>
    <w:p>
      <w:pPr>
        <w:ind w:left="360" w:right="379"/>
        <w:spacing w:after="0" w:line="287" w:lineRule="auto"/>
        <w:rPr>
          <w:sz w:val="20"/>
          <w:szCs w:val="20"/>
          <w:color w:val="auto"/>
        </w:rPr>
      </w:pPr>
      <w:r>
        <w:rPr>
          <w:rFonts w:ascii="Arial" w:cs="Arial" w:eastAsia="Arial" w:hAnsi="Arial"/>
          <w:sz w:val="12"/>
          <w:szCs w:val="12"/>
          <w:color w:val="auto"/>
        </w:rPr>
        <w:t>Any such effectively connected dividends (or deemed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(or deemed dividends), as adjusted for certain items. Non-U.S. holders should consult their tax advisors regarding any applicable tax treaties that may provide for different rules.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Sale, Exchange, Certain Redemptions, Conversion or Other Taxable Disposition of Notes or Common Stock</w:t>
      </w:r>
    </w:p>
    <w:p>
      <w:pPr>
        <w:spacing w:after="0" w:line="103" w:lineRule="exact"/>
        <w:rPr>
          <w:sz w:val="20"/>
          <w:szCs w:val="20"/>
          <w:color w:val="auto"/>
        </w:rPr>
      </w:pPr>
    </w:p>
    <w:p>
      <w:pPr>
        <w:jc w:val="both"/>
        <w:ind w:left="360" w:right="639"/>
        <w:spacing w:after="0" w:line="287" w:lineRule="auto"/>
        <w:rPr>
          <w:sz w:val="20"/>
          <w:szCs w:val="20"/>
          <w:color w:val="auto"/>
        </w:rPr>
      </w:pPr>
      <w:r>
        <w:rPr>
          <w:rFonts w:ascii="Arial" w:cs="Arial" w:eastAsia="Arial" w:hAnsi="Arial"/>
          <w:sz w:val="12"/>
          <w:szCs w:val="12"/>
          <w:color w:val="auto"/>
        </w:rPr>
        <w:t>Subject to the discussion below under “Information Reporting and Backup Withholding—Non- U.S. Holders” and “Foreign Account Tax Compliance Act,” any gain recognized by a non-U.S. holder on the sale, exchange (including an exchange with a designated financial institution in lieu of conversion, as described in “Description of Notes—Conversion Rights—Exchange in Lieu of Conversion”), certain redemptions, conversion or other taxable dispositions of a note or common stock will not be subject to U.S. federal income tax unless:</w:t>
      </w:r>
    </w:p>
    <w:p>
      <w:pPr>
        <w:spacing w:after="0" w:line="61" w:lineRule="exact"/>
        <w:rPr>
          <w:sz w:val="20"/>
          <w:szCs w:val="20"/>
          <w:color w:val="auto"/>
        </w:rPr>
      </w:pPr>
    </w:p>
    <w:p>
      <w:pPr>
        <w:ind w:left="520" w:right="519" w:hanging="157"/>
        <w:spacing w:after="0" w:line="331" w:lineRule="auto"/>
        <w:tabs>
          <w:tab w:leader="none" w:pos="5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gain is effectively connected with the non-U.S. holder’s conduct of a trade or business within the United States (and, if required by an applicable income tax treaty, is attributable to a U.S. permanent establishment or fixed base maintained by the non-U.S. holder);</w:t>
      </w:r>
    </w:p>
    <w:p>
      <w:pPr>
        <w:spacing w:after="0" w:line="35" w:lineRule="exact"/>
        <w:rPr>
          <w:rFonts w:ascii="Arial" w:cs="Arial" w:eastAsia="Arial" w:hAnsi="Arial"/>
          <w:sz w:val="12"/>
          <w:szCs w:val="12"/>
          <w:color w:val="auto"/>
        </w:rPr>
      </w:pPr>
    </w:p>
    <w:p>
      <w:pPr>
        <w:ind w:left="520" w:right="619" w:hanging="157"/>
        <w:spacing w:after="0" w:line="249"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82" w:lineRule="exact"/>
        <w:rPr>
          <w:rFonts w:ascii="Arial" w:cs="Arial" w:eastAsia="Arial" w:hAnsi="Arial"/>
          <w:sz w:val="14"/>
          <w:szCs w:val="14"/>
          <w:color w:val="auto"/>
        </w:rPr>
      </w:pPr>
    </w:p>
    <w:p>
      <w:pPr>
        <w:ind w:left="520" w:right="459" w:hanging="157"/>
        <w:spacing w:after="0" w:line="249"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notes or common stock constitutes a U.S. real property interest (a “USRPI”) by reason of our status as a U.S. real property holding corporation (a “USRPHC”), for U.S. federal income tax purposes.</w:t>
      </w:r>
    </w:p>
    <w:p>
      <w:pPr>
        <w:spacing w:after="0" w:line="72" w:lineRule="exact"/>
        <w:rPr>
          <w:sz w:val="20"/>
          <w:szCs w:val="20"/>
          <w:color w:val="auto"/>
        </w:rPr>
      </w:pPr>
    </w:p>
    <w:p>
      <w:pPr>
        <w:ind w:left="360" w:right="399"/>
        <w:spacing w:after="0" w:line="274" w:lineRule="auto"/>
        <w:rPr>
          <w:sz w:val="20"/>
          <w:szCs w:val="20"/>
          <w:color w:val="auto"/>
        </w:rPr>
      </w:pPr>
      <w:r>
        <w:rPr>
          <w:rFonts w:ascii="Arial" w:cs="Arial" w:eastAsia="Arial" w:hAnsi="Arial"/>
          <w:sz w:val="12"/>
          <w:szCs w:val="12"/>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 A non-U.S. holder described in the second bullet point above will be subject to U.S. federal income tax at a rate of 30% (or such lower rate specified by an applicable income tax treaty) on gain realized upon the sale, exchange, redemption, conversion or other taxable dispositions of a note or common stock, which gain may be offset by certain U.S. source capital losses of the non-U.S. holder (even though the individual is not considered a resident of the United States), provided the non-U.S. holder has timely filed U.S. federal income tax returns with respect to such losses. With respect to the third bullet point above, we believe we currently are not, and do not anticipate becoming, a USRPHC.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S-71</w:t>
      </w:r>
    </w:p>
    <w:p>
      <w:pPr>
        <w:sectPr>
          <w:pgSz w:w="11900" w:h="16838" w:orient="portrait"/>
          <w:cols w:equalWidth="0" w:num="1">
            <w:col w:w="9019"/>
          </w:cols>
          <w:pgMar w:left="1440" w:top="238" w:right="1440" w:bottom="1440" w:gutter="0" w:footer="0" w:header="0"/>
        </w:sectPr>
      </w:pPr>
    </w:p>
    <w:bookmarkStart w:id="74" w:name="page75"/>
    <w:bookmarkEnd w:id="74"/>
    <w:p>
      <w:pPr>
        <w:ind w:left="360" w:right="55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amounts (including common stock) which a non-U.S. holder receives on a sale, exchange, redemption, conversion or other taxable disposition of a note which are attributable to accrued but unpaid interest will be subject to U.S. federal income or withholding tax in accordance with the rules described above under “—Interest on the Notes.”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Non-U.S. holders should consult their tax advisors regarding any applicable tax treaties that may provide for different rules.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U.S. Holders</w:t>
      </w:r>
    </w:p>
    <w:p>
      <w:pPr>
        <w:spacing w:after="0" w:line="93" w:lineRule="exact"/>
        <w:rPr>
          <w:sz w:val="20"/>
          <w:szCs w:val="20"/>
          <w:color w:val="auto"/>
        </w:rPr>
      </w:pPr>
    </w:p>
    <w:p>
      <w:pPr>
        <w:ind w:left="360" w:right="499"/>
        <w:spacing w:after="0" w:line="232" w:lineRule="auto"/>
        <w:rPr>
          <w:sz w:val="20"/>
          <w:szCs w:val="20"/>
          <w:color w:val="auto"/>
        </w:rPr>
      </w:pPr>
      <w:r>
        <w:rPr>
          <w:rFonts w:ascii="Arial" w:cs="Arial" w:eastAsia="Arial" w:hAnsi="Arial"/>
          <w:sz w:val="14"/>
          <w:szCs w:val="14"/>
          <w:color w:val="auto"/>
        </w:rPr>
        <w:t>Information reporting requirements generally will apply to payments of interest (including additional interest and special interest, if any) deemed dividends on the notes (if any), dividends on our common stock and the proceeds of a sale or other taxable disposition of a note or common stock paid to a U.S. holder unless the U.S. holder is an exempt recipient, and if required, certifies as to that status. Backup withholding generally will apply to those payments if the U.S. holder fails to provide an appropriate certification with its correct taxpayer identification number or otherwise establish an exemption. 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Non-U.S. Holders</w:t>
      </w:r>
    </w:p>
    <w:p>
      <w:pPr>
        <w:spacing w:after="0" w:line="103" w:lineRule="exact"/>
        <w:rPr>
          <w:sz w:val="20"/>
          <w:szCs w:val="20"/>
          <w:color w:val="auto"/>
        </w:rPr>
      </w:pPr>
    </w:p>
    <w:p>
      <w:pPr>
        <w:ind w:left="360" w:right="439"/>
        <w:spacing w:after="0" w:line="230" w:lineRule="auto"/>
        <w:rPr>
          <w:sz w:val="20"/>
          <w:szCs w:val="20"/>
          <w:color w:val="auto"/>
        </w:rPr>
      </w:pPr>
      <w:r>
        <w:rPr>
          <w:rFonts w:ascii="Arial" w:cs="Arial" w:eastAsia="Arial" w:hAnsi="Arial"/>
          <w:sz w:val="14"/>
          <w:szCs w:val="14"/>
          <w:color w:val="auto"/>
        </w:rPr>
        <w:t>Payments of interest (including additional interest and special interest, if any), deemed distributions on the notes (if any) and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payment of interest (including additional interest and special interest, if any), deemed distributions on the notes (if any) and distributions on our common stock paid to the non-U.S. holder, regardless of whether such distributions (or deemed distributions) constitute dividends or whether any tax was actually withheld. In addition, proceeds of the sale or other taxable disposition of our notes or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notes or common stock conducted through a non-U.S. office of a non-U.S. broker that does not have certain enumerated relationships with the United States generally will not be subject to backup withholding or information reporting.</w:t>
      </w:r>
    </w:p>
    <w:p>
      <w:pPr>
        <w:spacing w:after="0" w:line="79" w:lineRule="exact"/>
        <w:rPr>
          <w:sz w:val="20"/>
          <w:szCs w:val="20"/>
          <w:color w:val="auto"/>
        </w:rPr>
      </w:pPr>
    </w:p>
    <w:p>
      <w:pPr>
        <w:ind w:left="360" w:right="879"/>
        <w:spacing w:after="0" w:line="249" w:lineRule="auto"/>
        <w:rPr>
          <w:sz w:val="20"/>
          <w:szCs w:val="20"/>
          <w:color w:val="auto"/>
        </w:rPr>
      </w:pPr>
      <w:r>
        <w:rPr>
          <w:rFonts w:ascii="Arial" w:cs="Arial" w:eastAsia="Arial" w:hAnsi="Arial"/>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2" w:lineRule="exact"/>
        <w:rPr>
          <w:sz w:val="20"/>
          <w:szCs w:val="20"/>
          <w:color w:val="auto"/>
        </w:rPr>
      </w:pPr>
    </w:p>
    <w:p>
      <w:pPr>
        <w:ind w:left="360" w:right="619"/>
        <w:spacing w:after="0" w:line="331"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Foreign Account Tax Compliance Act</w:t>
      </w:r>
    </w:p>
    <w:p>
      <w:pPr>
        <w:spacing w:after="0" w:line="108" w:lineRule="exact"/>
        <w:rPr>
          <w:sz w:val="20"/>
          <w:szCs w:val="20"/>
          <w:color w:val="auto"/>
        </w:rPr>
      </w:pPr>
    </w:p>
    <w:p>
      <w:pPr>
        <w:ind w:left="360" w:right="379"/>
        <w:spacing w:after="0" w:line="238"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S-72</w:t>
      </w:r>
    </w:p>
    <w:p>
      <w:pPr>
        <w:sectPr>
          <w:pgSz w:w="11900" w:h="16838" w:orient="portrait"/>
          <w:cols w:equalWidth="0" w:num="1">
            <w:col w:w="9019"/>
          </w:cols>
          <w:pgMar w:left="1440" w:top="238" w:right="1440" w:bottom="1440" w:gutter="0" w:footer="0" w:header="0"/>
        </w:sectPr>
      </w:pPr>
    </w:p>
    <w:bookmarkStart w:id="75" w:name="page76"/>
    <w:bookmarkEnd w:id="75"/>
    <w:p>
      <w:pPr>
        <w:ind w:left="360" w:right="439"/>
        <w:spacing w:after="0" w:line="2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interest and dividends (including deemed dividends) on, or (subject to the proposed Treasury Regulations discussed below) gross proceeds from the sale or other disposition of, debt obligations or common stock in a U.S. corporation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5" w:lineRule="exact"/>
        <w:rPr>
          <w:sz w:val="20"/>
          <w:szCs w:val="20"/>
          <w:color w:val="auto"/>
        </w:rPr>
      </w:pPr>
    </w:p>
    <w:p>
      <w:pPr>
        <w:ind w:left="360" w:right="379"/>
        <w:spacing w:after="0" w:line="234"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interest and dividends (including deemed dividends) regardless of when they are made (or deemed made). While withholding under FATCA would have applied also to payments of gross proceeds from the sale or other disposition of our notes or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78" w:lineRule="exact"/>
        <w:rPr>
          <w:sz w:val="20"/>
          <w:szCs w:val="20"/>
          <w:color w:val="auto"/>
        </w:rPr>
      </w:pPr>
    </w:p>
    <w:p>
      <w:pPr>
        <w:ind w:left="360" w:right="479"/>
        <w:spacing w:after="0" w:line="249"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the notes and our common stock.</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S-73</w:t>
      </w:r>
    </w:p>
    <w:p>
      <w:pPr>
        <w:sectPr>
          <w:pgSz w:w="11900" w:h="16838" w:orient="portrait"/>
          <w:cols w:equalWidth="0" w:num="1">
            <w:col w:w="9019"/>
          </w:cols>
          <w:pgMar w:left="1440" w:top="238" w:right="1440" w:bottom="1440" w:gutter="0" w:footer="0" w:header="0"/>
        </w:sectPr>
      </w:pPr>
    </w:p>
    <w:bookmarkStart w:id="76" w:name="page77"/>
    <w:bookmarkEnd w:id="76"/>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Concurrent Common Stock Offering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Concurrently with this offering, we are offering, pursuant to a separate prospectus supplement, 10,563,381 shares of our common stock at</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public offering price of $142.00 per share, which we refer to as the “concurrent common stock offering.” We have granted the</w:t>
      </w:r>
    </w:p>
    <w:p>
      <w:pPr>
        <w:ind w:left="360"/>
        <w:spacing w:after="0"/>
        <w:rPr>
          <w:sz w:val="20"/>
          <w:szCs w:val="20"/>
          <w:color w:val="auto"/>
        </w:rPr>
      </w:pPr>
      <w:r>
        <w:rPr>
          <w:rFonts w:ascii="Arial" w:cs="Arial" w:eastAsia="Arial" w:hAnsi="Arial"/>
          <w:sz w:val="12"/>
          <w:szCs w:val="12"/>
          <w:color w:val="auto"/>
        </w:rPr>
        <w:t>underwriters of the concurrent common stock offering a 30-day option to purchase up to an additional 1,584,506 shares of our common</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stock. We estimate that the net proceeds to us from the concurrent common stock offering, if it is consummated, will be approximately</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$1,435.0 million (or approximately $1,650.4 million if the underwriters of the concurrent common stock offering exercise in full their option</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to purchase additional shares of common stock), after deducting the underwriting discounts and commissions and our estimated offering</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expenses.</w:t>
      </w:r>
    </w:p>
    <w:p>
      <w:pPr>
        <w:spacing w:after="0" w:line="81" w:lineRule="exact"/>
        <w:rPr>
          <w:sz w:val="20"/>
          <w:szCs w:val="20"/>
          <w:color w:val="auto"/>
        </w:rPr>
      </w:pPr>
    </w:p>
    <w:p>
      <w:pPr>
        <w:ind w:left="360" w:right="419"/>
        <w:spacing w:after="0" w:line="275" w:lineRule="auto"/>
        <w:rPr>
          <w:sz w:val="20"/>
          <w:szCs w:val="20"/>
          <w:color w:val="auto"/>
        </w:rPr>
      </w:pPr>
      <w:r>
        <w:rPr>
          <w:rFonts w:ascii="Arial" w:cs="Arial" w:eastAsia="Arial" w:hAnsi="Arial"/>
          <w:sz w:val="12"/>
          <w:szCs w:val="12"/>
          <w:color w:val="auto"/>
        </w:rPr>
        <w:t>The completion of this offering is not contingent on the completion of the concurrent common stock offering, and the completion of the concurrent common stock offering is not contingent on the completion of this offering. Accordingly, you should not assume that the concurrent common stock offering will be consummated on the terms described in this prospectus supplement, if at all, or that we will receive any additional proceeds from the concurrent common stock offering. This prospectus supplement does not constitute an offer to sell, or the solicitation of an offer to buy, any securities being offered in the concurrent common stock offering. The prospectus supplement for the concurrent common stock offering does not constitute an offer to sell, or the solicitation of an offer to buy, any of the notes, or the shares of common stock, if any, issuable upon conversion of the notes, we are offering pursuant to this prospectus supplement.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S-74</w:t>
      </w:r>
    </w:p>
    <w:p>
      <w:pPr>
        <w:sectPr>
          <w:pgSz w:w="11900" w:h="16838" w:orient="portrait"/>
          <w:cols w:equalWidth="0" w:num="1">
            <w:col w:w="9019"/>
          </w:cols>
          <w:pgMar w:left="1440" w:top="226" w:right="1440" w:bottom="1440" w:gutter="0" w:footer="0" w:header="0"/>
        </w:sectPr>
      </w:pPr>
    </w:p>
    <w:bookmarkStart w:id="77" w:name="page78"/>
    <w:bookmarkEnd w:id="77"/>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Underwriting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offering the notes described in this prospectus supplement through a number of underwriters.</w:t>
      </w:r>
    </w:p>
    <w:p>
      <w:pPr>
        <w:spacing w:after="0" w:line="93" w:lineRule="exact"/>
        <w:rPr>
          <w:sz w:val="20"/>
          <w:szCs w:val="20"/>
          <w:color w:val="auto"/>
        </w:rPr>
      </w:pPr>
    </w:p>
    <w:p>
      <w:pPr>
        <w:ind w:left="360" w:right="419"/>
        <w:spacing w:after="0" w:line="234" w:lineRule="auto"/>
        <w:rPr>
          <w:sz w:val="20"/>
          <w:szCs w:val="20"/>
          <w:color w:val="auto"/>
        </w:rPr>
      </w:pPr>
      <w:r>
        <w:rPr>
          <w:rFonts w:ascii="Arial" w:cs="Arial" w:eastAsia="Arial" w:hAnsi="Arial"/>
          <w:sz w:val="14"/>
          <w:szCs w:val="14"/>
          <w:color w:val="auto"/>
        </w:rPr>
        <w:t>J.P. Morgan Securities LLC, TD Securities (USA) LLC and Guggenheim Securities, LLC are acting as book-running managers of the offering and as representatives of the underwriters. We have entered into an underwriting agreement with the representatives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principal amount of notes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64135</wp:posOffset>
            </wp:positionV>
            <wp:extent cx="525907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3780" w:type="dxa"/>
            <w:vAlign w:val="bottom"/>
            <w:gridSpan w:val="4"/>
          </w:tcPr>
          <w:p>
            <w:pPr>
              <w:ind w:left="2780"/>
              <w:spacing w:after="0"/>
              <w:rPr>
                <w:sz w:val="20"/>
                <w:szCs w:val="20"/>
                <w:color w:val="auto"/>
              </w:rPr>
            </w:pPr>
            <w:r>
              <w:rPr>
                <w:rFonts w:ascii="Arial" w:cs="Arial" w:eastAsia="Arial" w:hAnsi="Arial"/>
                <w:sz w:val="12"/>
                <w:szCs w:val="12"/>
                <w:b w:val="1"/>
                <w:bCs w:val="1"/>
                <w:color w:val="auto"/>
              </w:rPr>
              <w:t>Principal</w:t>
            </w:r>
          </w:p>
        </w:tc>
      </w:tr>
      <w:tr>
        <w:trPr>
          <w:trHeight w:val="142"/>
        </w:trPr>
        <w:tc>
          <w:tcPr>
            <w:tcW w:w="4500" w:type="dxa"/>
            <w:vAlign w:val="bottom"/>
          </w:tcPr>
          <w:p>
            <w:pPr>
              <w:spacing w:after="0"/>
              <w:rPr>
                <w:sz w:val="12"/>
                <w:szCs w:val="12"/>
                <w:color w:val="auto"/>
              </w:rPr>
            </w:pPr>
          </w:p>
        </w:tc>
        <w:tc>
          <w:tcPr>
            <w:tcW w:w="3780" w:type="dxa"/>
            <w:vAlign w:val="bottom"/>
            <w:gridSpan w:val="4"/>
          </w:tcPr>
          <w:p>
            <w:pPr>
              <w:ind w:left="2780"/>
              <w:spacing w:after="0"/>
              <w:rPr>
                <w:sz w:val="20"/>
                <w:szCs w:val="20"/>
                <w:color w:val="auto"/>
              </w:rPr>
            </w:pPr>
            <w:r>
              <w:rPr>
                <w:rFonts w:ascii="Arial" w:cs="Arial" w:eastAsia="Arial" w:hAnsi="Arial"/>
                <w:sz w:val="12"/>
                <w:szCs w:val="12"/>
                <w:b w:val="1"/>
                <w:bCs w:val="1"/>
                <w:color w:val="auto"/>
              </w:rPr>
              <w:t>Amount</w:t>
            </w:r>
          </w:p>
        </w:tc>
      </w:tr>
      <w:tr>
        <w:trPr>
          <w:trHeight w:val="163"/>
        </w:trPr>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Underwriter</w:t>
            </w:r>
          </w:p>
        </w:tc>
        <w:tc>
          <w:tcPr>
            <w:tcW w:w="3780" w:type="dxa"/>
            <w:vAlign w:val="bottom"/>
            <w:tcBorders>
              <w:bottom w:val="single" w:sz="8" w:color="auto"/>
            </w:tcBorders>
            <w:gridSpan w:val="4"/>
          </w:tcPr>
          <w:p>
            <w:pPr>
              <w:ind w:left="2780"/>
              <w:spacing w:after="0"/>
              <w:rPr>
                <w:sz w:val="20"/>
                <w:szCs w:val="20"/>
                <w:color w:val="auto"/>
              </w:rPr>
            </w:pPr>
            <w:r>
              <w:rPr>
                <w:rFonts w:ascii="Arial" w:cs="Arial" w:eastAsia="Arial" w:hAnsi="Arial"/>
                <w:sz w:val="12"/>
                <w:szCs w:val="12"/>
                <w:b w:val="1"/>
                <w:bCs w:val="1"/>
                <w:color w:val="auto"/>
              </w:rPr>
              <w:t>of Notes</w:t>
            </w:r>
          </w:p>
        </w:tc>
      </w:tr>
      <w:tr>
        <w:trPr>
          <w:trHeight w:val="142"/>
        </w:trPr>
        <w:tc>
          <w:tcPr>
            <w:tcW w:w="4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J.P. Morgan Securities LLC</w:t>
            </w:r>
          </w:p>
        </w:tc>
        <w:tc>
          <w:tcPr>
            <w:tcW w:w="2920" w:type="dxa"/>
            <w:vAlign w:val="bottom"/>
            <w:gridSpan w:val="2"/>
            <w:shd w:val="clear" w:color="auto" w:fill="CCEEFF"/>
          </w:tcPr>
          <w:p>
            <w:pPr>
              <w:ind w:left="27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200,000,000</w:t>
            </w: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4"/>
                <w:szCs w:val="14"/>
                <w:color w:val="auto"/>
              </w:rPr>
              <w:t>TD Securities (USA) LLC</w:t>
            </w: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185,000,000</w:t>
            </w:r>
          </w:p>
        </w:tc>
      </w:tr>
      <w:tr>
        <w:trPr>
          <w:trHeight w:val="152"/>
        </w:trPr>
        <w:tc>
          <w:tcPr>
            <w:tcW w:w="45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Guggenheim Securities, LLC</w:t>
            </w:r>
          </w:p>
        </w:tc>
        <w:tc>
          <w:tcPr>
            <w:tcW w:w="2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2" w:lineRule="exact"/>
              <w:rPr>
                <w:sz w:val="20"/>
                <w:szCs w:val="20"/>
                <w:color w:val="auto"/>
              </w:rPr>
            </w:pPr>
            <w:r>
              <w:rPr>
                <w:rFonts w:ascii="Arial" w:cs="Arial" w:eastAsia="Arial" w:hAnsi="Arial"/>
                <w:sz w:val="14"/>
                <w:szCs w:val="14"/>
                <w:color w:val="auto"/>
              </w:rPr>
              <w:t>100,000,000</w:t>
            </w:r>
          </w:p>
        </w:tc>
      </w:tr>
      <w:tr>
        <w:trPr>
          <w:trHeight w:val="153"/>
        </w:trPr>
        <w:tc>
          <w:tcPr>
            <w:tcW w:w="4500" w:type="dxa"/>
            <w:vAlign w:val="bottom"/>
          </w:tcPr>
          <w:p>
            <w:pPr>
              <w:spacing w:after="0" w:line="152" w:lineRule="exact"/>
              <w:rPr>
                <w:sz w:val="20"/>
                <w:szCs w:val="20"/>
                <w:color w:val="auto"/>
              </w:rPr>
            </w:pPr>
            <w:r>
              <w:rPr>
                <w:rFonts w:ascii="Arial" w:cs="Arial" w:eastAsia="Arial" w:hAnsi="Arial"/>
                <w:sz w:val="14"/>
                <w:szCs w:val="14"/>
                <w:color w:val="auto"/>
              </w:rPr>
              <w:t>LifeSci Capital LLC</w:t>
            </w:r>
          </w:p>
        </w:tc>
        <w:tc>
          <w:tcPr>
            <w:tcW w:w="2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15,000,000</w:t>
            </w:r>
          </w:p>
        </w:tc>
        <w:tc>
          <w:tcPr>
            <w:tcW w:w="40" w:type="dxa"/>
            <w:vAlign w:val="bottom"/>
          </w:tcPr>
          <w:p>
            <w:pPr>
              <w:spacing w:after="0"/>
              <w:rPr>
                <w:sz w:val="13"/>
                <w:szCs w:val="13"/>
                <w:color w:val="auto"/>
              </w:rPr>
            </w:pPr>
          </w:p>
        </w:tc>
      </w:tr>
      <w:tr>
        <w:trPr>
          <w:trHeight w:val="185"/>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920" w:type="dxa"/>
            <w:vAlign w:val="bottom"/>
            <w:tcBorders>
              <w:bottom w:val="single" w:sz="8" w:color="auto"/>
            </w:tcBorders>
            <w:gridSpan w:val="2"/>
            <w:shd w:val="clear" w:color="auto" w:fill="CCEEFF"/>
          </w:tcPr>
          <w:p>
            <w:pPr>
              <w:ind w:left="27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500,000,000</w:t>
            </w:r>
          </w:p>
        </w:tc>
      </w:tr>
    </w:tbl>
    <w:p>
      <w:pPr>
        <w:spacing w:after="0" w:line="99" w:lineRule="exact"/>
        <w:rPr>
          <w:sz w:val="20"/>
          <w:szCs w:val="20"/>
          <w:color w:val="auto"/>
        </w:rPr>
      </w:pPr>
    </w:p>
    <w:p>
      <w:pPr>
        <w:ind w:left="360" w:right="659"/>
        <w:spacing w:after="0" w:line="238" w:lineRule="auto"/>
        <w:rPr>
          <w:sz w:val="20"/>
          <w:szCs w:val="20"/>
          <w:color w:val="auto"/>
        </w:rPr>
      </w:pPr>
      <w:r>
        <w:rPr>
          <w:rFonts w:ascii="Arial" w:cs="Arial" w:eastAsia="Arial" w:hAnsi="Arial"/>
          <w:sz w:val="14"/>
          <w:szCs w:val="14"/>
          <w:color w:val="auto"/>
        </w:rPr>
        <w:t>The underwriters are committed to purchase all the notes offered by us if they purchase any of the notes. The underwriting agreement also provides that if an underwriter defaults, the purchase commitments of non-defaulting underwriters may also be increased or the offering may be terminated.</w:t>
      </w:r>
    </w:p>
    <w:p>
      <w:pPr>
        <w:spacing w:after="0" w:line="89" w:lineRule="exact"/>
        <w:rPr>
          <w:sz w:val="20"/>
          <w:szCs w:val="20"/>
          <w:color w:val="auto"/>
        </w:rPr>
      </w:pPr>
    </w:p>
    <w:p>
      <w:pPr>
        <w:ind w:left="360" w:right="419"/>
        <w:spacing w:after="0" w:line="287" w:lineRule="auto"/>
        <w:rPr>
          <w:sz w:val="20"/>
          <w:szCs w:val="20"/>
          <w:color w:val="auto"/>
        </w:rPr>
      </w:pPr>
      <w:r>
        <w:rPr>
          <w:rFonts w:ascii="Arial" w:cs="Arial" w:eastAsia="Arial" w:hAnsi="Arial"/>
          <w:sz w:val="12"/>
          <w:szCs w:val="12"/>
          <w:color w:val="auto"/>
        </w:rPr>
        <w:t>Notes sold by the underwriters to the public will initially be offered at the public offering price set forth on the cover page of this prospectus supplement and to certain dealers at that price less a concession not in excess of 1.50% of the principal amount of the notes. After the initial offering of the notes to the public, if all of the notes are not sold at the public offering price, the underwriters may change the offering price and the other selling terms. Sales of any notes made outside of the United States may be made by affiliates of the underwriters.</w:t>
      </w:r>
    </w:p>
    <w:p>
      <w:pPr>
        <w:spacing w:after="0" w:line="50" w:lineRule="exact"/>
        <w:rPr>
          <w:sz w:val="20"/>
          <w:szCs w:val="20"/>
          <w:color w:val="auto"/>
        </w:rPr>
      </w:pPr>
    </w:p>
    <w:p>
      <w:pPr>
        <w:ind w:left="360" w:right="779"/>
        <w:spacing w:after="0" w:line="249" w:lineRule="auto"/>
        <w:rPr>
          <w:sz w:val="20"/>
          <w:szCs w:val="20"/>
          <w:color w:val="auto"/>
        </w:rPr>
      </w:pPr>
      <w:r>
        <w:rPr>
          <w:rFonts w:ascii="Arial" w:cs="Arial" w:eastAsia="Arial" w:hAnsi="Arial"/>
          <w:sz w:val="14"/>
          <w:szCs w:val="14"/>
          <w:color w:val="auto"/>
        </w:rPr>
        <w:t>The following table shows the underwriting discounts and commissions that we are to pay to the underwriters in connection with this offering (expressed as a percentage of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60325</wp:posOffset>
            </wp:positionV>
            <wp:extent cx="525907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59070" cy="12700"/>
                    </a:xfrm>
                    <a:prstGeom prst="rect">
                      <a:avLst/>
                    </a:prstGeom>
                    <a:noFill/>
                  </pic:spPr>
                </pic:pic>
              </a:graphicData>
            </a:graphic>
          </wp:anchor>
        </w:drawing>
      </w:r>
    </w:p>
    <w:p>
      <w:pPr>
        <w:spacing w:after="0" w:line="115" w:lineRule="exact"/>
        <w:rPr>
          <w:sz w:val="20"/>
          <w:szCs w:val="20"/>
          <w:color w:val="auto"/>
        </w:rPr>
      </w:pPr>
    </w:p>
    <w:tbl>
      <w:tblPr>
        <w:tblLayout w:type="fixed"/>
        <w:tblInd w:w="360" w:type="dxa"/>
        <w:tblCellMar>
          <w:top w:w="0" w:type="dxa"/>
          <w:left w:w="0" w:type="dxa"/>
          <w:bottom w:w="0" w:type="dxa"/>
          <w:right w:w="0" w:type="dxa"/>
        </w:tblCellMar>
      </w:tblPr>
      <w:tr>
        <w:trPr>
          <w:trHeight w:val="153"/>
        </w:trPr>
        <w:tc>
          <w:tcPr>
            <w:tcW w:w="39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Paid by Us</w:t>
            </w:r>
          </w:p>
        </w:tc>
      </w:tr>
      <w:tr>
        <w:trPr>
          <w:trHeight w:val="142"/>
        </w:trPr>
        <w:tc>
          <w:tcPr>
            <w:tcW w:w="3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note</w:t>
            </w:r>
          </w:p>
        </w:tc>
        <w:tc>
          <w:tcPr>
            <w:tcW w:w="4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r>
      <w:tr>
        <w:trPr>
          <w:trHeight w:val="167"/>
        </w:trPr>
        <w:tc>
          <w:tcPr>
            <w:tcW w:w="3940" w:type="dxa"/>
            <w:vAlign w:val="bottom"/>
          </w:tcPr>
          <w:p>
            <w:pPr>
              <w:ind w:left="140"/>
              <w:spacing w:after="0"/>
              <w:rPr>
                <w:sz w:val="20"/>
                <w:szCs w:val="20"/>
                <w:color w:val="auto"/>
              </w:rPr>
            </w:pPr>
            <w:r>
              <w:rPr>
                <w:rFonts w:ascii="Arial" w:cs="Arial" w:eastAsia="Arial" w:hAnsi="Arial"/>
                <w:sz w:val="14"/>
                <w:szCs w:val="14"/>
                <w:color w:val="auto"/>
              </w:rPr>
              <w:t>Total</w:t>
            </w:r>
          </w:p>
        </w:tc>
        <w:tc>
          <w:tcPr>
            <w:tcW w:w="34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12,500,000</w:t>
            </w:r>
          </w:p>
        </w:tc>
        <w:tc>
          <w:tcPr>
            <w:tcW w:w="40" w:type="dxa"/>
            <w:vAlign w:val="bottom"/>
          </w:tcPr>
          <w:p>
            <w:pPr>
              <w:spacing w:after="0"/>
              <w:rPr>
                <w:sz w:val="14"/>
                <w:szCs w:val="14"/>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ind w:left="360" w:right="499"/>
        <w:spacing w:after="0" w:line="287" w:lineRule="auto"/>
        <w:rPr>
          <w:sz w:val="20"/>
          <w:szCs w:val="20"/>
          <w:color w:val="auto"/>
        </w:rPr>
      </w:pPr>
      <w:r>
        <w:rPr>
          <w:rFonts w:ascii="Arial" w:cs="Arial" w:eastAsia="Arial" w:hAnsi="Arial"/>
          <w:sz w:val="12"/>
          <w:szCs w:val="12"/>
          <w:color w:val="auto"/>
        </w:rPr>
        <w:t>We estimate that the total expenses of this offering, including registration, listing and filing fees, printing fees and legal and accounting expenses, but excluding the underwriting discounts and commissions, will be approximately $745,000. We have agreed to reimburse the underwriters for expenses of up to $25,000 relating to the clearance of this offering with the Financial Industry Regulatory Authority. In addition, the underwriters have agreed to reimburse us for a portion of our out-of-pocket expenses in connection with the offering.</w:t>
      </w:r>
    </w:p>
    <w:p>
      <w:pPr>
        <w:spacing w:after="0" w:line="61" w:lineRule="exact"/>
        <w:rPr>
          <w:sz w:val="20"/>
          <w:szCs w:val="20"/>
          <w:color w:val="auto"/>
        </w:rPr>
      </w:pPr>
    </w:p>
    <w:p>
      <w:pPr>
        <w:ind w:left="360" w:right="499"/>
        <w:spacing w:after="0" w:line="235" w:lineRule="auto"/>
        <w:rPr>
          <w:sz w:val="20"/>
          <w:szCs w:val="20"/>
          <w:color w:val="auto"/>
        </w:rPr>
      </w:pPr>
      <w:r>
        <w:rPr>
          <w:rFonts w:ascii="Arial" w:cs="Arial" w:eastAsia="Arial" w:hAnsi="Arial"/>
          <w:sz w:val="14"/>
          <w:szCs w:val="14"/>
          <w:color w:val="auto"/>
        </w:rPr>
        <w:t>A prospectus supplement in electronic format may be made available on the websites maintained by one or more underwriters, or selling group members, if any, participating in the offering. The underwriters may agree to allocate notes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0" w:lineRule="exact"/>
        <w:rPr>
          <w:sz w:val="20"/>
          <w:szCs w:val="20"/>
          <w:color w:val="auto"/>
        </w:rPr>
      </w:pPr>
    </w:p>
    <w:p>
      <w:pPr>
        <w:ind w:left="360" w:right="979"/>
        <w:spacing w:after="0" w:line="249" w:lineRule="auto"/>
        <w:rPr>
          <w:sz w:val="20"/>
          <w:szCs w:val="20"/>
          <w:color w:val="auto"/>
        </w:rPr>
      </w:pPr>
      <w:r>
        <w:rPr>
          <w:rFonts w:ascii="Arial" w:cs="Arial" w:eastAsia="Arial" w:hAnsi="Arial"/>
          <w:sz w:val="14"/>
          <w:szCs w:val="14"/>
          <w:color w:val="auto"/>
        </w:rPr>
        <w:t>We have agreed that we will not (i) offer, pledge, announce the intention to sell, sell, contract to sell, sell any option or contract to purchase, purchase any option or contract to sell, grant any option, right or warrant to</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S-75</w:t>
      </w:r>
    </w:p>
    <w:p>
      <w:pPr>
        <w:sectPr>
          <w:pgSz w:w="11900" w:h="16838" w:orient="portrait"/>
          <w:cols w:equalWidth="0" w:num="1">
            <w:col w:w="9019"/>
          </w:cols>
          <w:pgMar w:left="1440" w:top="226" w:right="1440" w:bottom="1440" w:gutter="0" w:footer="0" w:header="0"/>
        </w:sectPr>
      </w:pPr>
    </w:p>
    <w:bookmarkStart w:id="78" w:name="page79"/>
    <w:bookmarkEnd w:id="78"/>
    <w:p>
      <w:pPr>
        <w:ind w:left="360" w:right="439"/>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purchase, lend, or otherwise transfer or dispose of, directly or indirectly, or file with the SEC a registration statement under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TD Securities (USA) LLC and Guggenheim Securities, LLC for a period of 45 days after the date of this prospectus supplement, other than the notes to be sold hereunder and any shares of our common stock issued upon the conversion of the notes, the shares of our common stock to be sold in the concurrent common stock offering, any shares of our common stock issued upon the exercise of options granted under our existing stock-based compensation plans or outstanding warrants described in this prospectus supplement, any shares of our common stock sold pursuant to our Sales Agreement, dated February 25, 2026, with TD Securities (USA) LLC, provided that no sales under such agreement shall be made prior to the 30th day after the date of this prospectus supplement, and shares of our common stock issued in connection with mergers, acquisitions or commercial or strategic transactions not to exceed 5% of the number of shares of our common stock outstanding immediately after the issuance and sale of the notes offered hereby.</w:t>
      </w:r>
    </w:p>
    <w:p>
      <w:pPr>
        <w:spacing w:after="0" w:line="225" w:lineRule="exact"/>
        <w:rPr>
          <w:sz w:val="20"/>
          <w:szCs w:val="20"/>
          <w:color w:val="auto"/>
        </w:rPr>
      </w:pPr>
    </w:p>
    <w:p>
      <w:pPr>
        <w:ind w:left="360" w:right="399"/>
        <w:spacing w:after="0" w:line="229" w:lineRule="auto"/>
        <w:rPr>
          <w:sz w:val="20"/>
          <w:szCs w:val="20"/>
          <w:color w:val="auto"/>
        </w:rPr>
      </w:pPr>
      <w:r>
        <w:rPr>
          <w:rFonts w:ascii="Arial" w:cs="Arial" w:eastAsia="Arial" w:hAnsi="Arial"/>
          <w:sz w:val="14"/>
          <w:szCs w:val="14"/>
          <w:color w:val="auto"/>
        </w:rPr>
        <w:t>Our directors and executive officers have entered into lock-up agreements with the underwriters prior to the commencement of this offering pursuant to which each of these persons or entities, with limited exceptions, for a period of 45 days after the date of this prospectus supplement, may not, without the prior written consent of J.P. Morgan Securities LLC, TD Securities (USA) LLC and Guggenheim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and executive officers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84" w:lineRule="exact"/>
        <w:rPr>
          <w:sz w:val="20"/>
          <w:szCs w:val="20"/>
          <w:color w:val="auto"/>
        </w:rPr>
      </w:pPr>
    </w:p>
    <w:p>
      <w:pPr>
        <w:ind w:left="360" w:right="699"/>
        <w:spacing w:after="0" w:line="249" w:lineRule="auto"/>
        <w:rPr>
          <w:sz w:val="20"/>
          <w:szCs w:val="20"/>
          <w:color w:val="auto"/>
        </w:rPr>
      </w:pPr>
      <w:r>
        <w:rPr>
          <w:rFonts w:ascii="Arial" w:cs="Arial" w:eastAsia="Arial" w:hAnsi="Arial"/>
          <w:sz w:val="14"/>
          <w:szCs w:val="14"/>
          <w:color w:val="auto"/>
        </w:rPr>
        <w:t>The lock-up restrictions described in the immediately preceding paragraph are subject to specified exceptions, including among other items:</w:t>
      </w:r>
    </w:p>
    <w:p>
      <w:pPr>
        <w:spacing w:after="0" w:line="82" w:lineRule="exact"/>
        <w:rPr>
          <w:sz w:val="20"/>
          <w:szCs w:val="20"/>
          <w:color w:val="auto"/>
        </w:rPr>
      </w:pPr>
    </w:p>
    <w:p>
      <w:pPr>
        <w:ind w:left="520" w:hanging="157"/>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subject to certain limitations, transfers as a bona fide gift or gifts;</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subject to certain limitations, transfers by will, other testamentary document or intestacy;</w:t>
      </w:r>
    </w:p>
    <w:p>
      <w:pPr>
        <w:spacing w:after="0" w:line="102" w:lineRule="exact"/>
        <w:rPr>
          <w:rFonts w:ascii="Arial" w:cs="Arial" w:eastAsia="Arial" w:hAnsi="Arial"/>
          <w:sz w:val="14"/>
          <w:szCs w:val="14"/>
          <w:color w:val="auto"/>
        </w:rPr>
      </w:pPr>
    </w:p>
    <w:p>
      <w:pPr>
        <w:ind w:left="520" w:right="859" w:hanging="157"/>
        <w:spacing w:after="0" w:line="331" w:lineRule="auto"/>
        <w:tabs>
          <w:tab w:leader="none" w:pos="5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35" w:lineRule="exact"/>
        <w:rPr>
          <w:rFonts w:ascii="Arial" w:cs="Arial" w:eastAsia="Arial" w:hAnsi="Arial"/>
          <w:sz w:val="12"/>
          <w:szCs w:val="12"/>
          <w:color w:val="auto"/>
        </w:rPr>
      </w:pPr>
    </w:p>
    <w:p>
      <w:pPr>
        <w:ind w:left="520" w:right="819" w:hanging="157"/>
        <w:spacing w:after="0" w:line="331" w:lineRule="auto"/>
        <w:tabs>
          <w:tab w:leader="none" w:pos="5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35" w:lineRule="exact"/>
        <w:rPr>
          <w:rFonts w:ascii="Arial" w:cs="Arial" w:eastAsia="Arial" w:hAnsi="Arial"/>
          <w:sz w:val="12"/>
          <w:szCs w:val="12"/>
          <w:color w:val="auto"/>
        </w:rPr>
      </w:pPr>
    </w:p>
    <w:p>
      <w:pPr>
        <w:ind w:left="520" w:right="839" w:hanging="157"/>
        <w:spacing w:after="0" w:line="249"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subject to certain limitations, if the transferor is a corporation, partnership, limited liability company, trust or other business entity, transfers as part of a distribution to the members, partners, stockholders or other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S-76</w:t>
      </w:r>
    </w:p>
    <w:p>
      <w:pPr>
        <w:sectPr>
          <w:pgSz w:w="11900" w:h="16838" w:orient="portrait"/>
          <w:cols w:equalWidth="0" w:num="1">
            <w:col w:w="9019"/>
          </w:cols>
          <w:pgMar w:left="1440" w:top="238" w:right="1440" w:bottom="1440" w:gutter="0" w:footer="0" w:header="0"/>
        </w:sectPr>
      </w:pPr>
    </w:p>
    <w:bookmarkStart w:id="79" w:name="page80"/>
    <w:bookmarkEnd w:id="79"/>
    <w:p>
      <w:pPr>
        <w:ind w:left="520" w:right="43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89" w:lineRule="exact"/>
        <w:rPr>
          <w:sz w:val="20"/>
          <w:szCs w:val="20"/>
          <w:color w:val="auto"/>
        </w:rPr>
      </w:pPr>
    </w:p>
    <w:p>
      <w:pPr>
        <w:ind w:left="520" w:right="599" w:hanging="157"/>
        <w:spacing w:after="0" w:line="249"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subject to certain limitations, transfers by operation of law pursuant to a qualified domestic order, divorce settlement, divorce decree, separation agreement or other court order;</w:t>
      </w:r>
    </w:p>
    <w:p>
      <w:pPr>
        <w:spacing w:after="0" w:line="82" w:lineRule="exact"/>
        <w:rPr>
          <w:rFonts w:ascii="Arial" w:cs="Arial" w:eastAsia="Arial" w:hAnsi="Arial"/>
          <w:sz w:val="14"/>
          <w:szCs w:val="14"/>
          <w:color w:val="auto"/>
        </w:rPr>
      </w:pPr>
    </w:p>
    <w:p>
      <w:pPr>
        <w:ind w:left="520" w:right="479" w:hanging="157"/>
        <w:spacing w:after="0" w:line="249"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transfers to us from an employee or other service provider in connection with death, disability or termination of employment or service, in each case, of such employee or service provider;</w:t>
      </w:r>
    </w:p>
    <w:p>
      <w:pPr>
        <w:spacing w:after="0" w:line="82" w:lineRule="exact"/>
        <w:rPr>
          <w:rFonts w:ascii="Arial" w:cs="Arial" w:eastAsia="Arial" w:hAnsi="Arial"/>
          <w:sz w:val="14"/>
          <w:szCs w:val="14"/>
          <w:color w:val="auto"/>
        </w:rPr>
      </w:pPr>
    </w:p>
    <w:p>
      <w:pPr>
        <w:ind w:left="520" w:right="679" w:hanging="157"/>
        <w:spacing w:after="0" w:line="23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subject to certain limitations, transfers to us (or sales on the open market) to cover tax withholdings upon a vesting, exercise or settlement event of any equity award outstanding as of the date of this prospectus supplement and granted under a stock incentive plan, stock purchase plan or other equity award plan;</w:t>
      </w:r>
    </w:p>
    <w:p>
      <w:pPr>
        <w:spacing w:after="0" w:line="89" w:lineRule="exact"/>
        <w:rPr>
          <w:rFonts w:ascii="Arial" w:cs="Arial" w:eastAsia="Arial" w:hAnsi="Arial"/>
          <w:sz w:val="14"/>
          <w:szCs w:val="14"/>
          <w:color w:val="auto"/>
        </w:rPr>
      </w:pPr>
    </w:p>
    <w:p>
      <w:pPr>
        <w:ind w:left="520" w:right="439" w:hanging="157"/>
        <w:spacing w:after="0" w:line="23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subject to certain limitations, transfers to us by way of cashless exercise of an option to purchase common stock granted under a stock incentive plan, stock purchase plan or other equity award plan or described in this prospectus supplement (including the documents incorporated by reference therein);</w:t>
      </w:r>
    </w:p>
    <w:p>
      <w:pPr>
        <w:spacing w:after="0" w:line="89" w:lineRule="exact"/>
        <w:rPr>
          <w:rFonts w:ascii="Arial" w:cs="Arial" w:eastAsia="Arial" w:hAnsi="Arial"/>
          <w:sz w:val="14"/>
          <w:szCs w:val="14"/>
          <w:color w:val="auto"/>
        </w:rPr>
      </w:pPr>
    </w:p>
    <w:p>
      <w:pPr>
        <w:ind w:left="520" w:right="619" w:hanging="157"/>
        <w:spacing w:after="0" w:line="249"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transfers pursuant to a bona fide third-party tender offer, merger, consolidation or other similar transaction made to all holders of our common stock involving a change of control that has been approved by our board of directors;</w:t>
      </w:r>
    </w:p>
    <w:p>
      <w:pPr>
        <w:spacing w:after="0" w:line="82" w:lineRule="exact"/>
        <w:rPr>
          <w:rFonts w:ascii="Arial" w:cs="Arial" w:eastAsia="Arial" w:hAnsi="Arial"/>
          <w:sz w:val="14"/>
          <w:szCs w:val="14"/>
          <w:color w:val="auto"/>
        </w:rPr>
      </w:pPr>
    </w:p>
    <w:p>
      <w:pPr>
        <w:ind w:left="520" w:hanging="157"/>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subject to certain limitations, the establishment of a trading plan pursuant to Rule 10b5-1 of the Exchange Act; and</w:t>
      </w:r>
    </w:p>
    <w:p>
      <w:pPr>
        <w:spacing w:after="0" w:line="102" w:lineRule="exact"/>
        <w:rPr>
          <w:rFonts w:ascii="Arial" w:cs="Arial" w:eastAsia="Arial" w:hAnsi="Arial"/>
          <w:sz w:val="14"/>
          <w:szCs w:val="14"/>
          <w:color w:val="auto"/>
        </w:rPr>
      </w:pPr>
    </w:p>
    <w:p>
      <w:pPr>
        <w:ind w:left="520" w:right="419" w:hanging="157"/>
        <w:spacing w:after="0" w:line="23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subject to certain limitations, in connection with sales or other transfers of shares of our common stock made pursuant to a trading plan that complies with Rule 10b5-1 under the Exchange Act that was entered into before the stockholder entered into the lock-up agreement.</w:t>
      </w:r>
    </w:p>
    <w:p>
      <w:pPr>
        <w:spacing w:after="0" w:line="89" w:lineRule="exact"/>
        <w:rPr>
          <w:sz w:val="20"/>
          <w:szCs w:val="20"/>
          <w:color w:val="auto"/>
        </w:rPr>
      </w:pPr>
    </w:p>
    <w:p>
      <w:pPr>
        <w:ind w:left="360" w:right="439"/>
        <w:spacing w:after="0" w:line="249" w:lineRule="auto"/>
        <w:rPr>
          <w:sz w:val="20"/>
          <w:szCs w:val="20"/>
          <w:color w:val="auto"/>
        </w:rPr>
      </w:pPr>
      <w:r>
        <w:rPr>
          <w:rFonts w:ascii="Arial" w:cs="Arial" w:eastAsia="Arial" w:hAnsi="Arial"/>
          <w:sz w:val="14"/>
          <w:szCs w:val="14"/>
          <w:color w:val="auto"/>
        </w:rPr>
        <w:t>J.P. Morgan Securities LLC, TD Securities (USA) LLC and Guggenheim Securities, LLC, in their sole discretion, may release the common stock subject to the lock-up agreements described above in whole or in part at any time with or without notice.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3" w:lineRule="exact"/>
        <w:rPr>
          <w:sz w:val="20"/>
          <w:szCs w:val="20"/>
          <w:color w:val="auto"/>
        </w:rPr>
      </w:pPr>
    </w:p>
    <w:p>
      <w:pPr>
        <w:ind w:left="360" w:right="419"/>
        <w:spacing w:after="0" w:line="234"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notes in the open market for the purpose of preventing or retarding a decline in the market price of the notes while this offering is in progress. These stabilizing transactions may include making short sales of notes, which involves the sale by the underwriters of a greater number of notes than they are required to purchase in this offering, and purchasing notes on the open market to cover positions created by short sales.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Other Relationships</w:t>
      </w:r>
    </w:p>
    <w:p>
      <w:pPr>
        <w:spacing w:after="0" w:line="108" w:lineRule="exact"/>
        <w:rPr>
          <w:sz w:val="20"/>
          <w:szCs w:val="20"/>
          <w:color w:val="auto"/>
        </w:rPr>
      </w:pPr>
    </w:p>
    <w:p>
      <w:pPr>
        <w:ind w:left="360" w:right="479"/>
        <w:spacing w:after="0" w:line="281" w:lineRule="auto"/>
        <w:rPr>
          <w:sz w:val="20"/>
          <w:szCs w:val="20"/>
          <w:color w:val="auto"/>
        </w:rPr>
      </w:pPr>
      <w:r>
        <w:rPr>
          <w:rFonts w:ascii="Arial" w:cs="Arial" w:eastAsia="Arial" w:hAnsi="Arial"/>
          <w:sz w:val="12"/>
          <w:szCs w:val="12"/>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For example, each of the underwriters is serving as an underwriter in the concurrent common stock offering. Additionally, TD Securities (USA) LLC is the sales agent under our sales agreement, dated February 25, 2026, between us and TD Securities (USA) LLC (the “Sales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S-77</w:t>
      </w:r>
    </w:p>
    <w:p>
      <w:pPr>
        <w:sectPr>
          <w:pgSz w:w="11900" w:h="16838" w:orient="portrait"/>
          <w:cols w:equalWidth="0" w:num="1">
            <w:col w:w="9019"/>
          </w:cols>
          <w:pgMar w:left="1440" w:top="238" w:right="1440" w:bottom="1440" w:gutter="0" w:footer="0" w:header="0"/>
        </w:sectPr>
      </w:pPr>
    </w:p>
    <w:bookmarkStart w:id="80" w:name="page81"/>
    <w:bookmarkEnd w:id="80"/>
    <w:p>
      <w:pPr>
        <w:ind w:left="360" w:right="419"/>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Agreement”). Under the Sales Agreement, we may offer and sell, from time to time, shares of our common stock through TD Securities (USA) LLC through an “at the market offering,” as defined in Rule 415(a)(4) promulgated under the Securities Act.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Concurrent Common Stock Offering</w:t>
      </w:r>
    </w:p>
    <w:p>
      <w:pPr>
        <w:spacing w:after="0" w:line="108" w:lineRule="exact"/>
        <w:rPr>
          <w:sz w:val="20"/>
          <w:szCs w:val="20"/>
          <w:color w:val="auto"/>
        </w:rPr>
      </w:pPr>
    </w:p>
    <w:p>
      <w:pPr>
        <w:ind w:left="360" w:right="519"/>
        <w:spacing w:after="0" w:line="272" w:lineRule="auto"/>
        <w:rPr>
          <w:sz w:val="20"/>
          <w:szCs w:val="20"/>
          <w:color w:val="auto"/>
        </w:rPr>
      </w:pPr>
      <w:r>
        <w:rPr>
          <w:rFonts w:ascii="Arial" w:cs="Arial" w:eastAsia="Arial" w:hAnsi="Arial"/>
          <w:sz w:val="12"/>
          <w:szCs w:val="12"/>
          <w:color w:val="auto"/>
        </w:rPr>
        <w:t>Concurrently with this offering, we are offering, pursuant to a separate prospectus supplement, 10,563,381 shares of our common stock, plus up to an additional 1,584,506 shares of our common stock that the underwriters of the concurrent common stock offering have the option to purchase from us. The completion of this offering is not contingent on the completion of the concurrent common stock offering, and the completion of the concurrent common stock offering is not contingent on the completion of this offering. Accordingly, you should not assume that the concurrent common stock offering will be consummated on the terms described in this prospectus supplement, if at all, or that we will receive any additional proceeds from the concurrent common stock offering. This prospectus supplement does not constitute an offer to sell, or the solicitation of an offer to buy, any securities being offered in the concurrent common stock offering. The prospectus supplement for the concurrent common stock offering does not constitute an offer to sell, or the solicitation of an offer to buy, any of the notes, or the shares of common stock, if any, issuable upon conversion of the notes, that we are offering pursuant to this prospectus supplement. See “The Concurrent Common Stock Offering.”</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Settlement</w:t>
      </w:r>
    </w:p>
    <w:p>
      <w:pPr>
        <w:spacing w:after="0" w:line="119" w:lineRule="exact"/>
        <w:rPr>
          <w:sz w:val="20"/>
          <w:szCs w:val="20"/>
          <w:color w:val="auto"/>
        </w:rPr>
      </w:pPr>
    </w:p>
    <w:p>
      <w:pPr>
        <w:ind w:left="360" w:right="399"/>
        <w:spacing w:after="0" w:line="275" w:lineRule="auto"/>
        <w:rPr>
          <w:sz w:val="20"/>
          <w:szCs w:val="20"/>
          <w:color w:val="auto"/>
        </w:rPr>
      </w:pPr>
      <w:r>
        <w:rPr>
          <w:rFonts w:ascii="Arial" w:cs="Arial" w:eastAsia="Arial" w:hAnsi="Arial"/>
          <w:sz w:val="12"/>
          <w:szCs w:val="12"/>
          <w:color w:val="auto"/>
        </w:rPr>
        <w:t>We expect to deliver the notes in book-entry form through the facilities of The Depository Trust Company on or about April 17, 2026, which will be the second business day after the initial trade date for the notes (this settlement cycle being referred to as “T+2”). Under Rule</w:t>
      </w:r>
    </w:p>
    <w:p>
      <w:pPr>
        <w:ind w:left="360" w:right="379"/>
        <w:spacing w:after="0" w:line="231" w:lineRule="auto"/>
        <w:rPr>
          <w:sz w:val="20"/>
          <w:szCs w:val="20"/>
          <w:color w:val="auto"/>
        </w:rPr>
      </w:pPr>
      <w:r>
        <w:rPr>
          <w:rFonts w:ascii="Arial" w:cs="Arial" w:eastAsia="Arial" w:hAnsi="Arial"/>
          <w:sz w:val="14"/>
          <w:szCs w:val="14"/>
          <w:color w:val="auto"/>
        </w:rPr>
        <w:t>15c6-1 under the Securities Exchange Act of 1934, as amended (the “Exchange Act”),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Selling Restrictions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w:t>
      </w:r>
    </w:p>
    <w:p>
      <w:pPr>
        <w:spacing w:after="0" w:line="103" w:lineRule="exact"/>
        <w:rPr>
          <w:sz w:val="20"/>
          <w:szCs w:val="20"/>
          <w:color w:val="auto"/>
        </w:rPr>
      </w:pPr>
    </w:p>
    <w:p>
      <w:pPr>
        <w:ind w:left="360" w:right="419"/>
        <w:spacing w:after="0" w:line="27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the European Economic Area</w:t>
      </w:r>
    </w:p>
    <w:p>
      <w:pPr>
        <w:spacing w:after="0" w:line="103" w:lineRule="exact"/>
        <w:rPr>
          <w:sz w:val="20"/>
          <w:szCs w:val="20"/>
          <w:color w:val="auto"/>
        </w:rPr>
      </w:pPr>
    </w:p>
    <w:p>
      <w:pPr>
        <w:jc w:val="both"/>
        <w:ind w:left="360" w:right="579"/>
        <w:spacing w:after="0" w:line="238" w:lineRule="auto"/>
        <w:rPr>
          <w:sz w:val="20"/>
          <w:szCs w:val="20"/>
          <w:color w:val="auto"/>
        </w:rPr>
      </w:pPr>
      <w:r>
        <w:rPr>
          <w:rFonts w:ascii="Arial" w:cs="Arial" w:eastAsia="Arial" w:hAnsi="Arial"/>
          <w:sz w:val="14"/>
          <w:szCs w:val="14"/>
          <w:color w:val="auto"/>
        </w:rPr>
        <w:t>In relation to each Member State of the European Economic Area, each a Relevant State, no notes have been offered or will be offered pursuant to the offering to the public in that Relevant State prior to the publication of a prospectus in relation to the securities which has been approved by the competent authority in that Relevant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S-78</w:t>
      </w:r>
    </w:p>
    <w:p>
      <w:pPr>
        <w:sectPr>
          <w:pgSz w:w="11900" w:h="16838" w:orient="portrait"/>
          <w:cols w:equalWidth="0" w:num="1">
            <w:col w:w="9019"/>
          </w:cols>
          <w:pgMar w:left="1440" w:top="238" w:right="1440" w:bottom="1440" w:gutter="0" w:footer="0" w:header="0"/>
        </w:sectPr>
      </w:pPr>
    </w:p>
    <w:bookmarkStart w:id="81" w:name="page82"/>
    <w:bookmarkEnd w:id="81"/>
    <w:p>
      <w:pPr>
        <w:ind w:left="360" w:right="53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89" w:lineRule="exact"/>
        <w:rPr>
          <w:sz w:val="20"/>
          <w:szCs w:val="20"/>
          <w:color w:val="auto"/>
        </w:rPr>
      </w:pPr>
    </w:p>
    <w:p>
      <w:pPr>
        <w:ind w:left="1100" w:hanging="412"/>
        <w:spacing w:after="0"/>
        <w:tabs>
          <w:tab w:leader="none" w:pos="11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any qualified investor as defined under Article 2 of the Prospectus Regulation;</w:t>
      </w:r>
    </w:p>
    <w:p>
      <w:pPr>
        <w:spacing w:after="0" w:line="102" w:lineRule="exact"/>
        <w:rPr>
          <w:rFonts w:ascii="Arial" w:cs="Arial" w:eastAsia="Arial" w:hAnsi="Arial"/>
          <w:sz w:val="14"/>
          <w:szCs w:val="14"/>
          <w:color w:val="auto"/>
        </w:rPr>
      </w:pPr>
    </w:p>
    <w:p>
      <w:pPr>
        <w:ind w:left="1100" w:right="959" w:hanging="412"/>
        <w:spacing w:after="0" w:line="249" w:lineRule="auto"/>
        <w:tabs>
          <w:tab w:leader="none" w:pos="11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82" w:lineRule="exact"/>
        <w:rPr>
          <w:rFonts w:ascii="Arial" w:cs="Arial" w:eastAsia="Arial" w:hAnsi="Arial"/>
          <w:sz w:val="14"/>
          <w:szCs w:val="14"/>
          <w:color w:val="auto"/>
        </w:rPr>
      </w:pPr>
    </w:p>
    <w:p>
      <w:pPr>
        <w:ind w:left="1100" w:hanging="412"/>
        <w:spacing w:after="0"/>
        <w:tabs>
          <w:tab w:leader="none" w:pos="11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03" w:lineRule="exact"/>
        <w:rPr>
          <w:sz w:val="20"/>
          <w:szCs w:val="20"/>
          <w:color w:val="auto"/>
        </w:rPr>
      </w:pPr>
    </w:p>
    <w:p>
      <w:pPr>
        <w:jc w:val="both"/>
        <w:ind w:left="360" w:right="459"/>
        <w:spacing w:after="0" w:line="238"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no such offer of securities shall require us or any underwriter to publish a prospectus pursuant to Article 3 of the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Regulation or supplement a prospectus pursuant to Article 23 of the Prospectus Regulation or publish an Annex IX document pursuant to Article 1(4) of the Prospectus Regulation.</w:t>
      </w:r>
    </w:p>
    <w:p>
      <w:pPr>
        <w:spacing w:after="0" w:line="79" w:lineRule="exact"/>
        <w:rPr>
          <w:sz w:val="20"/>
          <w:szCs w:val="20"/>
          <w:color w:val="auto"/>
        </w:rPr>
      </w:pPr>
    </w:p>
    <w:p>
      <w:pPr>
        <w:ind w:left="360" w:right="559"/>
        <w:spacing w:after="0" w:line="235" w:lineRule="auto"/>
        <w:rPr>
          <w:sz w:val="20"/>
          <w:szCs w:val="20"/>
          <w:color w:val="auto"/>
        </w:rPr>
      </w:pPr>
      <w:r>
        <w:rPr>
          <w:rFonts w:ascii="Arial" w:cs="Arial" w:eastAsia="Arial" w:hAnsi="Arial"/>
          <w:sz w:val="14"/>
          <w:szCs w:val="14"/>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the United Kingdom</w:t>
      </w:r>
    </w:p>
    <w:p>
      <w:pPr>
        <w:spacing w:after="0" w:line="103" w:lineRule="exact"/>
        <w:rPr>
          <w:sz w:val="20"/>
          <w:szCs w:val="20"/>
          <w:color w:val="auto"/>
        </w:rPr>
      </w:pPr>
    </w:p>
    <w:p>
      <w:pPr>
        <w:jc w:val="both"/>
        <w:ind w:left="360" w:right="419"/>
        <w:spacing w:after="0" w:line="238" w:lineRule="auto"/>
        <w:rPr>
          <w:sz w:val="20"/>
          <w:szCs w:val="20"/>
          <w:color w:val="auto"/>
        </w:rPr>
      </w:pPr>
      <w:r>
        <w:rPr>
          <w:rFonts w:ascii="Arial" w:cs="Arial" w:eastAsia="Arial" w:hAnsi="Arial"/>
          <w:sz w:val="14"/>
          <w:szCs w:val="14"/>
          <w:color w:val="auto"/>
        </w:rPr>
        <w:t>Each underwriter has represented and agreed that it has not offered, sold or otherwise made available and will not offer, sell or otherwise make available any notes which are the subject of the offering contemplated by this prospectus supplement in relation thereto to any retail investor in the United Kingdom. For the purposes of this provision:</w:t>
      </w:r>
    </w:p>
    <w:p>
      <w:pPr>
        <w:spacing w:after="0" w:line="89" w:lineRule="exact"/>
        <w:rPr>
          <w:sz w:val="20"/>
          <w:szCs w:val="20"/>
          <w:color w:val="auto"/>
        </w:rPr>
      </w:pPr>
    </w:p>
    <w:p>
      <w:pPr>
        <w:ind w:left="1100" w:hanging="412"/>
        <w:spacing w:after="0"/>
        <w:tabs>
          <w:tab w:leader="none" w:pos="11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expression retail investor means a person who is neither:</w:t>
      </w:r>
    </w:p>
    <w:p>
      <w:pPr>
        <w:spacing w:after="0" w:line="102" w:lineRule="exact"/>
        <w:rPr>
          <w:rFonts w:ascii="Arial" w:cs="Arial" w:eastAsia="Arial" w:hAnsi="Arial"/>
          <w:sz w:val="14"/>
          <w:szCs w:val="14"/>
          <w:color w:val="auto"/>
        </w:rPr>
      </w:pPr>
    </w:p>
    <w:p>
      <w:pPr>
        <w:ind w:left="1420" w:right="559" w:hanging="316"/>
        <w:spacing w:after="0" w:line="249" w:lineRule="auto"/>
        <w:tabs>
          <w:tab w:leader="none" w:pos="142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 professional client, as defined in point (8) of Article 2(1) of Regulation (EU) No 600/2014 as it forms part of domestic law by virtue of the European Union (Withdrawal) Act 2018, as amended; nor</w:t>
      </w:r>
    </w:p>
    <w:p>
      <w:pPr>
        <w:spacing w:after="0" w:line="82" w:lineRule="exact"/>
        <w:rPr>
          <w:rFonts w:ascii="Arial" w:cs="Arial" w:eastAsia="Arial" w:hAnsi="Arial"/>
          <w:sz w:val="14"/>
          <w:szCs w:val="14"/>
          <w:color w:val="auto"/>
        </w:rPr>
      </w:pPr>
    </w:p>
    <w:p>
      <w:pPr>
        <w:ind w:left="1420" w:right="379" w:hanging="316"/>
        <w:spacing w:after="0" w:line="249" w:lineRule="auto"/>
        <w:tabs>
          <w:tab w:leader="none" w:pos="142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 qualified investor as defined in paragraph 15 of Schedule 1 to the Public Offers and Admissions to Trading Regulations 2024; and</w:t>
      </w:r>
    </w:p>
    <w:p>
      <w:pPr>
        <w:spacing w:after="0" w:line="82" w:lineRule="exact"/>
        <w:rPr>
          <w:rFonts w:ascii="Arial" w:cs="Arial" w:eastAsia="Arial" w:hAnsi="Arial"/>
          <w:sz w:val="14"/>
          <w:szCs w:val="14"/>
          <w:color w:val="auto"/>
        </w:rPr>
      </w:pPr>
    </w:p>
    <w:p>
      <w:pPr>
        <w:ind w:left="1100" w:right="599" w:hanging="412"/>
        <w:spacing w:after="0" w:line="249" w:lineRule="auto"/>
        <w:tabs>
          <w:tab w:leader="none" w:pos="11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expression offer includes the communication in any form and by any means of sufficient information on the terms of the offer and the notes to be offered so as to enable an investor to decide to buy or subscribe for the notes.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Canada</w:t>
      </w:r>
    </w:p>
    <w:p>
      <w:pPr>
        <w:spacing w:after="0" w:line="103" w:lineRule="exact"/>
        <w:rPr>
          <w:sz w:val="20"/>
          <w:szCs w:val="20"/>
          <w:color w:val="auto"/>
        </w:rPr>
      </w:pPr>
    </w:p>
    <w:p>
      <w:pPr>
        <w:ind w:left="360" w:right="439"/>
        <w:spacing w:after="0" w:line="234" w:lineRule="auto"/>
        <w:rPr>
          <w:sz w:val="20"/>
          <w:szCs w:val="20"/>
          <w:color w:val="auto"/>
        </w:rPr>
      </w:pPr>
      <w:r>
        <w:rPr>
          <w:rFonts w:ascii="Arial" w:cs="Arial" w:eastAsia="Arial" w:hAnsi="Arial"/>
          <w:sz w:val="14"/>
          <w:szCs w:val="14"/>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88" w:lineRule="exact"/>
        <w:rPr>
          <w:sz w:val="20"/>
          <w:szCs w:val="20"/>
          <w:color w:val="auto"/>
        </w:rPr>
      </w:pPr>
    </w:p>
    <w:p>
      <w:pPr>
        <w:ind w:left="360" w:right="459"/>
        <w:spacing w:after="0" w:line="24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supplement or the accompanying prospectus (including 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S-79</w:t>
      </w:r>
    </w:p>
    <w:p>
      <w:pPr>
        <w:sectPr>
          <w:pgSz w:w="11900" w:h="16838" w:orient="portrait"/>
          <w:cols w:equalWidth="0" w:num="1">
            <w:col w:w="9019"/>
          </w:cols>
          <w:pgMar w:left="1440" w:top="238" w:right="1440" w:bottom="1440" w:gutter="0" w:footer="0" w:header="0"/>
        </w:sectPr>
      </w:pPr>
    </w:p>
    <w:bookmarkStart w:id="82" w:name="page83"/>
    <w:bookmarkEnd w:id="82"/>
    <w:p>
      <w:pPr>
        <w:ind w:left="360" w:right="379"/>
        <w:spacing w:after="0" w:line="23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 xml:space="preserve">amendment thereto) contains a misrepresentation,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ind w:left="360" w:right="519"/>
        <w:spacing w:after="0" w:line="249" w:lineRule="auto"/>
        <w:rPr>
          <w:sz w:val="20"/>
          <w:szCs w:val="20"/>
          <w:color w:val="auto"/>
        </w:rPr>
      </w:pPr>
      <w:r>
        <w:rPr>
          <w:rFonts w:ascii="Arial" w:cs="Arial" w:eastAsia="Arial" w:hAnsi="Arial"/>
          <w:sz w:val="14"/>
          <w:szCs w:val="14"/>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Switzerland</w:t>
      </w:r>
    </w:p>
    <w:p>
      <w:pPr>
        <w:spacing w:after="0" w:line="93" w:lineRule="exact"/>
        <w:rPr>
          <w:sz w:val="20"/>
          <w:szCs w:val="20"/>
          <w:color w:val="auto"/>
        </w:rPr>
      </w:pPr>
    </w:p>
    <w:p>
      <w:pPr>
        <w:ind w:left="360" w:right="399"/>
        <w:spacing w:after="0" w:line="238" w:lineRule="auto"/>
        <w:rPr>
          <w:sz w:val="20"/>
          <w:szCs w:val="20"/>
          <w:color w:val="auto"/>
        </w:rPr>
      </w:pPr>
      <w:r>
        <w:rPr>
          <w:rFonts w:ascii="Arial" w:cs="Arial" w:eastAsia="Arial" w:hAnsi="Arial"/>
          <w:sz w:val="14"/>
          <w:szCs w:val="14"/>
          <w:color w:val="auto"/>
        </w:rPr>
        <w:t>This prospectus supplement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89" w:lineRule="exact"/>
        <w:rPr>
          <w:sz w:val="20"/>
          <w:szCs w:val="20"/>
          <w:color w:val="auto"/>
        </w:rPr>
      </w:pPr>
    </w:p>
    <w:p>
      <w:pPr>
        <w:ind w:left="1100" w:hanging="412"/>
        <w:spacing w:after="0"/>
        <w:tabs>
          <w:tab w:leader="none" w:pos="11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any person which is a professional client as defined under the FinSA;</w:t>
      </w:r>
    </w:p>
    <w:p>
      <w:pPr>
        <w:spacing w:after="0" w:line="102" w:lineRule="exact"/>
        <w:rPr>
          <w:rFonts w:ascii="Arial" w:cs="Arial" w:eastAsia="Arial" w:hAnsi="Arial"/>
          <w:sz w:val="14"/>
          <w:szCs w:val="14"/>
          <w:color w:val="auto"/>
        </w:rPr>
      </w:pPr>
    </w:p>
    <w:p>
      <w:pPr>
        <w:ind w:left="1100" w:right="479" w:hanging="412"/>
        <w:spacing w:after="0" w:line="249" w:lineRule="auto"/>
        <w:tabs>
          <w:tab w:leader="none" w:pos="11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fewer than 500 persons (other than professional clients as defined under the FinSA), subject to obtaining the prior consent of the underwriters for any such offer; or</w:t>
      </w:r>
    </w:p>
    <w:p>
      <w:pPr>
        <w:spacing w:after="0" w:line="82" w:lineRule="exact"/>
        <w:rPr>
          <w:rFonts w:ascii="Arial" w:cs="Arial" w:eastAsia="Arial" w:hAnsi="Arial"/>
          <w:sz w:val="14"/>
          <w:szCs w:val="14"/>
          <w:color w:val="auto"/>
        </w:rPr>
      </w:pPr>
    </w:p>
    <w:p>
      <w:pPr>
        <w:ind w:left="1100" w:right="919" w:hanging="412"/>
        <w:spacing w:after="0" w:line="249" w:lineRule="auto"/>
        <w:tabs>
          <w:tab w:leader="none" w:pos="11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36 FinSA in connection with Article 44 of the Swiss Financial Services Ordinance,</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such offer of notes shall require the Company or any underwriter to publish a prospectus pursuant to Article 35 FinSA.</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notes have not been and will not be listed or admitted to trading on a trading venue in Switzerland.</w:t>
      </w:r>
    </w:p>
    <w:p>
      <w:pPr>
        <w:spacing w:after="0" w:line="93" w:lineRule="exact"/>
        <w:rPr>
          <w:sz w:val="20"/>
          <w:szCs w:val="20"/>
          <w:color w:val="auto"/>
        </w:rPr>
      </w:pPr>
    </w:p>
    <w:p>
      <w:pPr>
        <w:ind w:left="360" w:right="699"/>
        <w:spacing w:after="0" w:line="238" w:lineRule="auto"/>
        <w:rPr>
          <w:sz w:val="20"/>
          <w:szCs w:val="20"/>
          <w:color w:val="auto"/>
        </w:rPr>
      </w:pPr>
      <w:r>
        <w:rPr>
          <w:rFonts w:ascii="Arial" w:cs="Arial" w:eastAsia="Arial" w:hAnsi="Arial"/>
          <w:sz w:val="14"/>
          <w:szCs w:val="14"/>
          <w:color w:val="auto"/>
        </w:rPr>
        <w:t>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the Dubai International Financial Centre, or the DIFC</w:t>
      </w:r>
    </w:p>
    <w:p>
      <w:pPr>
        <w:spacing w:after="0" w:line="72" w:lineRule="exact"/>
        <w:rPr>
          <w:sz w:val="20"/>
          <w:szCs w:val="20"/>
          <w:color w:val="auto"/>
        </w:rPr>
      </w:pPr>
    </w:p>
    <w:p>
      <w:pPr>
        <w:ind w:left="360" w:right="399"/>
        <w:spacing w:after="0" w:line="230" w:lineRule="auto"/>
        <w:rPr>
          <w:sz w:val="20"/>
          <w:szCs w:val="20"/>
          <w:color w:val="auto"/>
        </w:rPr>
      </w:pPr>
      <w:r>
        <w:rPr>
          <w:rFonts w:ascii="Arial" w:cs="Arial" w:eastAsia="Arial" w:hAnsi="Arial"/>
          <w:sz w:val="14"/>
          <w:szCs w:val="14"/>
          <w:color w:val="auto"/>
        </w:rPr>
        <w:t>This prospectus supplement and the accompanying prospectus relate to an Exempt Offer in accordance with the Markets Rules 2012 of the Dubai Financial Services Authority, or the DFSA. This prospectus supplement and the accompanying prospectus are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w:t>
      </w:r>
    </w:p>
    <w:p>
      <w:pPr>
        <w:spacing w:after="0" w:line="63" w:lineRule="exact"/>
        <w:rPr>
          <w:sz w:val="20"/>
          <w:szCs w:val="20"/>
          <w:color w:val="auto"/>
        </w:rPr>
      </w:pPr>
    </w:p>
    <w:p>
      <w:pPr>
        <w:jc w:val="both"/>
        <w:ind w:left="360" w:right="519"/>
        <w:spacing w:after="0" w:line="238"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the United Arab Emirates</w:t>
      </w:r>
    </w:p>
    <w:p>
      <w:pPr>
        <w:spacing w:after="0" w:line="103" w:lineRule="exact"/>
        <w:rPr>
          <w:sz w:val="20"/>
          <w:szCs w:val="20"/>
          <w:color w:val="auto"/>
        </w:rPr>
      </w:pPr>
    </w:p>
    <w:p>
      <w:pPr>
        <w:ind w:left="360" w:right="719"/>
        <w:spacing w:after="0" w:line="249" w:lineRule="auto"/>
        <w:rPr>
          <w:sz w:val="20"/>
          <w:szCs w:val="20"/>
          <w:color w:val="auto"/>
        </w:rPr>
      </w:pPr>
      <w:r>
        <w:rPr>
          <w:rFonts w:ascii="Arial" w:cs="Arial" w:eastAsia="Arial" w:hAnsi="Arial"/>
          <w:sz w:val="14"/>
          <w:szCs w:val="14"/>
          <w:color w:val="auto"/>
        </w:rPr>
        <w:t>The notes have not been, and are not being, publicly offered, sold, promoted or advertised in the United Arab Emirates (including the Dubai International Financial Centre) other than in compliance with the laws of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S-80</w:t>
      </w:r>
    </w:p>
    <w:p>
      <w:pPr>
        <w:sectPr>
          <w:pgSz w:w="11900" w:h="16838" w:orient="portrait"/>
          <w:cols w:equalWidth="0" w:num="1">
            <w:col w:w="9019"/>
          </w:cols>
          <w:pgMar w:left="1440" w:top="238" w:right="1440" w:bottom="1440" w:gutter="0" w:footer="0" w:header="0"/>
        </w:sectPr>
      </w:pPr>
    </w:p>
    <w:bookmarkStart w:id="83" w:name="page84"/>
    <w:bookmarkEnd w:id="83"/>
    <w:p>
      <w:pPr>
        <w:ind w:left="360" w:right="379"/>
        <w:spacing w:after="0" w:line="23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United Arab Emirates (and the Dubai International Financial Centre) governing the issue, offering and sale of securities. Further, neither this prospectus supplement nor the accompanying prospectus constitutes a public offer of securities in the United Arab Emirates (including the Dubai International Financial Centre) and is not intended to be a public offer. Neither this prospectus supplement nor the accompanying prospectus has been approved by or filed with the Central Bank of the United Arab Emirates, the Securities and Commodities Authority, Financial Services Regulatory Authority (FSRA) or the Dubai Financial Services Authority.</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Australia</w:t>
      </w:r>
    </w:p>
    <w:p>
      <w:pPr>
        <w:spacing w:after="0" w:line="93"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Neither this prospectus supplement nor the accompanying prospectus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88" w:lineRule="exact"/>
        <w:rPr>
          <w:sz w:val="20"/>
          <w:szCs w:val="20"/>
          <w:color w:val="auto"/>
        </w:rPr>
      </w:pPr>
    </w:p>
    <w:p>
      <w:pPr>
        <w:ind w:left="360" w:right="479"/>
        <w:spacing w:after="0" w:line="238" w:lineRule="auto"/>
        <w:rPr>
          <w:sz w:val="20"/>
          <w:szCs w:val="20"/>
          <w:color w:val="auto"/>
        </w:rPr>
      </w:pPr>
      <w:r>
        <w:rPr>
          <w:rFonts w:ascii="Arial" w:cs="Arial" w:eastAsia="Arial" w:hAnsi="Arial"/>
          <w:sz w:val="14"/>
          <w:szCs w:val="14"/>
          <w:color w:val="auto"/>
        </w:rPr>
        <w:t>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w:t>
      </w:r>
    </w:p>
    <w:p>
      <w:pPr>
        <w:spacing w:after="0" w:line="89" w:lineRule="exact"/>
        <w:rPr>
          <w:sz w:val="20"/>
          <w:szCs w:val="20"/>
          <w:color w:val="auto"/>
        </w:rPr>
      </w:pPr>
    </w:p>
    <w:p>
      <w:pPr>
        <w:ind w:left="1100" w:right="479" w:hanging="412"/>
        <w:spacing w:after="0" w:line="235" w:lineRule="auto"/>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90" w:lineRule="exact"/>
        <w:rPr>
          <w:rFonts w:ascii="Arial" w:cs="Arial" w:eastAsia="Arial" w:hAnsi="Arial"/>
          <w:sz w:val="14"/>
          <w:szCs w:val="14"/>
          <w:color w:val="auto"/>
        </w:rPr>
      </w:pPr>
    </w:p>
    <w:p>
      <w:pPr>
        <w:ind w:left="1100" w:right="399" w:hanging="412"/>
        <w:spacing w:after="0" w:line="249" w:lineRule="auto"/>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82" w:lineRule="exact"/>
        <w:rPr>
          <w:rFonts w:ascii="Arial" w:cs="Arial" w:eastAsia="Arial" w:hAnsi="Arial"/>
          <w:sz w:val="14"/>
          <w:szCs w:val="14"/>
          <w:color w:val="auto"/>
        </w:rPr>
      </w:pPr>
    </w:p>
    <w:p>
      <w:pPr>
        <w:ind w:left="1100" w:right="639" w:hanging="412"/>
        <w:spacing w:after="0" w:line="249" w:lineRule="auto"/>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offer, invitation or distribution complies with all applicable Australian laws, regulations and directives (including, without limitation, the licensing requirements set out in Chapter 7 of the Corporations Act);</w:t>
      </w:r>
    </w:p>
    <w:p>
      <w:pPr>
        <w:spacing w:after="0" w:line="82" w:lineRule="exact"/>
        <w:rPr>
          <w:rFonts w:ascii="Arial" w:cs="Arial" w:eastAsia="Arial" w:hAnsi="Arial"/>
          <w:sz w:val="14"/>
          <w:szCs w:val="14"/>
          <w:color w:val="auto"/>
        </w:rPr>
      </w:pPr>
    </w:p>
    <w:p>
      <w:pPr>
        <w:ind w:left="1100" w:right="499" w:hanging="412"/>
        <w:spacing w:after="0" w:line="249" w:lineRule="auto"/>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offer or invitation does not constitute an offer or invitation to a person in Australia who is a “retail client” as defined for the purposes of Section 761G of the Corporations Act; and</w:t>
      </w:r>
    </w:p>
    <w:p>
      <w:pPr>
        <w:spacing w:after="0" w:line="82" w:lineRule="exact"/>
        <w:rPr>
          <w:rFonts w:ascii="Arial" w:cs="Arial" w:eastAsia="Arial" w:hAnsi="Arial"/>
          <w:sz w:val="14"/>
          <w:szCs w:val="14"/>
          <w:color w:val="auto"/>
        </w:rPr>
      </w:pPr>
    </w:p>
    <w:p>
      <w:pPr>
        <w:ind w:left="1100" w:hanging="412"/>
        <w:spacing w:after="0"/>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such action does not require any document to be lodged with ASIC or the ASX.</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Japan</w:t>
      </w:r>
    </w:p>
    <w:p>
      <w:pPr>
        <w:spacing w:after="0" w:line="93" w:lineRule="exact"/>
        <w:rPr>
          <w:sz w:val="20"/>
          <w:szCs w:val="20"/>
          <w:color w:val="auto"/>
        </w:rPr>
      </w:pPr>
    </w:p>
    <w:p>
      <w:pPr>
        <w:ind w:left="360" w:right="419"/>
        <w:spacing w:after="0" w:line="278" w:lineRule="auto"/>
        <w:rPr>
          <w:sz w:val="20"/>
          <w:szCs w:val="20"/>
          <w:color w:val="auto"/>
        </w:rPr>
      </w:pPr>
      <w:r>
        <w:rPr>
          <w:rFonts w:ascii="Arial" w:cs="Arial" w:eastAsia="Arial" w:hAnsi="Arial"/>
          <w:sz w:val="12"/>
          <w:szCs w:val="12"/>
          <w:color w:val="auto"/>
        </w:rPr>
        <w:t>The notes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S-81</w:t>
      </w:r>
    </w:p>
    <w:p>
      <w:pPr>
        <w:sectPr>
          <w:pgSz w:w="11900" w:h="16838" w:orient="portrait"/>
          <w:cols w:equalWidth="0" w:num="1">
            <w:col w:w="9019"/>
          </w:cols>
          <w:pgMar w:left="1440" w:top="238" w:right="1440" w:bottom="1440" w:gutter="0" w:footer="0" w:header="0"/>
        </w:sectPr>
      </w:pPr>
    </w:p>
    <w:bookmarkStart w:id="84" w:name="page85"/>
    <w:bookmarkEnd w:id="84"/>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Notice to prospective investors in Hong Kong</w:t>
      </w:r>
    </w:p>
    <w:p>
      <w:pPr>
        <w:spacing w:after="0" w:line="103" w:lineRule="exact"/>
        <w:rPr>
          <w:sz w:val="20"/>
          <w:szCs w:val="20"/>
          <w:color w:val="auto"/>
        </w:rPr>
      </w:pPr>
    </w:p>
    <w:p>
      <w:pPr>
        <w:ind w:left="360" w:right="399"/>
        <w:spacing w:after="0" w:line="230" w:lineRule="auto"/>
        <w:rPr>
          <w:sz w:val="20"/>
          <w:szCs w:val="20"/>
          <w:color w:val="auto"/>
        </w:rPr>
      </w:pPr>
      <w:r>
        <w:rPr>
          <w:rFonts w:ascii="Arial" w:cs="Arial" w:eastAsia="Arial" w:hAnsi="Arial"/>
          <w:sz w:val="14"/>
          <w:szCs w:val="14"/>
          <w:color w:val="auto"/>
        </w:rPr>
        <w:t>The notes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Singapore</w:t>
      </w:r>
    </w:p>
    <w:p>
      <w:pPr>
        <w:spacing w:after="0" w:line="103" w:lineRule="exact"/>
        <w:rPr>
          <w:sz w:val="20"/>
          <w:szCs w:val="20"/>
          <w:color w:val="auto"/>
        </w:rPr>
      </w:pPr>
    </w:p>
    <w:p>
      <w:pPr>
        <w:ind w:left="360" w:right="399"/>
        <w:spacing w:after="0" w:line="230" w:lineRule="auto"/>
        <w:rPr>
          <w:sz w:val="20"/>
          <w:szCs w:val="20"/>
          <w:color w:val="auto"/>
        </w:rPr>
      </w:pPr>
      <w:r>
        <w:rPr>
          <w:rFonts w:ascii="Arial" w:cs="Arial" w:eastAsia="Arial" w:hAnsi="Arial"/>
          <w:sz w:val="14"/>
          <w:szCs w:val="14"/>
          <w:color w:val="auto"/>
        </w:rPr>
        <w:t>Each underwriter has acknowledged that this prospectus supplement and the accompanying prospectus have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Bermuda</w:t>
      </w:r>
    </w:p>
    <w:p>
      <w:pPr>
        <w:spacing w:after="0" w:line="93" w:lineRule="exact"/>
        <w:rPr>
          <w:sz w:val="20"/>
          <w:szCs w:val="20"/>
          <w:color w:val="auto"/>
        </w:rPr>
      </w:pPr>
    </w:p>
    <w:p>
      <w:pPr>
        <w:ind w:left="360" w:right="399"/>
        <w:spacing w:after="0" w:line="298" w:lineRule="auto"/>
        <w:rPr>
          <w:sz w:val="20"/>
          <w:szCs w:val="20"/>
          <w:color w:val="auto"/>
        </w:rPr>
      </w:pPr>
      <w:r>
        <w:rPr>
          <w:rFonts w:ascii="Arial" w:cs="Arial" w:eastAsia="Arial" w:hAnsi="Arial"/>
          <w:sz w:val="12"/>
          <w:szCs w:val="12"/>
          <w:color w:val="auto"/>
        </w:rPr>
        <w:t>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Saudi Arabia</w:t>
      </w:r>
    </w:p>
    <w:p>
      <w:pPr>
        <w:spacing w:after="0" w:line="103" w:lineRule="exact"/>
        <w:rPr>
          <w:sz w:val="20"/>
          <w:szCs w:val="20"/>
          <w:color w:val="auto"/>
        </w:rPr>
      </w:pPr>
    </w:p>
    <w:p>
      <w:pPr>
        <w:ind w:left="360" w:right="399"/>
        <w:spacing w:after="0" w:line="232"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or CMA, pursuant to resolution number 3-123-2017 dated 27 December 2017,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notes offered hereby should conduct their own due diligence on the accuracy of the information relating to the securities. If you do not understand the contents of this document, you should consult an authorized financial adviser.</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the British Virgin Islands</w:t>
      </w:r>
    </w:p>
    <w:p>
      <w:pPr>
        <w:spacing w:after="0" w:line="103" w:lineRule="exact"/>
        <w:rPr>
          <w:sz w:val="20"/>
          <w:szCs w:val="20"/>
          <w:color w:val="auto"/>
        </w:rPr>
      </w:pPr>
    </w:p>
    <w:p>
      <w:pPr>
        <w:ind w:left="360" w:right="419"/>
        <w:spacing w:after="0" w:line="235" w:lineRule="auto"/>
        <w:rPr>
          <w:sz w:val="20"/>
          <w:szCs w:val="20"/>
          <w:color w:val="auto"/>
        </w:rPr>
      </w:pPr>
      <w:r>
        <w:rPr>
          <w:rFonts w:ascii="Arial" w:cs="Arial" w:eastAsia="Arial" w:hAnsi="Arial"/>
          <w:sz w:val="14"/>
          <w:szCs w:val="14"/>
          <w:color w:val="auto"/>
        </w:rPr>
        <w:t>The notes are not being, and may not be, offered to the public or to any person in the British Virgin Islands for purchase or subscription by or on behalf of us. The securities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S-82</w:t>
      </w:r>
    </w:p>
    <w:p>
      <w:pPr>
        <w:sectPr>
          <w:pgSz w:w="11900" w:h="16838" w:orient="portrait"/>
          <w:cols w:equalWidth="0" w:num="1">
            <w:col w:w="9019"/>
          </w:cols>
          <w:pgMar w:left="1440" w:top="238" w:right="1440" w:bottom="1440" w:gutter="0" w:footer="0" w:header="0"/>
        </w:sectPr>
      </w:pPr>
    </w:p>
    <w:bookmarkStart w:id="85" w:name="page86"/>
    <w:bookmarkEnd w:id="85"/>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Notice to prospective investors in China</w:t>
      </w:r>
    </w:p>
    <w:p>
      <w:pPr>
        <w:spacing w:after="0" w:line="103" w:lineRule="exact"/>
        <w:rPr>
          <w:sz w:val="20"/>
          <w:szCs w:val="20"/>
          <w:color w:val="auto"/>
        </w:rPr>
      </w:pPr>
    </w:p>
    <w:p>
      <w:pPr>
        <w:ind w:left="360" w:right="479"/>
        <w:spacing w:after="0" w:line="232" w:lineRule="auto"/>
        <w:rPr>
          <w:sz w:val="20"/>
          <w:szCs w:val="20"/>
          <w:color w:val="auto"/>
        </w:rPr>
      </w:pPr>
      <w:r>
        <w:rPr>
          <w:rFonts w:ascii="Arial" w:cs="Arial" w:eastAsia="Arial" w:hAnsi="Arial"/>
          <w:sz w:val="14"/>
          <w:szCs w:val="14"/>
          <w:color w:val="auto"/>
        </w:rPr>
        <w:t>This prospectus supplement and the accompanying prospectus will not be circulated or distributed in the People’s Republic of China, or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the accompanying prospectus nor any advertisement or other offering material may be distributed or published in the PRC, except under circumstances that will result in compliance with applicable laws and regulations.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Korea</w:t>
      </w:r>
    </w:p>
    <w:p>
      <w:pPr>
        <w:spacing w:after="0" w:line="103" w:lineRule="exact"/>
        <w:rPr>
          <w:sz w:val="20"/>
          <w:szCs w:val="20"/>
          <w:color w:val="auto"/>
        </w:rPr>
      </w:pPr>
    </w:p>
    <w:p>
      <w:pPr>
        <w:ind w:left="360" w:right="399"/>
        <w:spacing w:after="0" w:line="230" w:lineRule="auto"/>
        <w:rPr>
          <w:sz w:val="20"/>
          <w:szCs w:val="20"/>
          <w:color w:val="auto"/>
        </w:rPr>
      </w:pPr>
      <w:r>
        <w:rPr>
          <w:rFonts w:ascii="Arial" w:cs="Arial" w:eastAsia="Arial" w:hAnsi="Arial"/>
          <w:sz w:val="14"/>
          <w:szCs w:val="14"/>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Foreign Exchange Transaction Law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Malaysia</w:t>
      </w:r>
    </w:p>
    <w:p>
      <w:pPr>
        <w:spacing w:after="0" w:line="93" w:lineRule="exact"/>
        <w:rPr>
          <w:sz w:val="20"/>
          <w:szCs w:val="20"/>
          <w:color w:val="auto"/>
        </w:rPr>
      </w:pPr>
    </w:p>
    <w:p>
      <w:pPr>
        <w:ind w:left="360" w:right="439"/>
        <w:spacing w:after="0" w:line="230" w:lineRule="auto"/>
        <w:rPr>
          <w:sz w:val="20"/>
          <w:szCs w:val="20"/>
          <w:color w:val="auto"/>
        </w:rPr>
      </w:pPr>
      <w:r>
        <w:rPr>
          <w:rFonts w:ascii="Arial" w:cs="Arial" w:eastAsia="Arial" w:hAnsi="Arial"/>
          <w:sz w:val="14"/>
          <w:szCs w:val="14"/>
          <w:color w:val="auto"/>
        </w:rPr>
        <w:t>No approval from the Securities Commission of Malaysia is or will be obtained, nor will any prospectus be filed or registered with the Securities Commission of Malaysia, for the offering of the notes in Malaysia. This prospectus supplement and the accompanying prospectus do not constitute and are not intended to constitute an invitation or offer for subscription or purchase of the notes, nor may this prospectus supplement, the accompanying prospectus or any other offering material or document relating to the notes be published or distributed, directly or indirectly, to any person in Malaysia unless such invitation or offer falls within (a) Schedule 5 to the Capital Markets and Services Act 2007 (“CMSA”), (b) Schedule 6 or 7 to the CMSA as an “excluded offer or excluded invitation” or “excluded issue” within the meaning of section 229 and 230 of the CMSA and (c) Schedule 8 so the trust deed requirements in the CMSA are not applicable. No offer or invitation in respect of the notes may be made in Malaysia except as an offer or invitation falling under Schedule 5, 6 or 7 and 8 to the CMSA.</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Taiwan</w:t>
      </w:r>
    </w:p>
    <w:p>
      <w:pPr>
        <w:spacing w:after="0" w:line="103" w:lineRule="exact"/>
        <w:rPr>
          <w:sz w:val="20"/>
          <w:szCs w:val="20"/>
          <w:color w:val="auto"/>
        </w:rPr>
      </w:pPr>
    </w:p>
    <w:p>
      <w:pPr>
        <w:ind w:left="360" w:right="459"/>
        <w:spacing w:after="0" w:line="231" w:lineRule="auto"/>
        <w:rPr>
          <w:sz w:val="20"/>
          <w:szCs w:val="20"/>
          <w:color w:val="auto"/>
        </w:rPr>
      </w:pPr>
      <w:r>
        <w:rPr>
          <w:rFonts w:ascii="Arial" w:cs="Arial" w:eastAsia="Arial" w:hAnsi="Arial"/>
          <w:sz w:val="14"/>
          <w:szCs w:val="14"/>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S-83</w:t>
      </w:r>
    </w:p>
    <w:p>
      <w:pPr>
        <w:sectPr>
          <w:pgSz w:w="11900" w:h="16838" w:orient="portrait"/>
          <w:cols w:equalWidth="0" w:num="1">
            <w:col w:w="9019"/>
          </w:cols>
          <w:pgMar w:left="1440" w:top="238" w:right="1440" w:bottom="1440" w:gutter="0" w:footer="0" w:header="0"/>
        </w:sectPr>
      </w:pPr>
    </w:p>
    <w:bookmarkStart w:id="86" w:name="page87"/>
    <w:bookmarkEnd w:id="86"/>
    <w:p>
      <w:pPr>
        <w:ind w:left="360" w:right="379"/>
        <w:spacing w:after="0" w:line="23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South Africa</w:t>
      </w:r>
    </w:p>
    <w:p>
      <w:pPr>
        <w:spacing w:after="0" w:line="93" w:lineRule="exact"/>
        <w:rPr>
          <w:sz w:val="20"/>
          <w:szCs w:val="20"/>
          <w:color w:val="auto"/>
        </w:rPr>
      </w:pPr>
    </w:p>
    <w:p>
      <w:pPr>
        <w:ind w:left="360" w:right="459"/>
        <w:spacing w:after="0" w:line="231" w:lineRule="auto"/>
        <w:rPr>
          <w:sz w:val="20"/>
          <w:szCs w:val="20"/>
          <w:color w:val="auto"/>
        </w:rPr>
      </w:pPr>
      <w:r>
        <w:rPr>
          <w:rFonts w:ascii="Arial" w:cs="Arial" w:eastAsia="Arial" w:hAnsi="Arial"/>
          <w:sz w:val="14"/>
          <w:szCs w:val="14"/>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notes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notes are not offered, and the offer shall not be transferred, sold, renounced or delivered, in South Africa or to a person with an address in South Africa, unless one or other of the following exemptions stipulated in section 96 (1) of the South African Companies Act applies: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Section 96 (1) (a) the offer, transfer, sale, renunciation or delivery is to:</w:t>
      </w:r>
    </w:p>
    <w:p>
      <w:pPr>
        <w:spacing w:after="0" w:line="103" w:lineRule="exact"/>
        <w:rPr>
          <w:sz w:val="20"/>
          <w:szCs w:val="20"/>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persons whose ordinary business, or part of whose ordinary business, is to deal in securities, as principal or agent;</w:t>
      </w:r>
    </w:p>
    <w:p>
      <w:pPr>
        <w:spacing w:after="0" w:line="102" w:lineRule="exact"/>
        <w:rPr>
          <w:rFonts w:ascii="Arial" w:cs="Arial" w:eastAsia="Arial" w:hAnsi="Arial"/>
          <w:sz w:val="14"/>
          <w:szCs w:val="14"/>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South African Public Investment Corporation;</w:t>
      </w:r>
    </w:p>
    <w:p>
      <w:pPr>
        <w:spacing w:after="0" w:line="102" w:lineRule="exact"/>
        <w:rPr>
          <w:rFonts w:ascii="Arial" w:cs="Arial" w:eastAsia="Arial" w:hAnsi="Arial"/>
          <w:sz w:val="14"/>
          <w:szCs w:val="14"/>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persons or entities regulated by the Reserve Bank of South Africa;</w:t>
      </w:r>
    </w:p>
    <w:p>
      <w:pPr>
        <w:spacing w:after="0" w:line="102" w:lineRule="exact"/>
        <w:rPr>
          <w:rFonts w:ascii="Arial" w:cs="Arial" w:eastAsia="Arial" w:hAnsi="Arial"/>
          <w:sz w:val="14"/>
          <w:szCs w:val="14"/>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authorized financial service providers under South African law;</w:t>
      </w:r>
    </w:p>
    <w:p>
      <w:pPr>
        <w:spacing w:after="0" w:line="102" w:lineRule="exact"/>
        <w:rPr>
          <w:rFonts w:ascii="Arial" w:cs="Arial" w:eastAsia="Arial" w:hAnsi="Arial"/>
          <w:sz w:val="14"/>
          <w:szCs w:val="14"/>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financial institutions recognized as such under South African law;</w:t>
      </w:r>
    </w:p>
    <w:p>
      <w:pPr>
        <w:spacing w:after="0" w:line="102" w:lineRule="exact"/>
        <w:rPr>
          <w:rFonts w:ascii="Arial" w:cs="Arial" w:eastAsia="Arial" w:hAnsi="Arial"/>
          <w:sz w:val="14"/>
          <w:szCs w:val="14"/>
          <w:color w:val="auto"/>
        </w:rPr>
      </w:pPr>
    </w:p>
    <w:p>
      <w:pPr>
        <w:jc w:val="both"/>
        <w:ind w:left="1420" w:right="559" w:hanging="316"/>
        <w:spacing w:after="0" w:line="238" w:lineRule="auto"/>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89" w:lineRule="exact"/>
        <w:rPr>
          <w:rFonts w:ascii="Arial" w:cs="Arial" w:eastAsia="Arial" w:hAnsi="Arial"/>
          <w:sz w:val="14"/>
          <w:szCs w:val="14"/>
          <w:color w:val="auto"/>
        </w:rPr>
      </w:pPr>
    </w:p>
    <w:p>
      <w:pPr>
        <w:ind w:left="1420" w:hanging="316"/>
        <w:spacing w:after="0"/>
        <w:tabs>
          <w:tab w:leader="none" w:pos="14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any combination of persons in (i) to (vi); or</w:t>
      </w:r>
    </w:p>
    <w:p>
      <w:pPr>
        <w:spacing w:after="0" w:line="103" w:lineRule="exact"/>
        <w:rPr>
          <w:sz w:val="20"/>
          <w:szCs w:val="20"/>
          <w:color w:val="auto"/>
        </w:rPr>
      </w:pPr>
    </w:p>
    <w:p>
      <w:pPr>
        <w:ind w:left="360" w:right="459"/>
        <w:spacing w:after="0" w:line="238" w:lineRule="auto"/>
        <w:rPr>
          <w:sz w:val="20"/>
          <w:szCs w:val="20"/>
          <w:color w:val="auto"/>
        </w:rPr>
      </w:pPr>
      <w:r>
        <w:rPr>
          <w:rFonts w:ascii="Arial" w:cs="Arial" w:eastAsia="Arial" w:hAnsi="Arial"/>
          <w:sz w:val="14"/>
          <w:szCs w:val="14"/>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79" w:lineRule="exact"/>
        <w:rPr>
          <w:sz w:val="20"/>
          <w:szCs w:val="20"/>
          <w:color w:val="auto"/>
        </w:rPr>
      </w:pPr>
    </w:p>
    <w:p>
      <w:pPr>
        <w:ind w:left="360" w:right="679"/>
        <w:spacing w:after="0" w:line="249" w:lineRule="auto"/>
        <w:rPr>
          <w:sz w:val="20"/>
          <w:szCs w:val="20"/>
          <w:color w:val="auto"/>
        </w:rPr>
      </w:pPr>
      <w:r>
        <w:rPr>
          <w:rFonts w:ascii="Arial" w:cs="Arial" w:eastAsia="Arial" w:hAnsi="Arial"/>
          <w:sz w:val="14"/>
          <w:szCs w:val="14"/>
          <w:color w:val="auto"/>
        </w:rPr>
        <w:t>Information made available in this prospectus supplement and the accompanying prospectus should not be considered as “advice” as defined in the South African Financial Advisory and Intermediary Services Act, 2002.</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Notice to prospective investors in Israel</w:t>
      </w:r>
    </w:p>
    <w:p>
      <w:pPr>
        <w:spacing w:after="0" w:line="103" w:lineRule="exact"/>
        <w:rPr>
          <w:sz w:val="20"/>
          <w:szCs w:val="20"/>
          <w:color w:val="auto"/>
        </w:rPr>
      </w:pPr>
    </w:p>
    <w:p>
      <w:pPr>
        <w:ind w:left="360" w:right="399"/>
        <w:spacing w:after="0" w:line="231" w:lineRule="auto"/>
        <w:rPr>
          <w:sz w:val="20"/>
          <w:szCs w:val="20"/>
          <w:color w:val="auto"/>
        </w:rPr>
      </w:pPr>
      <w:r>
        <w:rPr>
          <w:rFonts w:ascii="Arial" w:cs="Arial" w:eastAsia="Arial" w:hAnsi="Arial"/>
          <w:sz w:val="14"/>
          <w:szCs w:val="14"/>
          <w:color w:val="auto"/>
        </w:rPr>
        <w:t>This document does not constitute a prospectus under the Israeli Securities Law, 5728-1968, or the Securities Law, and has not been filed with or approved by the Israel Securities Authority. In Israel, this prospectus supplement and the accompanying prospectus are being distributed only to, and is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S-84</w:t>
      </w:r>
    </w:p>
    <w:p>
      <w:pPr>
        <w:sectPr>
          <w:pgSz w:w="11900" w:h="16838" w:orient="portrait"/>
          <w:cols w:equalWidth="0" w:num="1">
            <w:col w:w="9019"/>
          </w:cols>
          <w:pgMar w:left="1440" w:top="239" w:right="1440" w:bottom="1440" w:gutter="0" w:footer="0" w:header="0"/>
        </w:sectPr>
      </w:pPr>
    </w:p>
    <w:bookmarkStart w:id="87" w:name="page88"/>
    <w:bookmarkEnd w:id="87"/>
    <w:p>
      <w:pPr>
        <w:jc w:val="both"/>
        <w:ind w:left="360" w:right="379"/>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S-85</w:t>
      </w:r>
    </w:p>
    <w:p>
      <w:pPr>
        <w:sectPr>
          <w:pgSz w:w="11900" w:h="16838" w:orient="portrait"/>
          <w:cols w:equalWidth="0" w:num="1">
            <w:col w:w="9019"/>
          </w:cols>
          <w:pgMar w:left="1440" w:top="238" w:right="1440" w:bottom="1440" w:gutter="0" w:footer="0" w:header="0"/>
        </w:sectPr>
      </w:pPr>
    </w:p>
    <w:bookmarkStart w:id="88" w:name="page89"/>
    <w:bookmarkEnd w:id="88"/>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Where You Can Find Additional Information; Incorporation by Reference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Available Information</w:t>
      </w:r>
    </w:p>
    <w:p>
      <w:pPr>
        <w:spacing w:after="0" w:line="108" w:lineRule="exact"/>
        <w:rPr>
          <w:sz w:val="20"/>
          <w:szCs w:val="20"/>
          <w:color w:val="auto"/>
        </w:rPr>
      </w:pPr>
    </w:p>
    <w:p>
      <w:pPr>
        <w:ind w:left="360" w:right="439"/>
        <w:spacing w:after="0" w:line="275" w:lineRule="auto"/>
        <w:rPr>
          <w:sz w:val="20"/>
          <w:szCs w:val="20"/>
          <w:color w:val="auto"/>
        </w:rPr>
      </w:pPr>
      <w:r>
        <w:rPr>
          <w:rFonts w:ascii="Arial" w:cs="Arial" w:eastAsia="Arial" w:hAnsi="Arial"/>
          <w:sz w:val="12"/>
          <w:szCs w:val="12"/>
          <w:color w:val="auto"/>
        </w:rPr>
        <w:t>We filed with the SEC a registration statement on Form S-3 (File No. 333-277640) under the Securities Act with respect to the notes offered hereby. This prospectus supplement and the accompanying prospectus, which constitute a part of the registration statement, do not contain all of the information set forth in the registration statement or the exhibits filed with the registration statement. For further information about us and the notes offered hereby, we refer you to the registration statement and the exhibits filed with the registration statement.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0" w:lineRule="exact"/>
        <w:rPr>
          <w:sz w:val="20"/>
          <w:szCs w:val="20"/>
          <w:color w:val="auto"/>
        </w:rPr>
      </w:pPr>
    </w:p>
    <w:p>
      <w:pPr>
        <w:ind w:left="360" w:right="399"/>
        <w:spacing w:after="0" w:line="238" w:lineRule="auto"/>
        <w:rPr>
          <w:sz w:val="20"/>
          <w:szCs w:val="20"/>
          <w:color w:val="auto"/>
        </w:rPr>
      </w:pPr>
      <w:r>
        <w:rPr>
          <w:rFonts w:ascii="Arial" w:cs="Arial" w:eastAsia="Arial" w:hAnsi="Arial"/>
          <w:sz w:val="14"/>
          <w:szCs w:val="14"/>
          <w:color w:val="auto"/>
        </w:rPr>
        <w:t xml:space="preserve">We are subject to the information and reporting requirements of the Exchange Act, and, in accordance with this law, are required to file periodic reports, proxy statements and other information with the SEC. We file annual, quarterly and current reports, proxy statements and other information with the SEC. Our SEC filings are available to the public at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Incorporation by Reference</w:t>
      </w:r>
    </w:p>
    <w:p>
      <w:pPr>
        <w:spacing w:after="0" w:line="119" w:lineRule="exact"/>
        <w:rPr>
          <w:sz w:val="20"/>
          <w:szCs w:val="20"/>
          <w:color w:val="auto"/>
        </w:rPr>
      </w:pPr>
    </w:p>
    <w:p>
      <w:pPr>
        <w:ind w:left="360" w:right="379"/>
        <w:spacing w:after="0" w:line="270" w:lineRule="auto"/>
        <w:rPr>
          <w:sz w:val="20"/>
          <w:szCs w:val="20"/>
          <w:color w:val="auto"/>
        </w:rPr>
      </w:pPr>
      <w:r>
        <w:rPr>
          <w:rFonts w:ascii="Arial" w:cs="Arial" w:eastAsia="Arial" w:hAnsi="Arial"/>
          <w:sz w:val="12"/>
          <w:szCs w:val="12"/>
          <w:color w:val="auto"/>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the accompanying prospectus, and information that we file later with the SEC will automatically update and supersede this information. We filed a registration statement on Form S-3 (File No. 333-277640) under the Securities Act with the SEC with respect to the securities being offered pursuant to this prospectus supplement and the accompanying prospectus. This prospectus supplement and the accompanying prospectus omit certain information contained in the registration statement, as permitted by the SEC. You should refer to the registration statement, including the exhibits, for further information about us and the securities being offered pursuant to this prospectus supplement and the accompanying prospectus. Statements in this prospectus supplement and the accompanying prospectus regarding the provisions of certain documents filed with, or incorporated by reference in, the registration statement are not necessarily complete, and each statement is qualified in all respects by that reference. We incorporate by reference the documents listed below and any future information filed (rather than furnished) with the SEC under Sections 13(a), 13(c), 14, or 15(d) of the Exchange Act between the date of this prospectus supplement and the termination of this offering,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we are not incorporating any information furnished under Item 2.02 or Item 7.01 of any current report on Form 8-K:</w:t>
      </w:r>
    </w:p>
    <w:p>
      <w:pPr>
        <w:spacing w:after="0" w:line="228" w:lineRule="exact"/>
        <w:rPr>
          <w:sz w:val="20"/>
          <w:szCs w:val="20"/>
          <w:color w:val="auto"/>
        </w:rPr>
      </w:pPr>
    </w:p>
    <w:p>
      <w:pPr>
        <w:ind w:left="520" w:hanging="157"/>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our Annual Report on </w:t>
      </w:r>
      <w:hyperlink r:id="rId112">
        <w:r>
          <w:rPr>
            <w:rFonts w:ascii="Arial" w:cs="Arial" w:eastAsia="Arial" w:hAnsi="Arial"/>
            <w:sz w:val="14"/>
            <w:szCs w:val="14"/>
            <w:u w:val="single" w:color="auto"/>
            <w:color w:val="0000EE"/>
          </w:rPr>
          <w:t>Form 10-K</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year ended December 31, 2025, filed with the SEC on February 25, 2026;</w:t>
      </w:r>
    </w:p>
    <w:p>
      <w:pPr>
        <w:spacing w:after="0" w:line="102" w:lineRule="exact"/>
        <w:rPr>
          <w:rFonts w:ascii="Arial" w:cs="Arial" w:eastAsia="Arial" w:hAnsi="Arial"/>
          <w:sz w:val="14"/>
          <w:szCs w:val="14"/>
          <w:color w:val="auto"/>
        </w:rPr>
      </w:pPr>
    </w:p>
    <w:p>
      <w:pPr>
        <w:ind w:left="520" w:hanging="157"/>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our Current Report on </w:t>
      </w:r>
      <w:hyperlink r:id="rId113">
        <w:r>
          <w:rPr>
            <w:rFonts w:ascii="Arial" w:cs="Arial" w:eastAsia="Arial" w:hAnsi="Arial"/>
            <w:sz w:val="14"/>
            <w:szCs w:val="14"/>
            <w:u w:val="single" w:color="auto"/>
            <w:color w:val="0000EE"/>
          </w:rPr>
          <w:t>Form 8-K</w:t>
        </w:r>
      </w:hyperlink>
      <w:r>
        <w:rPr>
          <w:rFonts w:ascii="Arial" w:cs="Arial" w:eastAsia="Arial" w:hAnsi="Arial"/>
          <w:sz w:val="14"/>
          <w:szCs w:val="14"/>
          <w:color w:val="auto"/>
        </w:rPr>
        <w:t>, filed with the SEC on April 13, 2026; and</w:t>
      </w:r>
    </w:p>
    <w:p>
      <w:pPr>
        <w:spacing w:after="0" w:line="102" w:lineRule="exact"/>
        <w:rPr>
          <w:rFonts w:ascii="Arial" w:cs="Arial" w:eastAsia="Arial" w:hAnsi="Arial"/>
          <w:sz w:val="14"/>
          <w:szCs w:val="14"/>
          <w:color w:val="auto"/>
        </w:rPr>
      </w:pPr>
    </w:p>
    <w:p>
      <w:pPr>
        <w:ind w:left="520" w:right="579" w:hanging="157"/>
        <w:spacing w:after="0" w:line="298" w:lineRule="auto"/>
        <w:tabs>
          <w:tab w:leader="none" w:pos="5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the description of our common stock contained in our “Description of Registrant’s Securities Registered pursuant to Section 12 of the Securities Exchange Act of 1934” filed with the SEC on February 25, 2026 as </w:t>
      </w:r>
      <w:hyperlink r:id="rId114">
        <w:r>
          <w:rPr>
            <w:rFonts w:ascii="Arial" w:cs="Arial" w:eastAsia="Arial" w:hAnsi="Arial"/>
            <w:sz w:val="12"/>
            <w:szCs w:val="12"/>
            <w:u w:val="single" w:color="auto"/>
            <w:color w:val="0000EE"/>
          </w:rPr>
          <w:t>Exhibit 4.3</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of our Annual Report on </w:t>
      </w:r>
      <w:hyperlink r:id="rId112">
        <w:r>
          <w:rPr>
            <w:rFonts w:ascii="Arial" w:cs="Arial" w:eastAsia="Arial" w:hAnsi="Arial"/>
            <w:sz w:val="12"/>
            <w:szCs w:val="12"/>
            <w:u w:val="single" w:color="auto"/>
            <w:color w:val="0000EE"/>
          </w:rPr>
          <w:t>Form 10-K</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for the year ended December 31, 2025, including any amendments or reports filed for the purposes of updating this description.</w:t>
      </w:r>
    </w:p>
    <w:p>
      <w:pPr>
        <w:spacing w:after="0" w:line="278"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4"/>
          <w:szCs w:val="14"/>
          <w:color w:val="auto"/>
        </w:rPr>
        <w:t>S-86</w:t>
      </w:r>
    </w:p>
    <w:p>
      <w:pPr>
        <w:sectPr>
          <w:pgSz w:w="11900" w:h="16838" w:orient="portrait"/>
          <w:cols w:equalWidth="0" w:num="1">
            <w:col w:w="9019"/>
          </w:cols>
          <w:pgMar w:left="1440" w:top="226" w:right="1440" w:bottom="1440" w:gutter="0" w:footer="0" w:header="0"/>
        </w:sectPr>
      </w:pPr>
    </w:p>
    <w:bookmarkStart w:id="89" w:name="page90"/>
    <w:bookmarkEnd w:id="89"/>
    <w:p>
      <w:pPr>
        <w:ind w:left="360" w:right="399"/>
        <w:spacing w:after="0" w:line="23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statement contained in this prospectus supplement and the accompanying prospectus, or in a document all or a portion of which is incorporated by reference, shall be modified or superseded for purposes of this prospectus supplement to the extent that a statement contained in this prospectus supplement and the accompanying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prospectus supplement and the accompanying prospectus.</w:t>
      </w:r>
    </w:p>
    <w:p>
      <w:pPr>
        <w:spacing w:after="0" w:line="91" w:lineRule="exact"/>
        <w:rPr>
          <w:sz w:val="20"/>
          <w:szCs w:val="20"/>
          <w:color w:val="auto"/>
        </w:rPr>
      </w:pPr>
    </w:p>
    <w:p>
      <w:pPr>
        <w:ind w:left="360" w:right="479"/>
        <w:spacing w:after="0" w:line="235" w:lineRule="auto"/>
        <w:rPr>
          <w:sz w:val="20"/>
          <w:szCs w:val="20"/>
          <w:color w:val="auto"/>
        </w:rPr>
      </w:pPr>
      <w:r>
        <w:rPr>
          <w:rFonts w:ascii="Arial" w:cs="Arial" w:eastAsia="Arial" w:hAnsi="Arial"/>
          <w:sz w:val="14"/>
          <w:szCs w:val="14"/>
          <w:color w:val="auto"/>
        </w:rPr>
        <w:t>Upon request, we will provide, without charge, to each person, including any beneficial owner, to whom a copy of this prospectus supplement and the accompanying prospectus is delivered a copy of the documents incorporated by reference into this prospectus supplement. You may request a copy of these filings, and any exhibits we have specifically incorporated by reference as an exhibit in this prospectus supplement and the accompanying prospectus, at no cost by writing or telephoning us at the following: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Revolution Medicines, Inc.</w:t>
      </w:r>
    </w:p>
    <w:p>
      <w:pPr>
        <w:jc w:val="center"/>
        <w:ind w:right="19"/>
        <w:spacing w:after="0" w:line="231" w:lineRule="auto"/>
        <w:rPr>
          <w:sz w:val="20"/>
          <w:szCs w:val="20"/>
          <w:color w:val="auto"/>
        </w:rPr>
      </w:pPr>
      <w:r>
        <w:rPr>
          <w:rFonts w:ascii="Arial" w:cs="Arial" w:eastAsia="Arial" w:hAnsi="Arial"/>
          <w:sz w:val="14"/>
          <w:szCs w:val="14"/>
          <w:color w:val="auto"/>
        </w:rPr>
        <w:t>700 Saginaw Drive</w:t>
      </w:r>
    </w:p>
    <w:p>
      <w:pPr>
        <w:jc w:val="center"/>
        <w:ind w:right="19"/>
        <w:spacing w:after="0" w:line="227" w:lineRule="auto"/>
        <w:rPr>
          <w:sz w:val="20"/>
          <w:szCs w:val="20"/>
          <w:color w:val="auto"/>
        </w:rPr>
      </w:pPr>
      <w:r>
        <w:rPr>
          <w:rFonts w:ascii="Arial" w:cs="Arial" w:eastAsia="Arial" w:hAnsi="Arial"/>
          <w:sz w:val="14"/>
          <w:szCs w:val="14"/>
          <w:color w:val="auto"/>
        </w:rPr>
        <w:t>Redwood City, California 94063</w:t>
      </w:r>
    </w:p>
    <w:p>
      <w:pPr>
        <w:jc w:val="center"/>
        <w:ind w:right="19"/>
        <w:spacing w:after="0"/>
        <w:rPr>
          <w:sz w:val="20"/>
          <w:szCs w:val="20"/>
          <w:color w:val="auto"/>
        </w:rPr>
      </w:pPr>
      <w:r>
        <w:rPr>
          <w:rFonts w:ascii="Arial" w:cs="Arial" w:eastAsia="Arial" w:hAnsi="Arial"/>
          <w:sz w:val="14"/>
          <w:szCs w:val="14"/>
          <w:color w:val="auto"/>
        </w:rPr>
        <w:t>(650) 481-6801</w:t>
      </w:r>
    </w:p>
    <w:p>
      <w:pPr>
        <w:spacing w:after="0" w:line="91" w:lineRule="exact"/>
        <w:rPr>
          <w:sz w:val="20"/>
          <w:szCs w:val="20"/>
          <w:color w:val="auto"/>
        </w:rPr>
      </w:pPr>
    </w:p>
    <w:p>
      <w:pPr>
        <w:ind w:left="360" w:right="419"/>
        <w:spacing w:after="0" w:line="235" w:lineRule="auto"/>
        <w:rPr>
          <w:sz w:val="20"/>
          <w:szCs w:val="20"/>
          <w:color w:val="auto"/>
        </w:rPr>
      </w:pPr>
      <w:r>
        <w:rPr>
          <w:rFonts w:ascii="Arial" w:cs="Arial" w:eastAsia="Arial" w:hAnsi="Arial"/>
          <w:sz w:val="14"/>
          <w:szCs w:val="14"/>
          <w:color w:val="auto"/>
        </w:rPr>
        <w:t xml:space="preserve">You may also access these documents free of charge on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or on the “Investors” page of our website at </w:t>
      </w:r>
      <w:r>
        <w:rPr>
          <w:rFonts w:ascii="Arial" w:cs="Arial" w:eastAsia="Arial" w:hAnsi="Arial"/>
          <w:sz w:val="14"/>
          <w:szCs w:val="14"/>
          <w:i w:val="1"/>
          <w:iCs w:val="1"/>
          <w:color w:val="auto"/>
        </w:rPr>
        <w:t>www.revmed.com</w:t>
      </w:r>
      <w:r>
        <w:rPr>
          <w:rFonts w:ascii="Arial" w:cs="Arial" w:eastAsia="Arial" w:hAnsi="Arial"/>
          <w:sz w:val="14"/>
          <w:szCs w:val="14"/>
          <w:color w:val="auto"/>
        </w:rPr>
        <w:t>. Other than such documents, information contained on our website is not incorporated by reference into this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supplement and the accompanying prospectus, and you should not consider any information on, or that can be accessed from, our website as part of this prospectus supplement or the accompanying prospectus.</w:t>
      </w:r>
    </w:p>
    <w:p>
      <w:pPr>
        <w:spacing w:after="0" w:line="90" w:lineRule="exact"/>
        <w:rPr>
          <w:sz w:val="20"/>
          <w:szCs w:val="20"/>
          <w:color w:val="auto"/>
        </w:rPr>
      </w:pPr>
    </w:p>
    <w:p>
      <w:pPr>
        <w:ind w:left="360" w:right="619"/>
        <w:spacing w:after="0" w:line="331" w:lineRule="auto"/>
        <w:rPr>
          <w:sz w:val="20"/>
          <w:szCs w:val="20"/>
          <w:color w:val="auto"/>
        </w:rPr>
      </w:pPr>
      <w:r>
        <w:rPr>
          <w:rFonts w:ascii="Arial" w:cs="Arial" w:eastAsia="Arial" w:hAnsi="Arial"/>
          <w:sz w:val="12"/>
          <w:szCs w:val="12"/>
          <w:color w:val="auto"/>
        </w:rPr>
        <w:t>This prospectus supplement and the accompanying prospectus are part of a registration statement we filed with the SEC. We have incorporated exhibits into this registration statement. You should read the exhibits carefully for provisions that may be important to you.</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S-87</w:t>
      </w:r>
    </w:p>
    <w:p>
      <w:pPr>
        <w:sectPr>
          <w:pgSz w:w="11900" w:h="16838" w:orient="portrait"/>
          <w:cols w:equalWidth="0" w:num="1">
            <w:col w:w="9019"/>
          </w:cols>
          <w:pgMar w:left="1440" w:top="238" w:right="1440" w:bottom="1440" w:gutter="0" w:footer="0" w:header="0"/>
        </w:sectPr>
      </w:pPr>
    </w:p>
    <w:bookmarkStart w:id="90" w:name="page91"/>
    <w:bookmarkEnd w:id="90"/>
    <w:p>
      <w:pP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Legal Matters</w:t>
      </w:r>
    </w:p>
    <w:p>
      <w:pPr>
        <w:spacing w:after="0" w:line="125" w:lineRule="exact"/>
        <w:rPr>
          <w:sz w:val="20"/>
          <w:szCs w:val="20"/>
          <w:color w:val="auto"/>
        </w:rPr>
      </w:pPr>
    </w:p>
    <w:p>
      <w:pPr>
        <w:ind w:left="360" w:right="499"/>
        <w:spacing w:after="0" w:line="235" w:lineRule="auto"/>
        <w:rPr>
          <w:sz w:val="20"/>
          <w:szCs w:val="20"/>
          <w:color w:val="auto"/>
        </w:rPr>
      </w:pPr>
      <w:r>
        <w:rPr>
          <w:rFonts w:ascii="Arial" w:cs="Arial" w:eastAsia="Arial" w:hAnsi="Arial"/>
          <w:sz w:val="14"/>
          <w:szCs w:val="14"/>
          <w:color w:val="auto"/>
        </w:rPr>
        <w:t>The validity of the issuance of our notes offered in this prospectus supplement will be passed upon for us by Latham &amp; Watkins LLP, Menlo Park, California. Davis Polk &amp; Wardwell LLP, Redwood City, California, is acting as counsel for the underwriters in connection with this offering. Certain attorneys affiliated with Latham &amp; Watkins LLP own shares of our common stock representing in the aggregate less than 1% of the outstanding shares of our common stock.</w:t>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Experts</w:t>
      </w:r>
    </w:p>
    <w:p>
      <w:pPr>
        <w:spacing w:after="0" w:line="118" w:lineRule="exact"/>
        <w:rPr>
          <w:sz w:val="20"/>
          <w:szCs w:val="20"/>
          <w:color w:val="auto"/>
        </w:rPr>
      </w:pPr>
    </w:p>
    <w:p>
      <w:pPr>
        <w:ind w:left="360" w:right="459"/>
        <w:spacing w:after="0" w:line="234" w:lineRule="auto"/>
        <w:rPr>
          <w:sz w:val="20"/>
          <w:szCs w:val="20"/>
          <w:color w:val="auto"/>
        </w:rPr>
      </w:pPr>
      <w:r>
        <w:rPr>
          <w:rFonts w:ascii="Arial" w:cs="Arial" w:eastAsia="Arial" w:hAnsi="Arial"/>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S-88</w:t>
      </w:r>
    </w:p>
    <w:p>
      <w:pPr>
        <w:sectPr>
          <w:pgSz w:w="11900" w:h="16838" w:orient="portrait"/>
          <w:cols w:equalWidth="0" w:num="1">
            <w:col w:w="9019"/>
          </w:cols>
          <w:pgMar w:left="1440" w:top="226" w:right="1440" w:bottom="1440" w:gutter="0" w:footer="0" w:header="0"/>
        </w:sectPr>
      </w:pPr>
    </w:p>
    <w:bookmarkStart w:id="91" w:name="page92"/>
    <w:bookmarkEnd w:id="91"/>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127635</wp:posOffset>
            </wp:positionV>
            <wp:extent cx="1753235" cy="541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753235"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Revolution Medicines, Inc.</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168275</wp:posOffset>
            </wp:positionV>
            <wp:extent cx="110871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right="399"/>
        <w:spacing w:after="0" w:line="262" w:lineRule="auto"/>
        <w:rPr>
          <w:sz w:val="20"/>
          <w:szCs w:val="20"/>
          <w:color w:val="auto"/>
        </w:rPr>
      </w:pPr>
      <w:r>
        <w:rPr>
          <w:rFonts w:ascii="Times New Roman" w:cs="Times New Roman" w:eastAsia="Times New Roman" w:hAnsi="Times New Roman"/>
          <w:sz w:val="14"/>
          <w:szCs w:val="14"/>
          <w:color w:val="auto"/>
        </w:rPr>
        <w:t>We may offer and sell the securities identified above from time to time in one or more offerings. This prospectus provides you with a general description of the securities.</w:t>
      </w:r>
    </w:p>
    <w:p>
      <w:pPr>
        <w:spacing w:after="0" w:line="136" w:lineRule="exact"/>
        <w:rPr>
          <w:sz w:val="20"/>
          <w:szCs w:val="20"/>
          <w:color w:val="auto"/>
        </w:rPr>
      </w:pPr>
    </w:p>
    <w:p>
      <w:pPr>
        <w:ind w:left="360" w:right="399"/>
        <w:spacing w:after="0" w:line="248"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47"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165735</wp:posOffset>
            </wp:positionV>
            <wp:extent cx="11087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1" w:lineRule="exact"/>
        <w:rPr>
          <w:sz w:val="20"/>
          <w:szCs w:val="20"/>
          <w:color w:val="auto"/>
        </w:rPr>
      </w:pPr>
    </w:p>
    <w:p>
      <w:pPr>
        <w:ind w:left="360" w:right="559"/>
        <w:spacing w:after="0" w:line="250"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5 OF THIS PROSPECTUS AND ANY SIMILAR SECTION CONTAINED IN THE APPLICABLE PROSPECTUS SUPPLEMENT CONCERNING FACTORS YOU SHOULD CONSIDER BEFORE INVESTING IN OUR SECURITIES.</w:t>
      </w:r>
    </w:p>
    <w:p>
      <w:pPr>
        <w:spacing w:after="0" w:line="136"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Our common stock and public warrants are listed on the Nasdaq Global Select Market under the symbol “RVMD” and “RVMDW,” respectively. On February 29, 2024, the last reported sale price of our common stock on the Nasdaq Global Select Market was $29.48 per share and the last reported sale price of our public warrants on the Nasdaq Global Select Market was $0.2053 per warrant.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exchange of the securities covered by the prospectus supplement and any related free writing prospectus.</w:t>
      </w:r>
    </w:p>
    <w:p>
      <w:pPr>
        <w:spacing w:after="0" w:line="143" w:lineRule="exact"/>
        <w:rPr>
          <w:sz w:val="20"/>
          <w:szCs w:val="20"/>
          <w:color w:val="auto"/>
        </w:rPr>
      </w:pPr>
    </w:p>
    <w:p>
      <w:pPr>
        <w:ind w:left="360" w:right="39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162560</wp:posOffset>
            </wp:positionV>
            <wp:extent cx="110871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4, 2024.</w:t>
      </w:r>
    </w:p>
    <w:p>
      <w:pPr>
        <w:sectPr>
          <w:pgSz w:w="11900" w:h="16838" w:orient="portrait"/>
          <w:cols w:equalWidth="0" w:num="1">
            <w:col w:w="9019"/>
          </w:cols>
          <w:pgMar w:left="1440" w:top="234" w:right="1440" w:bottom="1440" w:gutter="0" w:footer="0" w:header="0"/>
        </w:sectPr>
      </w:pPr>
    </w:p>
    <w:bookmarkStart w:id="92" w:name="page93"/>
    <w:bookmarkEnd w:id="92"/>
    <w:tbl>
      <w:tblPr>
        <w:tblLayout w:type="fixed"/>
        <w:tblInd w:w="360" w:type="dxa"/>
        <w:tblCellMar>
          <w:top w:w="0" w:type="dxa"/>
          <w:left w:w="0" w:type="dxa"/>
          <w:bottom w:w="0" w:type="dxa"/>
          <w:right w:w="0" w:type="dxa"/>
        </w:tblCellMar>
      </w:tblPr>
      <w:tr>
        <w:trPr>
          <w:trHeight w:val="179"/>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180" w:type="dxa"/>
            <w:vAlign w:val="bottom"/>
          </w:tcPr>
          <w:p>
            <w:pPr>
              <w:spacing w:after="0"/>
              <w:rPr>
                <w:sz w:val="15"/>
                <w:szCs w:val="15"/>
                <w:color w:val="auto"/>
              </w:rPr>
            </w:pPr>
          </w:p>
        </w:tc>
      </w:tr>
      <w:tr>
        <w:trPr>
          <w:trHeight w:val="315"/>
        </w:trPr>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3380" w:type="dxa"/>
            <w:vAlign w:val="bottom"/>
            <w:gridSpan w:val="4"/>
          </w:tcPr>
          <w:p>
            <w:pPr>
              <w:spacing w:after="0"/>
              <w:rPr>
                <w:sz w:val="24"/>
                <w:szCs w:val="2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2"/>
        </w:trPr>
        <w:tc>
          <w:tcPr>
            <w:tcW w:w="5060" w:type="dxa"/>
            <w:vAlign w:val="bottom"/>
            <w:tcBorders>
              <w:bottom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color w:val="0000EE"/>
                <w:w w:val="95"/>
              </w:rPr>
              <w:t>WHERE YOU CAN FIND MORE INFORMATION; INCORPORATION BY REFERENCE</w:t>
            </w: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142"/>
        </w:trPr>
        <w:tc>
          <w:tcPr>
            <w:tcW w:w="506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ABOUT THE COMPANY</w:t>
            </w: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2"/>
        </w:trPr>
        <w:tc>
          <w:tcPr>
            <w:tcW w:w="1460" w:type="dxa"/>
            <w:vAlign w:val="bottom"/>
            <w:tcBorders>
              <w:top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3600" w:type="dxa"/>
            <w:vAlign w:val="bottom"/>
            <w:gridSpan w:val="6"/>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42"/>
        </w:trPr>
        <w:tc>
          <w:tcPr>
            <w:tcW w:w="12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3860" w:type="dxa"/>
            <w:vAlign w:val="bottom"/>
            <w:gridSpan w:val="8"/>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2"/>
        </w:trPr>
        <w:tc>
          <w:tcPr>
            <w:tcW w:w="216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5"/>
              </w:rPr>
              <w:t>DESCRIPTION OF CAPITAL STOCK</w:t>
            </w:r>
          </w:p>
        </w:tc>
        <w:tc>
          <w:tcPr>
            <w:tcW w:w="2900" w:type="dxa"/>
            <w:vAlign w:val="bottom"/>
            <w:gridSpan w:val="3"/>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142"/>
        </w:trPr>
        <w:tc>
          <w:tcPr>
            <w:tcW w:w="228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2780" w:type="dxa"/>
            <w:vAlign w:val="bottom"/>
            <w:gridSpan w:val="2"/>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w:t>
            </w:r>
          </w:p>
        </w:tc>
      </w:tr>
      <w:tr>
        <w:trPr>
          <w:trHeight w:val="142"/>
        </w:trPr>
        <w:tc>
          <w:tcPr>
            <w:tcW w:w="238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OTHER SECURITIES</w:t>
            </w:r>
          </w:p>
        </w:tc>
        <w:tc>
          <w:tcPr>
            <w:tcW w:w="2680" w:type="dxa"/>
            <w:vAlign w:val="bottom"/>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w:t>
            </w:r>
          </w:p>
        </w:tc>
      </w:tr>
      <w:tr>
        <w:trPr>
          <w:trHeight w:val="142"/>
        </w:trPr>
        <w:tc>
          <w:tcPr>
            <w:tcW w:w="136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5"/>
              </w:rPr>
              <w:t>GLOBAL SECURITIES</w:t>
            </w:r>
          </w:p>
        </w:tc>
        <w:tc>
          <w:tcPr>
            <w:tcW w:w="3700" w:type="dxa"/>
            <w:vAlign w:val="bottom"/>
            <w:gridSpan w:val="7"/>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w:t>
            </w:r>
          </w:p>
        </w:tc>
      </w:tr>
      <w:tr>
        <w:trPr>
          <w:trHeight w:val="142"/>
        </w:trPr>
        <w:tc>
          <w:tcPr>
            <w:tcW w:w="506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29</w:t>
            </w:r>
          </w:p>
        </w:tc>
      </w:tr>
      <w:tr>
        <w:trPr>
          <w:trHeight w:val="142"/>
        </w:trPr>
        <w:tc>
          <w:tcPr>
            <w:tcW w:w="1100" w:type="dxa"/>
            <w:vAlign w:val="bottom"/>
            <w:tcBorders>
              <w:top w:val="single" w:sz="8" w:color="0000EE"/>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4"/>
          </w:tcPr>
          <w:p>
            <w:pPr>
              <w:spacing w:after="0"/>
              <w:rPr>
                <w:sz w:val="12"/>
                <w:szCs w:val="12"/>
                <w:color w:val="auto"/>
              </w:rPr>
            </w:pPr>
          </w:p>
        </w:tc>
        <w:tc>
          <w:tcPr>
            <w:tcW w:w="3520" w:type="dxa"/>
            <w:vAlign w:val="bottom"/>
            <w:gridSpan w:val="5"/>
          </w:tcPr>
          <w:p>
            <w:pPr>
              <w:spacing w:after="0"/>
              <w:rPr>
                <w:sz w:val="12"/>
                <w:szCs w:val="12"/>
                <w:color w:val="auto"/>
              </w:rPr>
            </w:pP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30</w:t>
            </w:r>
          </w:p>
        </w:tc>
      </w:tr>
      <w:tr>
        <w:trPr>
          <w:trHeight w:val="142"/>
        </w:trPr>
        <w:tc>
          <w:tcPr>
            <w:tcW w:w="506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31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30</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4"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ABOUT THIS PROSPECTUS</w:t>
      </w:r>
    </w:p>
    <w:p>
      <w:pPr>
        <w:spacing w:after="0" w:line="168" w:lineRule="exact"/>
        <w:rPr>
          <w:sz w:val="20"/>
          <w:szCs w:val="20"/>
          <w:color w:val="auto"/>
        </w:rPr>
      </w:pPr>
    </w:p>
    <w:p>
      <w:pPr>
        <w:ind w:left="360" w:right="419"/>
        <w:spacing w:after="0" w:line="243"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54" w:lineRule="exact"/>
        <w:rPr>
          <w:sz w:val="20"/>
          <w:szCs w:val="20"/>
          <w:color w:val="auto"/>
        </w:rPr>
      </w:pPr>
    </w:p>
    <w:p>
      <w:pPr>
        <w:ind w:left="360" w:right="379"/>
        <w:spacing w:after="0" w:line="24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3" w:lineRule="exact"/>
        <w:rPr>
          <w:sz w:val="20"/>
          <w:szCs w:val="20"/>
          <w:color w:val="auto"/>
        </w:rPr>
      </w:pPr>
    </w:p>
    <w:p>
      <w:pPr>
        <w:ind w:left="360" w:right="539"/>
        <w:spacing w:after="0" w:line="345" w:lineRule="auto"/>
        <w:rPr>
          <w:sz w:val="20"/>
          <w:szCs w:val="20"/>
          <w:color w:val="auto"/>
        </w:rPr>
      </w:pPr>
      <w:r>
        <w:rPr>
          <w:rFonts w:ascii="Times New Roman" w:cs="Times New Roman" w:eastAsia="Times New Roman" w:hAnsi="Times New Roman"/>
          <w:sz w:val="12"/>
          <w:szCs w:val="12"/>
          <w:color w:val="auto"/>
        </w:rPr>
        <w:t>When we refer to “Revolution Medicines,” “we,” “our,” “us” and the “Company” in this prospectus, we mean Revolution Medicines, Inc. and its subsidiaries taken as a whole, unless otherwise specified. When we refer to “you,” we mean the potential holders of the applicable series of securities.</w:t>
      </w:r>
    </w:p>
    <w:p>
      <w:pPr>
        <w:spacing w:after="0" w:line="90" w:lineRule="exact"/>
        <w:rPr>
          <w:sz w:val="20"/>
          <w:szCs w:val="20"/>
          <w:color w:val="auto"/>
        </w:rPr>
      </w:pPr>
    </w:p>
    <w:p>
      <w:pPr>
        <w:ind w:left="360" w:right="379"/>
        <w:spacing w:after="0" w:line="222" w:lineRule="auto"/>
        <w:rPr>
          <w:sz w:val="20"/>
          <w:szCs w:val="20"/>
          <w:color w:val="auto"/>
        </w:rPr>
      </w:pPr>
      <w:r>
        <w:rPr>
          <w:rFonts w:ascii="Times New Roman" w:cs="Times New Roman" w:eastAsia="Times New Roman" w:hAnsi="Times New Roman"/>
          <w:sz w:val="14"/>
          <w:szCs w:val="14"/>
          <w:color w:val="auto"/>
        </w:rPr>
        <w:t xml:space="preserve">This prospectus also includes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right of the applicable owner will not assert its rights to these trademarks and tradenames.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4"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WHERE YOU CAN FIND MORE INFORMATION; INCORPORATION BY REFERENCE</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7" w:lineRule="exact"/>
        <w:rPr>
          <w:sz w:val="20"/>
          <w:szCs w:val="20"/>
          <w:color w:val="auto"/>
        </w:rPr>
      </w:pPr>
    </w:p>
    <w:p>
      <w:pPr>
        <w:ind w:left="360" w:right="819"/>
        <w:spacing w:after="0" w:line="345" w:lineRule="auto"/>
        <w:rPr>
          <w:sz w:val="20"/>
          <w:szCs w:val="20"/>
          <w:color w:val="auto"/>
        </w:rPr>
      </w:pPr>
      <w:r>
        <w:rPr>
          <w:rFonts w:ascii="Times New Roman" w:cs="Times New Roman" w:eastAsia="Times New Roman" w:hAnsi="Times New Roman"/>
          <w:sz w:val="12"/>
          <w:szCs w:val="12"/>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w:t>
      </w:r>
    </w:p>
    <w:p>
      <w:pPr>
        <w:spacing w:after="0" w:line="88" w:lineRule="exact"/>
        <w:rPr>
          <w:sz w:val="20"/>
          <w:szCs w:val="20"/>
          <w:color w:val="auto"/>
        </w:rPr>
      </w:pPr>
    </w:p>
    <w:p>
      <w:pPr>
        <w:ind w:left="360" w:right="379"/>
        <w:spacing w:after="0" w:line="265"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www.revmed.com</w:t>
      </w:r>
      <w:r>
        <w:rPr>
          <w:rFonts w:ascii="Times New Roman" w:cs="Times New Roman" w:eastAsia="Times New Roman" w:hAnsi="Times New Roman"/>
          <w:sz w:val="14"/>
          <w:szCs w:val="14"/>
          <w:color w:val="auto"/>
        </w:rPr>
        <w:t>. The information on, or accessible through, our website, however, is not, and should not be deemed to be, a part of this prospectus or any prospectus supplement. We have included our website address as an inactive textual reference only.</w:t>
      </w:r>
    </w:p>
    <w:p>
      <w:pPr>
        <w:spacing w:after="0" w:line="134" w:lineRule="exact"/>
        <w:rPr>
          <w:sz w:val="20"/>
          <w:szCs w:val="20"/>
          <w:color w:val="auto"/>
        </w:rPr>
      </w:pPr>
    </w:p>
    <w:p>
      <w:pPr>
        <w:ind w:left="360" w:right="499"/>
        <w:spacing w:after="0" w:line="246"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of which this prospectus forms a part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7" w:lineRule="exact"/>
        <w:rPr>
          <w:sz w:val="20"/>
          <w:szCs w:val="20"/>
          <w:color w:val="auto"/>
        </w:rPr>
      </w:pPr>
    </w:p>
    <w:p>
      <w:pPr>
        <w:ind w:left="360" w:right="419"/>
        <w:spacing w:after="0" w:line="298" w:lineRule="auto"/>
        <w:rPr>
          <w:sz w:val="20"/>
          <w:szCs w:val="20"/>
          <w:color w:val="auto"/>
        </w:rPr>
      </w:pPr>
      <w:r>
        <w:rPr>
          <w:rFonts w:ascii="Times New Roman" w:cs="Times New Roman" w:eastAsia="Times New Roman" w:hAnsi="Times New Roman"/>
          <w:sz w:val="12"/>
          <w:szCs w:val="12"/>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18" w:lineRule="exact"/>
        <w:rPr>
          <w:sz w:val="20"/>
          <w:szCs w:val="20"/>
          <w:color w:val="auto"/>
        </w:rPr>
      </w:pPr>
    </w:p>
    <w:p>
      <w:pPr>
        <w:ind w:left="360" w:right="479"/>
        <w:spacing w:after="0" w:line="246"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Audit Committee report, performance graph or any information furnished pursuant to Items 2.02 or 7.01 of Form 8-K or related exhibits furnished pursuant to Item 9.01 of Form 8-K.</w:t>
      </w:r>
    </w:p>
    <w:p>
      <w:pPr>
        <w:spacing w:after="0" w:line="147" w:lineRule="exact"/>
        <w:rPr>
          <w:sz w:val="20"/>
          <w:szCs w:val="20"/>
          <w:color w:val="auto"/>
        </w:rPr>
      </w:pPr>
    </w:p>
    <w:p>
      <w:pPr>
        <w:ind w:left="360" w:right="539"/>
        <w:spacing w:after="0" w:line="262"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65" w:lineRule="exact"/>
        <w:rPr>
          <w:sz w:val="20"/>
          <w:szCs w:val="20"/>
          <w:color w:val="auto"/>
        </w:rPr>
      </w:pPr>
    </w:p>
    <w:p>
      <w:pPr>
        <w:ind w:left="1100" w:hanging="331"/>
        <w:spacing w:after="0"/>
        <w:tabs>
          <w:tab w:leader="none" w:pos="1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filed with the SEC on February 26, 2024;</w:t>
      </w:r>
    </w:p>
    <w:p>
      <w:pPr>
        <w:spacing w:after="0" w:line="92" w:lineRule="exact"/>
        <w:rPr>
          <w:rFonts w:ascii="Times New Roman" w:cs="Times New Roman" w:eastAsia="Times New Roman" w:hAnsi="Times New Roman"/>
          <w:sz w:val="14"/>
          <w:szCs w:val="14"/>
          <w:color w:val="auto"/>
        </w:rPr>
      </w:pPr>
    </w:p>
    <w:p>
      <w:pPr>
        <w:ind w:left="1100" w:right="459" w:hanging="331"/>
        <w:spacing w:after="0" w:line="345" w:lineRule="auto"/>
        <w:tabs>
          <w:tab w:leader="none" w:pos="11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w:t>
      </w:r>
      <w:hyperlink r:id="rId126">
        <w:r>
          <w:rPr>
            <w:rFonts w:ascii="Times New Roman" w:cs="Times New Roman" w:eastAsia="Times New Roman" w:hAnsi="Times New Roman"/>
            <w:sz w:val="12"/>
            <w:szCs w:val="12"/>
            <w:u w:val="single" w:color="auto"/>
            <w:color w:val="0000EE"/>
          </w:rPr>
          <w:t>Exhibit 4.3</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of our Annual Report on Form 10-K for the year ended December 31, 2023, filed with the SEC on February 26, 2024, including any amendment or reports filed for the purposes of updating this description.</w:t>
      </w:r>
    </w:p>
    <w:p>
      <w:pPr>
        <w:spacing w:after="0" w:line="90" w:lineRule="exact"/>
        <w:rPr>
          <w:rFonts w:ascii="Times New Roman" w:cs="Times New Roman" w:eastAsia="Times New Roman" w:hAnsi="Times New Roman"/>
          <w:sz w:val="14"/>
          <w:szCs w:val="14"/>
          <w:color w:val="auto"/>
        </w:rPr>
      </w:pPr>
    </w:p>
    <w:p>
      <w:pPr>
        <w:ind w:left="360" w:right="539"/>
        <w:spacing w:after="0" w:line="252"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9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4" w:right="1440" w:bottom="1440" w:gutter="0" w:footer="0" w:header="0"/>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You may request a free copy of any of the documents incorporated by reference in this prospectus by writing or telephoning us at the following address: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Revolution Medicines,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700 Saginaw Drive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Redwood City, California 94063</w:t>
      </w:r>
    </w:p>
    <w:p>
      <w:pPr>
        <w:spacing w:after="0" w:line="1" w:lineRule="exact"/>
        <w:rPr>
          <w:sz w:val="20"/>
          <w:szCs w:val="20"/>
          <w:color w:val="auto"/>
        </w:rPr>
      </w:pPr>
    </w:p>
    <w:p>
      <w:pPr>
        <w:ind w:left="4400" w:hanging="319"/>
        <w:spacing w:after="0"/>
        <w:tabs>
          <w:tab w:leader="none" w:pos="44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481-6801</w:t>
      </w:r>
    </w:p>
    <w:p>
      <w:pPr>
        <w:spacing w:after="0" w:line="1" w:lineRule="exact"/>
        <w:rPr>
          <w:rFonts w:ascii="Times New Roman" w:cs="Times New Roman" w:eastAsia="Times New Roman" w:hAnsi="Times New Roman"/>
          <w:sz w:val="14"/>
          <w:szCs w:val="14"/>
          <w:color w:val="auto"/>
        </w:rPr>
      </w:pPr>
    </w:p>
    <w:p>
      <w:pPr>
        <w:ind w:left="3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Attention: Investor Relations</w:t>
      </w:r>
    </w:p>
    <w:p>
      <w:pPr>
        <w:spacing w:after="0" w:line="152" w:lineRule="exact"/>
        <w:rPr>
          <w:sz w:val="20"/>
          <w:szCs w:val="20"/>
          <w:color w:val="auto"/>
        </w:rPr>
      </w:pPr>
    </w:p>
    <w:p>
      <w:pPr>
        <w:ind w:left="360" w:right="899"/>
        <w:spacing w:after="0" w:line="262"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ABOUT THE COMPANY</w:t>
      </w:r>
    </w:p>
    <w:p>
      <w:pPr>
        <w:spacing w:after="0" w:line="168" w:lineRule="exact"/>
        <w:rPr>
          <w:sz w:val="20"/>
          <w:szCs w:val="20"/>
          <w:color w:val="auto"/>
        </w:rPr>
      </w:pPr>
    </w:p>
    <w:p>
      <w:pPr>
        <w:jc w:val="both"/>
        <w:ind w:left="360" w:right="479"/>
        <w:spacing w:after="0" w:line="303" w:lineRule="auto"/>
        <w:rPr>
          <w:sz w:val="20"/>
          <w:szCs w:val="20"/>
          <w:color w:val="auto"/>
        </w:rPr>
      </w:pPr>
      <w:r>
        <w:rPr>
          <w:rFonts w:ascii="Times New Roman" w:cs="Times New Roman" w:eastAsia="Times New Roman" w:hAnsi="Times New Roman"/>
          <w:sz w:val="12"/>
          <w:szCs w:val="12"/>
          <w:color w:val="auto"/>
        </w:rPr>
        <w:t>We are a clinical-stage precision oncology company developing novel targeted therapies for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w:t>
      </w:r>
    </w:p>
    <w:p>
      <w:pPr>
        <w:spacing w:after="0" w:line="115"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RAS(ON) Inhibitors are designed to be used as monotherapy, in combination with other RAS(ON) Inhibitors and/or in combination with RAS Companion Inhibitors or other therapeutic agents. Our RAS Companion Inhibitors are designed primarily for combination treatment strategies centered on our RAS(ON) Inhibitors.</w:t>
      </w:r>
    </w:p>
    <w:p>
      <w:pPr>
        <w:spacing w:after="0" w:line="146" w:lineRule="exact"/>
        <w:rPr>
          <w:sz w:val="20"/>
          <w:szCs w:val="20"/>
          <w:color w:val="auto"/>
        </w:rPr>
      </w:pPr>
    </w:p>
    <w:p>
      <w:pPr>
        <w:ind w:left="360" w:right="559"/>
        <w:spacing w:after="0" w:line="248" w:lineRule="auto"/>
        <w:rPr>
          <w:sz w:val="20"/>
          <w:szCs w:val="20"/>
          <w:color w:val="auto"/>
        </w:rPr>
      </w:pPr>
      <w:r>
        <w:rPr>
          <w:rFonts w:ascii="Times New Roman" w:cs="Times New Roman" w:eastAsia="Times New Roman" w:hAnsi="Times New Roman"/>
          <w:sz w:val="14"/>
          <w:szCs w:val="14"/>
          <w:color w:val="auto"/>
        </w:rPr>
        <w:t xml:space="preserve">We were founded in October 2014 as a Delaware corporation. Our principal executive offices are located at 700 Saginaw Drive, Redwood City, California 94063, and our telephone number is (650) 481-6801. Our website address is </w:t>
      </w:r>
      <w:r>
        <w:rPr>
          <w:rFonts w:ascii="Times New Roman" w:cs="Times New Roman" w:eastAsia="Times New Roman" w:hAnsi="Times New Roman"/>
          <w:sz w:val="14"/>
          <w:szCs w:val="14"/>
          <w:i w:val="1"/>
          <w:iCs w:val="1"/>
          <w:color w:val="auto"/>
        </w:rPr>
        <w:t>www.revmed.com</w:t>
      </w:r>
      <w:r>
        <w:rPr>
          <w:rFonts w:ascii="Times New Roman" w:cs="Times New Roman" w:eastAsia="Times New Roman" w:hAnsi="Times New Roman"/>
          <w:sz w:val="14"/>
          <w:szCs w:val="14"/>
          <w:color w:val="auto"/>
        </w:rPr>
        <w:t>. The information on, or that can be accessed through, our website is not part of this prospectus and is not incorporated by reference herein. We have included our website address as an inactive textual reference only.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4"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RISK FACTORS</w:t>
      </w:r>
    </w:p>
    <w:p>
      <w:pPr>
        <w:spacing w:after="0" w:line="168" w:lineRule="exact"/>
        <w:rPr>
          <w:sz w:val="20"/>
          <w:szCs w:val="20"/>
          <w:color w:val="auto"/>
        </w:rPr>
      </w:pPr>
    </w:p>
    <w:p>
      <w:pPr>
        <w:ind w:left="360" w:right="479"/>
        <w:spacing w:after="0" w:line="246"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4"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USE OF PROCEEDS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We intend to use the net proceeds from the sale of the securities as set forth in the applicable prospectus supplement.</w:t>
      </w:r>
    </w:p>
    <w:p>
      <w:pPr>
        <w:spacing w:after="0" w:line="1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4"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CAPITAL STOCK</w:t>
      </w:r>
    </w:p>
    <w:p>
      <w:pPr>
        <w:spacing w:after="0" w:line="166" w:lineRule="exact"/>
        <w:rPr>
          <w:sz w:val="20"/>
          <w:szCs w:val="20"/>
          <w:color w:val="auto"/>
        </w:rPr>
      </w:pPr>
    </w:p>
    <w:p>
      <w:pPr>
        <w:ind w:left="360" w:right="419"/>
        <w:spacing w:after="0" w:line="245" w:lineRule="auto"/>
        <w:rPr>
          <w:sz w:val="20"/>
          <w:szCs w:val="20"/>
          <w:color w:val="auto"/>
        </w:rPr>
      </w:pPr>
      <w:r>
        <w:rPr>
          <w:rFonts w:ascii="Times New Roman" w:cs="Times New Roman" w:eastAsia="Times New Roman" w:hAnsi="Times New Roman"/>
          <w:sz w:val="14"/>
          <w:szCs w:val="14"/>
          <w:i w:val="1"/>
          <w:iCs w:val="1"/>
          <w:color w:val="auto"/>
        </w:rPr>
        <w:t>The following summary describes our capital stock and is a summary and does not purport to be complete. It is subject to and qualified in its entirety by reference to our amended and restated certificate of incorporation; our amended and restated bylaws; our amended and restated investors’ rights agreement to which we and certain of our stockholders are parties; the warrant-related documents described herein and the earn-out related documents described herein, each of which are incorporated by reference as exhibits to the registration statement of which this prospectus forms a part, and by applicable law. We encourage you to read our amended and restated certificate of incorporation; our amended and restated bylaws; our amended and restated investors’ rights agreement; the warrant-related documents described herein; the earn-out related documents described herein and the applicable provisions of Delaware law for more information.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360" w:right="679"/>
        <w:spacing w:after="0" w:line="262" w:lineRule="auto"/>
        <w:rPr>
          <w:sz w:val="20"/>
          <w:szCs w:val="20"/>
          <w:color w:val="auto"/>
        </w:rPr>
      </w:pPr>
      <w:r>
        <w:rPr>
          <w:rFonts w:ascii="Times New Roman" w:cs="Times New Roman" w:eastAsia="Times New Roman" w:hAnsi="Times New Roman"/>
          <w:sz w:val="14"/>
          <w:szCs w:val="14"/>
          <w:color w:val="auto"/>
        </w:rPr>
        <w:t>Our authorized capital stock consists of 310,000,000 shares, consisting of 300,000,000 shares of common stock, $0.0001 par value, and 10,000,000 shares of preferred stock, $0.0001 par value.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87" w:lineRule="exact"/>
        <w:rPr>
          <w:sz w:val="20"/>
          <w:szCs w:val="20"/>
          <w:color w:val="auto"/>
        </w:rPr>
      </w:pPr>
    </w:p>
    <w:p>
      <w:pPr>
        <w:ind w:left="360" w:right="459"/>
        <w:spacing w:after="0" w:line="247" w:lineRule="auto"/>
        <w:rPr>
          <w:sz w:val="20"/>
          <w:szCs w:val="20"/>
          <w:color w:val="auto"/>
        </w:rPr>
      </w:pPr>
      <w:r>
        <w:rPr>
          <w:rFonts w:ascii="Times New Roman" w:cs="Times New Roman" w:eastAsia="Times New Roman" w:hAnsi="Times New Roman"/>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87" w:lineRule="exact"/>
        <w:rPr>
          <w:sz w:val="20"/>
          <w:szCs w:val="20"/>
          <w:color w:val="auto"/>
        </w:rPr>
      </w:pPr>
    </w:p>
    <w:p>
      <w:pPr>
        <w:ind w:left="360" w:right="479"/>
        <w:spacing w:after="0" w:line="262"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87" w:lineRule="exact"/>
        <w:rPr>
          <w:sz w:val="20"/>
          <w:szCs w:val="20"/>
          <w:color w:val="auto"/>
        </w:rPr>
      </w:pPr>
    </w:p>
    <w:p>
      <w:pPr>
        <w:ind w:left="360" w:right="419"/>
        <w:spacing w:after="0" w:line="252"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87" w:lineRule="exact"/>
        <w:rPr>
          <w:sz w:val="20"/>
          <w:szCs w:val="20"/>
          <w:color w:val="auto"/>
        </w:rPr>
      </w:pPr>
    </w:p>
    <w:p>
      <w:pPr>
        <w:ind w:left="360" w:right="419"/>
        <w:spacing w:after="0" w:line="252" w:lineRule="auto"/>
        <w:rPr>
          <w:sz w:val="20"/>
          <w:szCs w:val="20"/>
          <w:color w:val="auto"/>
        </w:rPr>
      </w:pPr>
      <w:r>
        <w:rPr>
          <w:rFonts w:ascii="Times New Roman" w:cs="Times New Roman" w:eastAsia="Times New Roman" w:hAnsi="Times New Roman"/>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All of our outstanding shares of common stock are fully paid and nonassessable.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4" w:right="1440" w:bottom="1440" w:gutter="0" w:footer="0" w:header="0"/>
        </w:sectPr>
      </w:pPr>
    </w:p>
    <w:bookmarkStart w:id="100" w:name="page101"/>
    <w:bookmarkEnd w:id="100"/>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Warrants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87" w:lineRule="exact"/>
        <w:rPr>
          <w:sz w:val="20"/>
          <w:szCs w:val="20"/>
          <w:color w:val="auto"/>
        </w:rPr>
      </w:pPr>
    </w:p>
    <w:p>
      <w:pPr>
        <w:ind w:left="360" w:right="439"/>
        <w:spacing w:after="0" w:line="246" w:lineRule="auto"/>
        <w:rPr>
          <w:sz w:val="20"/>
          <w:szCs w:val="20"/>
          <w:color w:val="auto"/>
        </w:rPr>
      </w:pPr>
      <w:r>
        <w:rPr>
          <w:rFonts w:ascii="Times New Roman" w:cs="Times New Roman" w:eastAsia="Times New Roman" w:hAnsi="Times New Roman"/>
          <w:sz w:val="14"/>
          <w:szCs w:val="14"/>
          <w:color w:val="auto"/>
        </w:rPr>
        <w:t>Each of our public warrants entitles the registered holder thereof to purchase 0.1112 shares of our common stock at an exercise price of $11.50 per such fractional share, subject to adjustment as discussed below. Pursuant to that certain Warrant Agreement, dated April 6, 2021, between EQRx, Inc. (“EQRx”) and Continental Stock Transfer &amp; Trust Company (the “Warrant Agreement”), a warrant holder may exercise its public warrants only for a whole number of shares of common stock. If, upon exercise of the public warrants, a holder would be entitled to receive a fractional interest in a share, we will, upon exercise, round down to the nearest whole number the number of shares of common stock to be issued to the warrant holder. The public warrants expire December 17, 2026, at 5:00 p.m., New York City time, or earlier upon redemption or liquidation.</w:t>
      </w:r>
    </w:p>
    <w:p>
      <w:pPr>
        <w:spacing w:after="0" w:line="147" w:lineRule="exact"/>
        <w:rPr>
          <w:sz w:val="20"/>
          <w:szCs w:val="20"/>
          <w:color w:val="auto"/>
        </w:rPr>
      </w:pPr>
    </w:p>
    <w:p>
      <w:pPr>
        <w:ind w:left="360" w:right="419"/>
        <w:spacing w:after="0" w:line="244" w:lineRule="auto"/>
        <w:rPr>
          <w:sz w:val="20"/>
          <w:szCs w:val="20"/>
          <w:color w:val="auto"/>
        </w:rPr>
      </w:pPr>
      <w:r>
        <w:rPr>
          <w:rFonts w:ascii="Times New Roman" w:cs="Times New Roman" w:eastAsia="Times New Roman" w:hAnsi="Times New Roman"/>
          <w:sz w:val="14"/>
          <w:szCs w:val="14"/>
          <w:color w:val="auto"/>
        </w:rPr>
        <w:t>We are not obligated to deliver any shares of common stock pursuant to the exercise of a public warrant and have no obligation to settle such public warrant exercise unless a registration statement under the Securities Act of 1933, as amended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public warrant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52" w:lineRule="exact"/>
        <w:rPr>
          <w:sz w:val="20"/>
          <w:szCs w:val="20"/>
          <w:color w:val="auto"/>
        </w:rPr>
      </w:pPr>
    </w:p>
    <w:p>
      <w:pPr>
        <w:ind w:left="360" w:right="479"/>
        <w:spacing w:after="0" w:line="246" w:lineRule="auto"/>
        <w:rPr>
          <w:sz w:val="20"/>
          <w:szCs w:val="20"/>
          <w:color w:val="auto"/>
        </w:rPr>
      </w:pPr>
      <w:r>
        <w:rPr>
          <w:rFonts w:ascii="Times New Roman" w:cs="Times New Roman" w:eastAsia="Times New Roman" w:hAnsi="Times New Roman"/>
          <w:sz w:val="14"/>
          <w:szCs w:val="14"/>
          <w:color w:val="auto"/>
        </w:rPr>
        <w:t>During any period when we have failed to maintain an effective registration statement covering the shares of common stock issuable upon exercise of the public warrants, warrant holders have the right to exercise public warrants on a “cashless basis”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(or any successor rule).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 xml:space="preserve">Redemption of Warrants When the Price per Share of Common Stock Equals or Exceeds $161.87 </w:t>
      </w:r>
      <w:r>
        <w:rPr>
          <w:rFonts w:ascii="Times New Roman" w:cs="Times New Roman" w:eastAsia="Times New Roman" w:hAnsi="Times New Roman"/>
          <w:sz w:val="12"/>
          <w:szCs w:val="12"/>
          <w:color w:val="auto"/>
        </w:rPr>
        <w:t>— We may redeem the outstanding public warrants:</w:t>
      </w:r>
    </w:p>
    <w:p>
      <w:pPr>
        <w:spacing w:after="0" w:line="118" w:lineRule="exact"/>
        <w:rPr>
          <w:sz w:val="20"/>
          <w:szCs w:val="20"/>
          <w:color w:val="auto"/>
        </w:rPr>
      </w:pPr>
    </w:p>
    <w:p>
      <w:pPr>
        <w:ind w:left="1100" w:hanging="331"/>
        <w:spacing w:after="0"/>
        <w:tabs>
          <w:tab w:leader="none" w:pos="1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public warrant;</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 and</w:t>
      </w:r>
    </w:p>
    <w:p>
      <w:pPr>
        <w:spacing w:after="0" w:line="92" w:lineRule="exact"/>
        <w:rPr>
          <w:rFonts w:ascii="Times New Roman" w:cs="Times New Roman" w:eastAsia="Times New Roman" w:hAnsi="Times New Roman"/>
          <w:sz w:val="14"/>
          <w:szCs w:val="14"/>
          <w:color w:val="auto"/>
        </w:rPr>
      </w:pPr>
    </w:p>
    <w:p>
      <w:pPr>
        <w:ind w:left="1100" w:right="579" w:hanging="331"/>
        <w:spacing w:after="0" w:line="262" w:lineRule="auto"/>
        <w:tabs>
          <w:tab w:leader="none" w:pos="1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common stock equals or exceeds $161.87 per share (as adjusted) for any 20 trading days within a 30-trading day period ending three trading days before sending the notice of redemption to warrant holders.</w:t>
      </w:r>
    </w:p>
    <w:p>
      <w:pPr>
        <w:spacing w:after="0" w:line="136" w:lineRule="exact"/>
        <w:rPr>
          <w:sz w:val="20"/>
          <w:szCs w:val="20"/>
          <w:color w:val="auto"/>
        </w:rPr>
      </w:pPr>
    </w:p>
    <w:p>
      <w:pPr>
        <w:ind w:left="360" w:right="559"/>
        <w:spacing w:after="0" w:line="262" w:lineRule="auto"/>
        <w:rPr>
          <w:sz w:val="20"/>
          <w:szCs w:val="20"/>
          <w:color w:val="auto"/>
        </w:rPr>
      </w:pPr>
      <w:r>
        <w:rPr>
          <w:rFonts w:ascii="Times New Roman" w:cs="Times New Roman" w:eastAsia="Times New Roman" w:hAnsi="Times New Roman"/>
          <w:sz w:val="14"/>
          <w:szCs w:val="14"/>
          <w:color w:val="auto"/>
        </w:rPr>
        <w:t>If and when the public warrants become redeemable, we may exercise our redemption right even if we are unable to register or qualify the underlying securities for sale under all applicable state securities laws.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 xml:space="preserve">Redemption of Warrants When the Price per Share of Common Stock Equals or Exceeds $89.93 </w:t>
      </w:r>
      <w:r>
        <w:rPr>
          <w:rFonts w:ascii="Times New Roman" w:cs="Times New Roman" w:eastAsia="Times New Roman" w:hAnsi="Times New Roman"/>
          <w:sz w:val="12"/>
          <w:szCs w:val="12"/>
          <w:color w:val="auto"/>
        </w:rPr>
        <w:t>— We may redeem the outstanding public warrants:</w:t>
      </w:r>
    </w:p>
    <w:p>
      <w:pPr>
        <w:spacing w:after="0" w:line="118" w:lineRule="exact"/>
        <w:rPr>
          <w:sz w:val="20"/>
          <w:szCs w:val="20"/>
          <w:color w:val="auto"/>
        </w:rPr>
      </w:pPr>
    </w:p>
    <w:p>
      <w:pPr>
        <w:ind w:left="1100" w:hanging="331"/>
        <w:spacing w:after="0"/>
        <w:tabs>
          <w:tab w:leader="none" w:pos="1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92" w:lineRule="exact"/>
        <w:rPr>
          <w:rFonts w:ascii="Times New Roman" w:cs="Times New Roman" w:eastAsia="Times New Roman" w:hAnsi="Times New Roman"/>
          <w:sz w:val="14"/>
          <w:szCs w:val="14"/>
          <w:color w:val="auto"/>
        </w:rPr>
      </w:pPr>
    </w:p>
    <w:p>
      <w:pPr>
        <w:jc w:val="both"/>
        <w:ind w:left="1100" w:right="519" w:hanging="331"/>
        <w:spacing w:after="0" w:line="252" w:lineRule="auto"/>
        <w:tabs>
          <w:tab w:leader="none" w:pos="1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$0.10 per public warrant upon a minimum of 30 days’ prior written notice of redemption provided that holders will be able to exercise their public warrants on a cashless basis prior to redemption and receive that number of shares based on the redemption date and the fair market value of our common stock;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4" w:right="1440" w:bottom="1440" w:gutter="0" w:footer="0" w:header="0"/>
        </w:sectPr>
      </w:pPr>
    </w:p>
    <w:bookmarkStart w:id="101" w:name="page102"/>
    <w:bookmarkEnd w:id="101"/>
    <w:p>
      <w:pPr>
        <w:ind w:left="1100" w:right="539" w:hanging="331"/>
        <w:spacing w:after="0" w:line="262" w:lineRule="auto"/>
        <w:tabs>
          <w:tab w:leader="none" w:pos="1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if, and only if, the closing price of our common stock equals or exceeds $89.93 per share (as adjusted) for any 20 trading days within the 30-trading day period ending three trading days before we send the notice of redemption to the warrant holders; and</w:t>
      </w:r>
    </w:p>
    <w:p>
      <w:pPr>
        <w:spacing w:after="0" w:line="64" w:lineRule="exact"/>
        <w:rPr>
          <w:rFonts w:ascii="Times New Roman" w:cs="Times New Roman" w:eastAsia="Times New Roman" w:hAnsi="Times New Roman"/>
          <w:sz w:val="14"/>
          <w:szCs w:val="14"/>
          <w:color w:val="auto"/>
        </w:rPr>
      </w:pPr>
    </w:p>
    <w:p>
      <w:pPr>
        <w:jc w:val="both"/>
        <w:ind w:left="1100" w:right="499" w:hanging="331"/>
        <w:spacing w:after="0" w:line="252" w:lineRule="auto"/>
        <w:tabs>
          <w:tab w:leader="none" w:pos="1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closing price of our common stock for any 20 trading days within a 30-trading day period ending three trading days before we send notice of redemption to the warrant holders is less than $161.87 per share (as adjusted), the private warrants (as defined below) must also be concurrently called for redemption on the same terms as the outstanding public warrants, as described above.</w:t>
      </w:r>
    </w:p>
    <w:p>
      <w:pPr>
        <w:spacing w:after="0" w:line="142" w:lineRule="exact"/>
        <w:rPr>
          <w:sz w:val="20"/>
          <w:szCs w:val="20"/>
          <w:color w:val="auto"/>
        </w:rPr>
      </w:pPr>
    </w:p>
    <w:p>
      <w:pPr>
        <w:ind w:left="360" w:right="459"/>
        <w:spacing w:after="0" w:line="252" w:lineRule="auto"/>
        <w:rPr>
          <w:sz w:val="20"/>
          <w:szCs w:val="20"/>
          <w:color w:val="auto"/>
        </w:rPr>
      </w:pPr>
      <w:r>
        <w:rPr>
          <w:rFonts w:ascii="Times New Roman" w:cs="Times New Roman" w:eastAsia="Times New Roman" w:hAnsi="Times New Roman"/>
          <w:sz w:val="14"/>
          <w:szCs w:val="14"/>
          <w:color w:val="auto"/>
        </w:rPr>
        <w:t>If the foregoing conditions are satisfied, and we issue a notice of redemption of the public warrants, each warrant holder will be entitled to exercise its public warrant prior to the scheduled redemption date. However, the price of our common stock may fall below the $161.87 redemption trigger price as well as the warrant exercise price after the redemption notice is issued.</w:t>
      </w:r>
    </w:p>
    <w:p>
      <w:pPr>
        <w:spacing w:after="0" w:line="140" w:lineRule="exact"/>
        <w:rPr>
          <w:sz w:val="20"/>
          <w:szCs w:val="20"/>
          <w:color w:val="auto"/>
        </w:rPr>
      </w:pPr>
    </w:p>
    <w:p>
      <w:pPr>
        <w:ind w:left="360" w:right="419"/>
        <w:spacing w:after="0" w:line="244" w:lineRule="auto"/>
        <w:rPr>
          <w:sz w:val="20"/>
          <w:szCs w:val="20"/>
          <w:color w:val="auto"/>
        </w:rPr>
      </w:pPr>
      <w:r>
        <w:rPr>
          <w:rFonts w:ascii="Times New Roman" w:cs="Times New Roman" w:eastAsia="Times New Roman" w:hAnsi="Times New Roman"/>
          <w:sz w:val="14"/>
          <w:szCs w:val="14"/>
          <w:i w:val="1"/>
          <w:iCs w:val="1"/>
          <w:color w:val="auto"/>
        </w:rPr>
        <w:t>Redemption Procedures and Cashless Exercise</w:t>
      </w:r>
      <w:r>
        <w:rPr>
          <w:rFonts w:ascii="Times New Roman" w:cs="Times New Roman" w:eastAsia="Times New Roman" w:hAnsi="Times New Roman"/>
          <w:sz w:val="14"/>
          <w:szCs w:val="14"/>
          <w:color w:val="auto"/>
        </w:rPr>
        <w:t>. If we call the public warrants for redemption as described above, our management will have the option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require any holder that wishes to exercise its public warrant to do so on a “cashless basis.” In determining whether to require all holders to exercise their public warrants on a “cashless basis,” our management will consider, among other factors, its cash position, the number of public warrants that are outstanding and the dilutive effect on our stockholders of issuing the maximum number of shares of common stock issuable upon the exercise of the public warrants. If our management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means the average reported last sale price of our common stock for the ten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w:t>
      </w:r>
    </w:p>
    <w:p>
      <w:pPr>
        <w:spacing w:after="0" w:line="149" w:lineRule="exact"/>
        <w:rPr>
          <w:sz w:val="20"/>
          <w:szCs w:val="20"/>
          <w:color w:val="auto"/>
        </w:rPr>
      </w:pPr>
    </w:p>
    <w:p>
      <w:pPr>
        <w:ind w:left="360" w:right="419"/>
        <w:spacing w:after="0" w:line="248"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w:t>
      </w:r>
    </w:p>
    <w:p>
      <w:pPr>
        <w:spacing w:after="0" w:line="145" w:lineRule="exact"/>
        <w:rPr>
          <w:sz w:val="20"/>
          <w:szCs w:val="20"/>
          <w:color w:val="auto"/>
        </w:rPr>
      </w:pPr>
    </w:p>
    <w:p>
      <w:pPr>
        <w:ind w:left="360" w:right="379"/>
        <w:spacing w:after="0" w:line="285" w:lineRule="auto"/>
        <w:rPr>
          <w:sz w:val="20"/>
          <w:szCs w:val="20"/>
          <w:color w:val="auto"/>
        </w:rPr>
      </w:pPr>
      <w:r>
        <w:rPr>
          <w:rFonts w:ascii="Times New Roman" w:cs="Times New Roman" w:eastAsia="Times New Roman" w:hAnsi="Times New Roman"/>
          <w:sz w:val="12"/>
          <w:szCs w:val="12"/>
          <w:i w:val="1"/>
          <w:iCs w:val="1"/>
          <w:color w:val="auto"/>
        </w:rPr>
        <w:t>Anti-dilution Adjustments</w:t>
      </w:r>
      <w:r>
        <w:rPr>
          <w:rFonts w:ascii="Times New Roman" w:cs="Times New Roman" w:eastAsia="Times New Roman" w:hAnsi="Times New Roman"/>
          <w:sz w:val="12"/>
          <w:szCs w:val="12"/>
          <w:color w:val="auto"/>
        </w:rPr>
        <w:t>. If the number of outstanding shares of common stock is increased by a stock dividend payable in shares of common stock,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(defined below)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w:t>
      </w:r>
    </w:p>
    <w:p>
      <w:pPr>
        <w:spacing w:after="0" w:line="4" w:lineRule="exact"/>
        <w:rPr>
          <w:sz w:val="20"/>
          <w:szCs w:val="20"/>
          <w:color w:val="auto"/>
        </w:rPr>
      </w:pPr>
    </w:p>
    <w:p>
      <w:pPr>
        <w:ind w:left="360" w:right="479" w:firstLine="3"/>
        <w:spacing w:after="0" w:line="242" w:lineRule="auto"/>
        <w:tabs>
          <w:tab w:leader="none" w:pos="55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the “fair market value” means the volume weighted average price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102" w:name="page103"/>
    <w:bookmarkEnd w:id="102"/>
    <w:p>
      <w:pPr>
        <w:ind w:left="360" w:right="4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as determined by our board of directors in good faith of any securities or other assets paid on each share of common stock in respect of such event.</w:t>
      </w:r>
    </w:p>
    <w:p>
      <w:pPr>
        <w:spacing w:after="0" w:line="146" w:lineRule="exact"/>
        <w:rPr>
          <w:sz w:val="20"/>
          <w:szCs w:val="20"/>
          <w:color w:val="auto"/>
        </w:rPr>
      </w:pPr>
    </w:p>
    <w:p>
      <w:pPr>
        <w:jc w:val="both"/>
        <w:ind w:left="360" w:right="379"/>
        <w:spacing w:after="0" w:line="248"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47" w:lineRule="exact"/>
        <w:rPr>
          <w:sz w:val="20"/>
          <w:szCs w:val="20"/>
          <w:color w:val="auto"/>
        </w:rPr>
      </w:pPr>
    </w:p>
    <w:p>
      <w:pPr>
        <w:ind w:left="360" w:right="499"/>
        <w:spacing w:after="0" w:line="303" w:lineRule="auto"/>
        <w:rPr>
          <w:sz w:val="20"/>
          <w:szCs w:val="20"/>
          <w:color w:val="auto"/>
        </w:rPr>
      </w:pPr>
      <w:r>
        <w:rPr>
          <w:rFonts w:ascii="Times New Roman" w:cs="Times New Roman" w:eastAsia="Times New Roman" w:hAnsi="Times New Roman"/>
          <w:sz w:val="12"/>
          <w:szCs w:val="12"/>
          <w:color w:val="auto"/>
        </w:rPr>
        <w:t>Whenever the number of shares of common stock purchasable upon the exercise of the warrants is adjusted, as described above, the public warrant exercise price will be adjusted (to the nearest cent)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15" w:lineRule="exact"/>
        <w:rPr>
          <w:sz w:val="20"/>
          <w:szCs w:val="20"/>
          <w:color w:val="auto"/>
        </w:rPr>
      </w:pPr>
    </w:p>
    <w:p>
      <w:pPr>
        <w:ind w:left="360" w:right="399"/>
        <w:spacing w:after="0" w:line="285" w:lineRule="auto"/>
        <w:rPr>
          <w:sz w:val="20"/>
          <w:szCs w:val="20"/>
          <w:color w:val="auto"/>
        </w:rPr>
      </w:pPr>
      <w:r>
        <w:rPr>
          <w:rFonts w:ascii="Times New Roman" w:cs="Times New Roman" w:eastAsia="Times New Roman" w:hAnsi="Times New Roman"/>
          <w:sz w:val="12"/>
          <w:szCs w:val="12"/>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the outstanding shares of our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us in connection with redemption rights held by our stockholders)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103" w:name="page104"/>
    <w:bookmarkEnd w:id="103"/>
    <w:p>
      <w:pPr>
        <w:jc w:val="both"/>
        <w:ind w:left="360" w:right="4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the consummation of such applicable event by us pursuant to a Current Report on Form 8-K filed with the SEC, the public warrant exercise price will be reduced as specified in the Warrant Agreement based on the per share consideration minus the Black-Scholes warrant value (as defined in the Warrant Agreement) of the public warrant.</w:t>
      </w:r>
    </w:p>
    <w:p>
      <w:pPr>
        <w:spacing w:after="0" w:line="146" w:lineRule="exact"/>
        <w:rPr>
          <w:sz w:val="20"/>
          <w:szCs w:val="20"/>
          <w:color w:val="auto"/>
        </w:rPr>
      </w:pPr>
    </w:p>
    <w:p>
      <w:pPr>
        <w:ind w:left="360" w:right="399"/>
        <w:spacing w:after="0" w:line="292" w:lineRule="auto"/>
        <w:rPr>
          <w:sz w:val="20"/>
          <w:szCs w:val="20"/>
          <w:color w:val="auto"/>
        </w:rPr>
      </w:pPr>
      <w:r>
        <w:rPr>
          <w:rFonts w:ascii="Times New Roman" w:cs="Times New Roman" w:eastAsia="Times New Roman" w:hAnsi="Times New Roman"/>
          <w:sz w:val="12"/>
          <w:szCs w:val="12"/>
          <w:color w:val="auto"/>
        </w:rPr>
        <w:t>The public warrants were issued in registered form under the Warrant Agreement between Continental Stock Transfer &amp; Trust Company, as warrant agent, and EQRx. On November 9, 2023, the public warrants became securities of the Company, and Equiniti Trust Company, LLC became the warrant agent. You should review a copy of the Warrant Agreement and the Appointment, Assignment and Assumption Agreement, dated November 9, 2023, by and among the Company, EQRx, Continental Stock Transfer &amp; Trust Company and Equiniti Trust Company, LLC, each of which is incorporated by reference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vote or written consent by the holders of at least 50% of the then-outstanding public warrants to make any change that adversely affects the interests of the registered holders of public warrants.</w:t>
      </w:r>
    </w:p>
    <w:p>
      <w:pPr>
        <w:spacing w:after="0" w:line="286" w:lineRule="exact"/>
        <w:rPr>
          <w:sz w:val="20"/>
          <w:szCs w:val="20"/>
          <w:color w:val="auto"/>
        </w:rPr>
      </w:pPr>
    </w:p>
    <w:p>
      <w:pPr>
        <w:ind w:left="360" w:right="399"/>
        <w:spacing w:after="0" w:line="295" w:lineRule="auto"/>
        <w:rPr>
          <w:sz w:val="20"/>
          <w:szCs w:val="20"/>
          <w:color w:val="auto"/>
        </w:rPr>
      </w:pPr>
      <w:r>
        <w:rPr>
          <w:rFonts w:ascii="Times New Roman" w:cs="Times New Roman" w:eastAsia="Times New Roman" w:hAnsi="Times New Roman"/>
          <w:sz w:val="12"/>
          <w:szCs w:val="12"/>
          <w:color w:val="auto"/>
        </w:rPr>
        <w:t>The public warrants may be exercised upon surrender of the warrant certificate on or prior to the expiration date at the offices of the warrant agent (which is currently Equiniti Trust Company, LLC), with the exercise form on the reverse side of the warrant certificate completed and executed as indicated, accompanied by full payment of the exercise price (or on a cashless basis, if applicable), by good certified check, good bank draft or by wire of immediately available funds, for the number of public warrants being exercised. The warrant holders do not have the rights or privileges of holders of common stock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w:t>
      </w:r>
    </w:p>
    <w:p>
      <w:pPr>
        <w:spacing w:after="0" w:line="87" w:lineRule="exact"/>
        <w:rPr>
          <w:sz w:val="20"/>
          <w:szCs w:val="20"/>
          <w:color w:val="auto"/>
        </w:rPr>
      </w:pPr>
    </w:p>
    <w:p>
      <w:pPr>
        <w:ind w:left="360" w:right="419"/>
        <w:spacing w:after="0" w:line="244" w:lineRule="auto"/>
        <w:rPr>
          <w:sz w:val="20"/>
          <w:szCs w:val="20"/>
          <w:color w:val="auto"/>
        </w:rPr>
      </w:pPr>
      <w:r>
        <w:rPr>
          <w:rFonts w:ascii="Times New Roman" w:cs="Times New Roman" w:eastAsia="Times New Roman" w:hAnsi="Times New Roman"/>
          <w:sz w:val="14"/>
          <w:szCs w:val="14"/>
          <w:color w:val="auto"/>
        </w:rPr>
        <w:t>Each of our private warrants entitles the registered holder thereof to purchase 0.1112 shares of our common stock at an exercise price of $11.50 per such fractional share, subject to adjustment. If, upon exercise of the private warrants, a holder would be entitled to receive a fractional interest in a share, we will, upon exercise, round down to the nearest whole number the number of shares of common stock to be issued to the warrant holder. The terms of the private warrants are substantially the same as to the public warrants; provided, that, except as described above in the discussion of the redemption of public warrants when the price per share of our common stock equals or exceeds $89.93, the private warrants are exercisable on a cashless basis and are non-redeemable for cash so long as they are held by the initial purchasers or their permitted transferees. If the private warrants are held by someone other than the initial purchasers or their permitted transferees, the private warrants are redeemable by the Company and exercisable by such holders on the same basis as the public warrants.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Earn-Out Shares</w:t>
      </w:r>
    </w:p>
    <w:p>
      <w:pPr>
        <w:spacing w:after="0" w:line="87"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There are 5,560,000 earn-out shares (the “Earn-Out Shares”) of common stock outstanding and held in escrow that may become tradeable upon the achievement of certain stock price-based vesting conditions in accordance with the terms of the Agreement and Plan of Merger dated August 5, 2021, by and among EQRx, Inc. (f/k/a CM Life Sciences III Inc.), Clover III Merger Sub Inc. and EQRx International, Inc. (f/k/a EQRx, Inc.) and certain ancillary agreements related to the Earn-Out Shares; however, persons with rights to approximately 82% of the Earn-Out Shares have signed and delivered waiver and release agreements to us pursuant to which, among other things, they have waived their respective rights to receive any such Earn-Out Shares to which they may have been entitled upon the occurrence of any vesting condition described below.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104" w:name="page105"/>
    <w:bookmarkEnd w:id="104"/>
    <w:p>
      <w:pPr>
        <w:ind w:left="360" w:right="379"/>
        <w:spacing w:after="0" w:line="29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Seventy percent of the Earn-Out Shares will vest and be released from escrow (if ever) on the date on which the closing price of our common stock equals or exceeds $112.41 on any 20 trading days in any 30 consecutive trading-day period, and the remaining 30% of the Earn-Out Shares will vest and be released from escrow (if ever) on the date on which the closing price of our common stock equals or exceeds $148.38 on any 20 trading days in any 30 consecutive trading-day period, in each case provided such vesting occurs prior to December 17, 2024, provided, that, in the event that certain change in control events occur prior to December 17, 2024 pursuant to which we or any of our stockholders have the right to receive, directly or indirectly, cash, securities or other property attributing a value of at least $112.41 (with respect to 70% of the Earn-Out Shares) or $148.38 (with respect to the remaining 30% of the Earn-Out Shares) per share of common stock, then such Earn-Out Shares, as applicable, shall be deemed to have vested immediately prior to such change in control event and will subsequently be released from escrow. Earn-Out Shares are issued and outstanding and will be automatically forfeited for no consideration if an applicable vesting condition has not occurred with respect to such Earn-Out Shares by and including December 17, 2024. The Earn-Out Shares generally may not be transferred until the applicable vesting conditions have occurred.</w:t>
      </w:r>
    </w:p>
    <w:p>
      <w:pPr>
        <w:spacing w:after="0" w:line="3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7" w:lineRule="exact"/>
        <w:rPr>
          <w:sz w:val="20"/>
          <w:szCs w:val="20"/>
          <w:color w:val="auto"/>
        </w:rPr>
      </w:pPr>
    </w:p>
    <w:p>
      <w:pPr>
        <w:ind w:left="360" w:right="459"/>
        <w:spacing w:after="0" w:line="293" w:lineRule="auto"/>
        <w:rPr>
          <w:sz w:val="20"/>
          <w:szCs w:val="20"/>
          <w:color w:val="auto"/>
        </w:rPr>
      </w:pPr>
      <w:r>
        <w:rPr>
          <w:rFonts w:ascii="Times New Roman" w:cs="Times New Roman" w:eastAsia="Times New Roman" w:hAnsi="Times New Roman"/>
          <w:sz w:val="12"/>
          <w:szCs w:val="12"/>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7" w:lineRule="exact"/>
        <w:rPr>
          <w:sz w:val="20"/>
          <w:szCs w:val="20"/>
          <w:color w:val="auto"/>
        </w:rPr>
      </w:pPr>
    </w:p>
    <w:p>
      <w:pPr>
        <w:ind w:left="360" w:right="379"/>
        <w:spacing w:after="0" w:line="248" w:lineRule="auto"/>
        <w:rPr>
          <w:sz w:val="20"/>
          <w:szCs w:val="20"/>
          <w:color w:val="auto"/>
        </w:rPr>
      </w:pPr>
      <w:r>
        <w:rPr>
          <w:rFonts w:ascii="Times New Roman" w:cs="Times New Roman" w:eastAsia="Times New Roman" w:hAnsi="Times New Roman"/>
          <w:sz w:val="14"/>
          <w:szCs w:val="14"/>
          <w:color w:val="auto"/>
        </w:rPr>
        <w:t>Under our amended and restated investors’ rights agreement, certain holders of shares of our common stock, or their transferees, have the right to require us to register their shares under the Securities Act so that those shares may be publicly resold, those holders, or their transferees, have the right to include their shares in any registration statement we file, in each case as described below. The shares subject to such registration rights are referred to as registrable securities.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Form S-1 Demand Registration Rights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Holders of registrable securities are entitled to certain Form S-1 demand registration rights.</w:t>
      </w:r>
    </w:p>
    <w:p>
      <w:pPr>
        <w:spacing w:after="0" w:line="164" w:lineRule="exact"/>
        <w:rPr>
          <w:sz w:val="20"/>
          <w:szCs w:val="20"/>
          <w:color w:val="auto"/>
        </w:rPr>
      </w:pPr>
    </w:p>
    <w:p>
      <w:pPr>
        <w:ind w:left="360" w:right="519"/>
        <w:spacing w:after="0" w:line="252" w:lineRule="auto"/>
        <w:rPr>
          <w:sz w:val="20"/>
          <w:szCs w:val="20"/>
          <w:color w:val="auto"/>
        </w:rPr>
      </w:pPr>
      <w:r>
        <w:rPr>
          <w:rFonts w:ascii="Times New Roman" w:cs="Times New Roman" w:eastAsia="Times New Roman" w:hAnsi="Times New Roman"/>
          <w:sz w:val="14"/>
          <w:szCs w:val="14"/>
          <w:color w:val="auto"/>
        </w:rPr>
        <w:t>Beginning on August 11, 2020, the holders of at least a majority of the registrable securities can request that we register all or a portion of their shares, so long as such holders request that we register at least 40% of the registrable securities. These stockholders may make up to two requests for registration on Form S-1.</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Form S-3 Demand Registration Rights</w:t>
      </w:r>
    </w:p>
    <w:p>
      <w:pPr>
        <w:spacing w:after="0" w:line="87" w:lineRule="exact"/>
        <w:rPr>
          <w:sz w:val="20"/>
          <w:szCs w:val="20"/>
          <w:color w:val="auto"/>
        </w:rPr>
      </w:pPr>
    </w:p>
    <w:p>
      <w:pPr>
        <w:ind w:left="360" w:right="399"/>
        <w:spacing w:after="0" w:line="298" w:lineRule="auto"/>
        <w:rPr>
          <w:sz w:val="20"/>
          <w:szCs w:val="20"/>
          <w:color w:val="auto"/>
        </w:rPr>
      </w:pPr>
      <w:r>
        <w:rPr>
          <w:rFonts w:ascii="Times New Roman" w:cs="Times New Roman" w:eastAsia="Times New Roman" w:hAnsi="Times New Roman"/>
          <w:sz w:val="12"/>
          <w:szCs w:val="12"/>
          <w:color w:val="auto"/>
        </w:rPr>
        <w:t>Holders of registrable securities are entitled to certain Form S-3 demand registration rights. If we are eligible to use a Form S-3 registration statement, the holders of at least 20% of the registrable securities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12-month period immediately preceding such request.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105" w:name="page106"/>
    <w:bookmarkEnd w:id="105"/>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Piggyback Registration Rights</w:t>
      </w:r>
    </w:p>
    <w:p>
      <w:pPr>
        <w:spacing w:after="0" w:line="87" w:lineRule="exact"/>
        <w:rPr>
          <w:sz w:val="20"/>
          <w:szCs w:val="20"/>
          <w:color w:val="auto"/>
        </w:rPr>
      </w:pPr>
    </w:p>
    <w:p>
      <w:pPr>
        <w:ind w:left="360" w:right="459"/>
        <w:spacing w:after="0" w:line="244" w:lineRule="auto"/>
        <w:rPr>
          <w:sz w:val="20"/>
          <w:szCs w:val="20"/>
          <w:color w:val="auto"/>
        </w:rPr>
      </w:pPr>
      <w:r>
        <w:rPr>
          <w:rFonts w:ascii="Times New Roman" w:cs="Times New Roman" w:eastAsia="Times New Roman" w:hAnsi="Times New Roman"/>
          <w:sz w:val="14"/>
          <w:szCs w:val="14"/>
          <w:color w:val="auto"/>
        </w:rPr>
        <w:t>In the event that we determine to register any of our securities under the Securities Act (subject to certain exceptions), either for our own account or for the account of other security holders, the holders of the holders of the registrable securities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 registrable securities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Expenses of Registration</w:t>
      </w:r>
    </w:p>
    <w:p>
      <w:pPr>
        <w:spacing w:after="0" w:line="87" w:lineRule="exact"/>
        <w:rPr>
          <w:sz w:val="20"/>
          <w:szCs w:val="20"/>
          <w:color w:val="auto"/>
        </w:rPr>
      </w:pPr>
    </w:p>
    <w:p>
      <w:pPr>
        <w:ind w:left="360" w:right="379"/>
        <w:spacing w:after="0" w:line="252" w:lineRule="auto"/>
        <w:rPr>
          <w:sz w:val="20"/>
          <w:szCs w:val="20"/>
          <w:color w:val="auto"/>
        </w:rPr>
      </w:pPr>
      <w:r>
        <w:rPr>
          <w:rFonts w:ascii="Times New Roman" w:cs="Times New Roman" w:eastAsia="Times New Roman" w:hAnsi="Times New Roman"/>
          <w:sz w:val="14"/>
          <w:szCs w:val="14"/>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Expiration of Registration Rights</w:t>
      </w:r>
    </w:p>
    <w:p>
      <w:pPr>
        <w:spacing w:after="0" w:line="87" w:lineRule="exact"/>
        <w:rPr>
          <w:sz w:val="20"/>
          <w:szCs w:val="20"/>
          <w:color w:val="auto"/>
        </w:rPr>
      </w:pPr>
    </w:p>
    <w:p>
      <w:pPr>
        <w:ind w:left="360" w:right="439"/>
        <w:spacing w:after="0" w:line="248" w:lineRule="auto"/>
        <w:rPr>
          <w:sz w:val="20"/>
          <w:szCs w:val="20"/>
          <w:color w:val="auto"/>
        </w:rPr>
      </w:pPr>
      <w:r>
        <w:rPr>
          <w:rFonts w:ascii="Times New Roman" w:cs="Times New Roman" w:eastAsia="Times New Roman" w:hAnsi="Times New Roman"/>
          <w:sz w:val="14"/>
          <w:szCs w:val="14"/>
          <w:color w:val="auto"/>
        </w:rPr>
        <w:t>The Form S-1 demand, Form S-3 demand and piggyback registration rights described above will terminate, with respect to any particular stockholder, upon the earliest of (i) February 18, 2025, (ii) the date that Rule 144 or another similar exemption under the Securities Act is available to such stockholder for the sale of all of such stockholder’s shares without limitation during a three-month period, and (iii) upon the consummation of a merger, consolidation or the sale of substantially all of our assets.</w:t>
      </w:r>
    </w:p>
    <w:p>
      <w:pPr>
        <w:spacing w:after="0" w:line="224" w:lineRule="exact"/>
        <w:rPr>
          <w:sz w:val="20"/>
          <w:szCs w:val="20"/>
          <w:color w:val="auto"/>
        </w:rPr>
      </w:pPr>
    </w:p>
    <w:p>
      <w:pPr>
        <w:ind w:left="360" w:right="779"/>
        <w:spacing w:after="0" w:line="268" w:lineRule="auto"/>
        <w:rPr>
          <w:sz w:val="20"/>
          <w:szCs w:val="20"/>
          <w:color w:val="auto"/>
        </w:rPr>
      </w:pPr>
      <w:r>
        <w:rPr>
          <w:rFonts w:ascii="Times New Roman" w:cs="Times New Roman" w:eastAsia="Times New Roman" w:hAnsi="Times New Roman"/>
          <w:sz w:val="14"/>
          <w:szCs w:val="14"/>
          <w:b w:val="1"/>
          <w:bCs w:val="1"/>
          <w:color w:val="auto"/>
        </w:rPr>
        <w:t>Anti-Takeover Effects of Provisions of Our Amended and Restated Certificate of Incorporation, Our Amended and Restated Bylaws and Delaware Law</w:t>
      </w:r>
    </w:p>
    <w:p>
      <w:pPr>
        <w:spacing w:after="0" w:line="50" w:lineRule="exact"/>
        <w:rPr>
          <w:sz w:val="20"/>
          <w:szCs w:val="20"/>
          <w:color w:val="auto"/>
        </w:rPr>
      </w:pPr>
    </w:p>
    <w:p>
      <w:pPr>
        <w:ind w:left="360" w:right="419"/>
        <w:spacing w:after="0" w:line="247" w:lineRule="auto"/>
        <w:rPr>
          <w:sz w:val="20"/>
          <w:szCs w:val="20"/>
          <w:color w:val="auto"/>
        </w:rPr>
      </w:pPr>
      <w:r>
        <w:rPr>
          <w:rFonts w:ascii="Times New Roman" w:cs="Times New Roman" w:eastAsia="Times New Roman" w:hAnsi="Times New Roman"/>
          <w:sz w:val="14"/>
          <w:szCs w:val="14"/>
          <w:color w:val="auto"/>
        </w:rPr>
        <w:t>Some provisions of Delaware law,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146" w:lineRule="exact"/>
        <w:rPr>
          <w:sz w:val="20"/>
          <w:szCs w:val="20"/>
          <w:color w:val="auto"/>
        </w:rPr>
      </w:pPr>
    </w:p>
    <w:p>
      <w:pPr>
        <w:ind w:left="360" w:right="599"/>
        <w:spacing w:after="0" w:line="303" w:lineRule="auto"/>
        <w:rPr>
          <w:sz w:val="20"/>
          <w:szCs w:val="20"/>
          <w:color w:val="auto"/>
        </w:rPr>
      </w:pPr>
      <w:r>
        <w:rPr>
          <w:rFonts w:ascii="Times New Roman" w:cs="Times New Roman" w:eastAsia="Times New Roman" w:hAnsi="Times New Roman"/>
          <w:sz w:val="12"/>
          <w:szCs w:val="12"/>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87" w:lineRule="exact"/>
        <w:rPr>
          <w:sz w:val="20"/>
          <w:szCs w:val="20"/>
          <w:color w:val="auto"/>
        </w:rPr>
      </w:pPr>
    </w:p>
    <w:p>
      <w:pPr>
        <w:ind w:left="360" w:right="459"/>
        <w:spacing w:after="0" w:line="248" w:lineRule="auto"/>
        <w:rPr>
          <w:sz w:val="20"/>
          <w:szCs w:val="20"/>
          <w:color w:val="auto"/>
        </w:rPr>
      </w:pPr>
      <w:r>
        <w:rPr>
          <w:rFonts w:ascii="Times New Roman" w:cs="Times New Roman" w:eastAsia="Times New Roman" w:hAnsi="Times New Roman"/>
          <w:sz w:val="14"/>
          <w:szCs w:val="14"/>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4" w:right="1440" w:bottom="1440" w:gutter="0" w:footer="0" w:header="0"/>
        </w:sectPr>
      </w:pPr>
    </w:p>
    <w:bookmarkStart w:id="106" w:name="page107"/>
    <w:bookmarkEnd w:id="106"/>
    <w:p>
      <w:pPr>
        <w:ind w:left="360" w:right="399"/>
        <w:spacing w:after="0" w:line="30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87" w:lineRule="exact"/>
        <w:rPr>
          <w:sz w:val="20"/>
          <w:szCs w:val="20"/>
          <w:color w:val="auto"/>
        </w:rPr>
      </w:pPr>
    </w:p>
    <w:p>
      <w:pPr>
        <w:ind w:left="360" w:right="619"/>
        <w:spacing w:after="0" w:line="252" w:lineRule="auto"/>
        <w:rPr>
          <w:sz w:val="20"/>
          <w:szCs w:val="20"/>
          <w:color w:val="auto"/>
        </w:rPr>
      </w:pPr>
      <w:r>
        <w:rPr>
          <w:rFonts w:ascii="Times New Roman" w:cs="Times New Roman" w:eastAsia="Times New Roman" w:hAnsi="Times New Roman"/>
          <w:sz w:val="14"/>
          <w:szCs w:val="14"/>
          <w:color w:val="auto"/>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87" w:lineRule="exact"/>
        <w:rPr>
          <w:sz w:val="20"/>
          <w:szCs w:val="20"/>
          <w:color w:val="auto"/>
        </w:rPr>
      </w:pPr>
    </w:p>
    <w:p>
      <w:pPr>
        <w:ind w:left="360" w:right="379"/>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provide that a special meeting of stockholders may be called only by our board of directors, or by our President or Chief Executive Officer.</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Nominations and Proposals</w:t>
      </w:r>
    </w:p>
    <w:p>
      <w:pPr>
        <w:spacing w:after="0" w:line="87" w:lineRule="exact"/>
        <w:rPr>
          <w:sz w:val="20"/>
          <w:szCs w:val="20"/>
          <w:color w:val="auto"/>
        </w:rPr>
      </w:pPr>
    </w:p>
    <w:p>
      <w:pPr>
        <w:ind w:left="360" w:right="779"/>
        <w:spacing w:after="0" w:line="345" w:lineRule="auto"/>
        <w:rPr>
          <w:sz w:val="20"/>
          <w:szCs w:val="20"/>
          <w:color w:val="auto"/>
        </w:rPr>
      </w:pPr>
      <w:r>
        <w:rPr>
          <w:rFonts w:ascii="Times New Roman" w:cs="Times New Roman" w:eastAsia="Times New Roman" w:hAnsi="Times New Roman"/>
          <w:sz w:val="12"/>
          <w:szCs w:val="12"/>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Elimination of Stockholder Action by Written Consent</w:t>
      </w:r>
    </w:p>
    <w:p>
      <w:pPr>
        <w:spacing w:after="0" w:line="87" w:lineRule="exact"/>
        <w:rPr>
          <w:sz w:val="20"/>
          <w:szCs w:val="20"/>
          <w:color w:val="auto"/>
        </w:rPr>
      </w:pPr>
    </w:p>
    <w:p>
      <w:pPr>
        <w:ind w:left="360" w:right="439"/>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eliminate the right of stockholders to act by written consent without a meeting.</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Election and Removal of Directors; Filling Vacancies</w:t>
      </w:r>
    </w:p>
    <w:p>
      <w:pPr>
        <w:spacing w:after="0" w:line="87" w:lineRule="exact"/>
        <w:rPr>
          <w:sz w:val="20"/>
          <w:szCs w:val="20"/>
          <w:color w:val="auto"/>
        </w:rPr>
      </w:pPr>
    </w:p>
    <w:p>
      <w:pPr>
        <w:ind w:left="360" w:right="419"/>
        <w:spacing w:after="0" w:line="246" w:lineRule="auto"/>
        <w:rPr>
          <w:sz w:val="20"/>
          <w:szCs w:val="20"/>
          <w:color w:val="auto"/>
        </w:rPr>
      </w:pPr>
      <w:r>
        <w:rPr>
          <w:rFonts w:ascii="Times New Roman" w:cs="Times New Roman" w:eastAsia="Times New Roman" w:hAnsi="Times New Roman"/>
          <w:sz w:val="14"/>
          <w:szCs w:val="14"/>
          <w:color w:val="auto"/>
        </w:rPr>
        <w:t>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provides for the removal of any of our directors only for cause and requires a stockholder vote by the holders of at least a 66-2/3% of the voting power of the then outstanding voting stock.</w:t>
      </w:r>
    </w:p>
    <w:p>
      <w:pPr>
        <w:spacing w:after="0" w:line="147" w:lineRule="exact"/>
        <w:rPr>
          <w:sz w:val="20"/>
          <w:szCs w:val="20"/>
          <w:color w:val="auto"/>
        </w:rPr>
      </w:pPr>
    </w:p>
    <w:p>
      <w:pPr>
        <w:ind w:left="360" w:right="599"/>
        <w:spacing w:after="0" w:line="303" w:lineRule="auto"/>
        <w:rPr>
          <w:sz w:val="20"/>
          <w:szCs w:val="20"/>
          <w:color w:val="auto"/>
        </w:rPr>
      </w:pPr>
      <w:r>
        <w:rPr>
          <w:rFonts w:ascii="Times New Roman" w:cs="Times New Roman" w:eastAsia="Times New Roman" w:hAnsi="Times New Roman"/>
          <w:sz w:val="12"/>
          <w:szCs w:val="12"/>
          <w:color w:val="auto"/>
        </w:rPr>
        <w:t>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87" w:lineRule="exact"/>
        <w:rPr>
          <w:sz w:val="20"/>
          <w:szCs w:val="20"/>
          <w:color w:val="auto"/>
        </w:rPr>
      </w:pPr>
    </w:p>
    <w:p>
      <w:pPr>
        <w:ind w:left="360" w:right="499"/>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the Court of Chancery of the State of Delaware is the sole and exclusive forum for (i) any state law derivative action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107" w:name="page108"/>
    <w:bookmarkEnd w:id="107"/>
    <w:p>
      <w:pPr>
        <w:ind w:left="360" w:right="43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p>
    <w:p>
      <w:pPr>
        <w:spacing w:after="0" w:line="290" w:lineRule="exact"/>
        <w:rPr>
          <w:sz w:val="20"/>
          <w:szCs w:val="20"/>
          <w:color w:val="auto"/>
        </w:rPr>
      </w:pPr>
    </w:p>
    <w:p>
      <w:pPr>
        <w:jc w:val="both"/>
        <w:ind w:left="360" w:right="439"/>
        <w:spacing w:after="0" w:line="252"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Provisions</w:t>
      </w:r>
    </w:p>
    <w:p>
      <w:pPr>
        <w:spacing w:after="0" w:line="87" w:lineRule="exact"/>
        <w:rPr>
          <w:sz w:val="20"/>
          <w:szCs w:val="20"/>
          <w:color w:val="auto"/>
        </w:rPr>
      </w:pPr>
    </w:p>
    <w:p>
      <w:pPr>
        <w:ind w:left="360" w:right="599"/>
        <w:spacing w:after="0" w:line="345" w:lineRule="auto"/>
        <w:rPr>
          <w:sz w:val="20"/>
          <w:szCs w:val="20"/>
          <w:color w:val="auto"/>
        </w:rPr>
      </w:pPr>
      <w:r>
        <w:rPr>
          <w:rFonts w:ascii="Times New Roman" w:cs="Times New Roman" w:eastAsia="Times New Roman" w:hAnsi="Times New Roman"/>
          <w:sz w:val="12"/>
          <w:szCs w:val="12"/>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90" w:lineRule="exact"/>
        <w:rPr>
          <w:sz w:val="20"/>
          <w:szCs w:val="20"/>
          <w:color w:val="auto"/>
        </w:rPr>
      </w:pPr>
    </w:p>
    <w:p>
      <w:pPr>
        <w:ind w:left="360" w:right="399"/>
        <w:spacing w:after="0" w:line="247" w:lineRule="auto"/>
        <w:rPr>
          <w:sz w:val="20"/>
          <w:szCs w:val="20"/>
          <w:color w:val="auto"/>
        </w:rPr>
      </w:pPr>
      <w:r>
        <w:rPr>
          <w:rFonts w:ascii="Times New Roman" w:cs="Times New Roman" w:eastAsia="Times New Roman" w:hAnsi="Times New Roman"/>
          <w:sz w:val="14"/>
          <w:szCs w:val="14"/>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common stock and public warrants are listed on the Nasdaq Global Select Market under the symbols “RVMD” and “RVMDW,” respectively.</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7" w:lineRule="exact"/>
        <w:rPr>
          <w:sz w:val="20"/>
          <w:szCs w:val="20"/>
          <w:color w:val="auto"/>
        </w:rPr>
      </w:pPr>
    </w:p>
    <w:p>
      <w:pPr>
        <w:ind w:left="360" w:right="479"/>
        <w:spacing w:after="0" w:line="262" w:lineRule="auto"/>
        <w:rPr>
          <w:sz w:val="20"/>
          <w:szCs w:val="20"/>
          <w:color w:val="auto"/>
        </w:rPr>
      </w:pPr>
      <w:r>
        <w:rPr>
          <w:rFonts w:ascii="Times New Roman" w:cs="Times New Roman" w:eastAsia="Times New Roman" w:hAnsi="Times New Roman"/>
          <w:sz w:val="14"/>
          <w:szCs w:val="14"/>
          <w:color w:val="auto"/>
        </w:rPr>
        <w:t>The transfer agent and registrar for our common stock and warrants is Equiniti Trust Company, LLC. The transfer agent and registrar’s address is 6201 15th Avenue, Brooklyn, New York 11219.</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DEBT SECURITIES</w:t>
      </w:r>
    </w:p>
    <w:p>
      <w:pPr>
        <w:spacing w:after="0" w:line="168" w:lineRule="exact"/>
        <w:rPr>
          <w:sz w:val="20"/>
          <w:szCs w:val="20"/>
          <w:color w:val="auto"/>
        </w:rPr>
      </w:pPr>
    </w:p>
    <w:p>
      <w:pPr>
        <w:ind w:left="360" w:right="459"/>
        <w:spacing w:after="0" w:line="248"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7" w:lineRule="exact"/>
        <w:rPr>
          <w:sz w:val="20"/>
          <w:szCs w:val="20"/>
          <w:color w:val="auto"/>
        </w:rPr>
      </w:pPr>
    </w:p>
    <w:p>
      <w:pPr>
        <w:jc w:val="both"/>
        <w:ind w:left="360" w:right="579"/>
        <w:spacing w:after="0" w:line="252"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2"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46" w:lineRule="exact"/>
        <w:rPr>
          <w:sz w:val="20"/>
          <w:szCs w:val="20"/>
          <w:color w:val="auto"/>
        </w:rPr>
      </w:pPr>
    </w:p>
    <w:p>
      <w:pPr>
        <w:ind w:left="360" w:right="699"/>
        <w:spacing w:after="0" w:line="262" w:lineRule="auto"/>
        <w:rPr>
          <w:sz w:val="20"/>
          <w:szCs w:val="20"/>
          <w:color w:val="auto"/>
        </w:rPr>
      </w:pPr>
      <w:r>
        <w:rPr>
          <w:rFonts w:ascii="Times New Roman" w:cs="Times New Roman" w:eastAsia="Times New Roman" w:hAnsi="Times New Roman"/>
          <w:sz w:val="14"/>
          <w:szCs w:val="14"/>
          <w:color w:val="auto"/>
        </w:rPr>
        <w:t>As used in this section only, “Revolution Medicines,” “we,” “our” or “us” refer to Revolution Medicines, Inc. and its subsidiaries taken as a whole, unless expressly stated or the context otherwise requires.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360" w:right="419"/>
        <w:spacing w:after="0" w:line="314" w:lineRule="auto"/>
        <w:rPr>
          <w:sz w:val="20"/>
          <w:szCs w:val="20"/>
          <w:color w:val="auto"/>
        </w:rPr>
      </w:pPr>
      <w:r>
        <w:rPr>
          <w:rFonts w:ascii="Times New Roman" w:cs="Times New Roman" w:eastAsia="Times New Roman" w:hAnsi="Times New Roman"/>
          <w:sz w:val="12"/>
          <w:szCs w:val="12"/>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8" w:lineRule="exact"/>
        <w:rPr>
          <w:sz w:val="20"/>
          <w:szCs w:val="20"/>
          <w:color w:val="auto"/>
        </w:rPr>
      </w:pPr>
    </w:p>
    <w:p>
      <w:pPr>
        <w:jc w:val="both"/>
        <w:ind w:left="360" w:right="459"/>
        <w:spacing w:after="0" w:line="252"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100" w:hanging="331"/>
        <w:spacing w:after="0"/>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92" w:lineRule="exact"/>
        <w:rPr>
          <w:rFonts w:ascii="Times New Roman" w:cs="Times New Roman" w:eastAsia="Times New Roman" w:hAnsi="Times New Roman"/>
          <w:sz w:val="14"/>
          <w:szCs w:val="14"/>
          <w:color w:val="auto"/>
        </w:rPr>
      </w:pPr>
    </w:p>
    <w:p>
      <w:pPr>
        <w:ind w:left="1100" w:right="479" w:hanging="331"/>
        <w:spacing w:after="0" w:line="248" w:lineRule="auto"/>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4"/>
          <w:szCs w:val="14"/>
          <w:color w:val="auto"/>
        </w:rPr>
      </w:pPr>
    </w:p>
    <w:p>
      <w:pPr>
        <w:jc w:val="both"/>
        <w:ind w:left="1100" w:right="439" w:hanging="331"/>
        <w:spacing w:after="0" w:line="252" w:lineRule="auto"/>
        <w:tabs>
          <w:tab w:leader="none" w:pos="1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4" w:right="1440" w:bottom="1440" w:gutter="0" w:footer="0" w:header="0"/>
        </w:sectPr>
      </w:pPr>
    </w:p>
    <w:bookmarkStart w:id="109" w:name="page110"/>
    <w:bookmarkEnd w:id="109"/>
    <w:p>
      <w:pPr>
        <w:ind w:left="1100" w:right="899" w:hanging="331"/>
        <w:spacing w:after="0" w:line="26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period or periods within which, the price or prices at which and the terms and conditions upon which we may redeem the debt securities;</w:t>
      </w:r>
    </w:p>
    <w:p>
      <w:pPr>
        <w:spacing w:after="0" w:line="64" w:lineRule="exact"/>
        <w:rPr>
          <w:rFonts w:ascii="Times New Roman" w:cs="Times New Roman" w:eastAsia="Times New Roman" w:hAnsi="Times New Roman"/>
          <w:sz w:val="14"/>
          <w:szCs w:val="14"/>
          <w:color w:val="auto"/>
        </w:rPr>
      </w:pPr>
    </w:p>
    <w:p>
      <w:pPr>
        <w:ind w:left="1100" w:right="419" w:hanging="331"/>
        <w:spacing w:after="0" w:line="25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4"/>
          <w:szCs w:val="14"/>
          <w:color w:val="auto"/>
        </w:rPr>
      </w:pPr>
    </w:p>
    <w:p>
      <w:pPr>
        <w:ind w:left="1100" w:right="639" w:hanging="331"/>
        <w:spacing w:after="0" w:line="26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64"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92" w:lineRule="exact"/>
        <w:rPr>
          <w:rFonts w:ascii="Times New Roman" w:cs="Times New Roman" w:eastAsia="Times New Roman" w:hAnsi="Times New Roman"/>
          <w:sz w:val="14"/>
          <w:szCs w:val="14"/>
          <w:color w:val="auto"/>
        </w:rPr>
      </w:pPr>
    </w:p>
    <w:p>
      <w:pPr>
        <w:ind w:left="1100" w:right="819" w:hanging="331"/>
        <w:spacing w:after="0" w:line="26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64" w:lineRule="exact"/>
        <w:rPr>
          <w:rFonts w:ascii="Times New Roman" w:cs="Times New Roman" w:eastAsia="Times New Roman" w:hAnsi="Times New Roman"/>
          <w:sz w:val="14"/>
          <w:szCs w:val="14"/>
          <w:color w:val="auto"/>
        </w:rPr>
      </w:pPr>
    </w:p>
    <w:p>
      <w:pPr>
        <w:ind w:left="1100" w:right="579" w:hanging="331"/>
        <w:spacing w:after="0" w:line="345" w:lineRule="auto"/>
        <w:tabs>
          <w:tab w:leader="none" w:pos="11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9" w:lineRule="exact"/>
        <w:rPr>
          <w:rFonts w:ascii="Times New Roman" w:cs="Times New Roman" w:eastAsia="Times New Roman" w:hAnsi="Times New Roman"/>
          <w:sz w:val="12"/>
          <w:szCs w:val="12"/>
          <w:color w:val="auto"/>
        </w:rPr>
      </w:pPr>
    </w:p>
    <w:p>
      <w:pPr>
        <w:ind w:left="1100" w:right="479" w:hanging="331"/>
        <w:spacing w:after="0" w:line="26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64" w:lineRule="exact"/>
        <w:rPr>
          <w:rFonts w:ascii="Times New Roman" w:cs="Times New Roman" w:eastAsia="Times New Roman" w:hAnsi="Times New Roman"/>
          <w:sz w:val="14"/>
          <w:szCs w:val="14"/>
          <w:color w:val="auto"/>
        </w:rPr>
      </w:pPr>
    </w:p>
    <w:p>
      <w:pPr>
        <w:ind w:left="1100" w:right="499" w:hanging="331"/>
        <w:spacing w:after="0" w:line="25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1" w:lineRule="exact"/>
        <w:rPr>
          <w:rFonts w:ascii="Times New Roman" w:cs="Times New Roman" w:eastAsia="Times New Roman" w:hAnsi="Times New Roman"/>
          <w:sz w:val="14"/>
          <w:szCs w:val="14"/>
          <w:color w:val="auto"/>
        </w:rPr>
      </w:pPr>
    </w:p>
    <w:p>
      <w:pPr>
        <w:jc w:val="both"/>
        <w:ind w:left="1100" w:right="439" w:hanging="331"/>
        <w:spacing w:after="0" w:line="25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92" w:lineRule="exact"/>
        <w:rPr>
          <w:rFonts w:ascii="Times New Roman" w:cs="Times New Roman" w:eastAsia="Times New Roman" w:hAnsi="Times New Roman"/>
          <w:sz w:val="14"/>
          <w:szCs w:val="14"/>
          <w:color w:val="auto"/>
        </w:rPr>
      </w:pPr>
    </w:p>
    <w:p>
      <w:pPr>
        <w:ind w:left="1100" w:right="479" w:hanging="331"/>
        <w:spacing w:after="0" w:line="345" w:lineRule="auto"/>
        <w:tabs>
          <w:tab w:leader="none" w:pos="11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9" w:lineRule="exact"/>
        <w:rPr>
          <w:rFonts w:ascii="Times New Roman" w:cs="Times New Roman" w:eastAsia="Times New Roman" w:hAnsi="Times New Roman"/>
          <w:sz w:val="12"/>
          <w:szCs w:val="12"/>
          <w:color w:val="auto"/>
        </w:rPr>
      </w:pPr>
    </w:p>
    <w:p>
      <w:pPr>
        <w:ind w:left="1100" w:hanging="331"/>
        <w:spacing w:after="0"/>
        <w:tabs>
          <w:tab w:leader="none" w:pos="11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 to, deletion of or change in the covenants described in this prospectus or in the indenture with respect to the debt securities;</w:t>
      </w:r>
    </w:p>
    <w:p>
      <w:pPr>
        <w:spacing w:after="0" w:line="115" w:lineRule="exact"/>
        <w:rPr>
          <w:rFonts w:ascii="Times New Roman" w:cs="Times New Roman" w:eastAsia="Times New Roman" w:hAnsi="Times New Roman"/>
          <w:sz w:val="12"/>
          <w:szCs w:val="12"/>
          <w:color w:val="auto"/>
        </w:rPr>
      </w:pPr>
    </w:p>
    <w:p>
      <w:pPr>
        <w:ind w:left="1100" w:hanging="331"/>
        <w:spacing w:after="0"/>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92" w:lineRule="exact"/>
        <w:rPr>
          <w:rFonts w:ascii="Times New Roman" w:cs="Times New Roman" w:eastAsia="Times New Roman" w:hAnsi="Times New Roman"/>
          <w:sz w:val="14"/>
          <w:szCs w:val="14"/>
          <w:color w:val="auto"/>
        </w:rPr>
      </w:pPr>
    </w:p>
    <w:p>
      <w:pPr>
        <w:ind w:left="1100" w:right="519" w:hanging="331"/>
        <w:spacing w:after="0" w:line="25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1" w:lineRule="exact"/>
        <w:rPr>
          <w:rFonts w:ascii="Times New Roman" w:cs="Times New Roman" w:eastAsia="Times New Roman" w:hAnsi="Times New Roman"/>
          <w:sz w:val="14"/>
          <w:szCs w:val="14"/>
          <w:color w:val="auto"/>
        </w:rPr>
      </w:pPr>
    </w:p>
    <w:p>
      <w:pPr>
        <w:ind w:left="1100" w:right="559" w:hanging="331"/>
        <w:spacing w:after="0" w:line="25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71" w:lineRule="exact"/>
        <w:rPr>
          <w:rFonts w:ascii="Times New Roman" w:cs="Times New Roman" w:eastAsia="Times New Roman" w:hAnsi="Times New Roman"/>
          <w:sz w:val="14"/>
          <w:szCs w:val="14"/>
          <w:color w:val="auto"/>
        </w:rPr>
      </w:pPr>
    </w:p>
    <w:p>
      <w:pPr>
        <w:ind w:left="1100" w:right="559" w:hanging="331"/>
        <w:spacing w:after="0" w:line="262" w:lineRule="auto"/>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110" w:name="page111"/>
    <w:bookmarkEnd w:id="110"/>
    <w:p>
      <w:pPr>
        <w:ind w:left="360" w:right="3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42" w:lineRule="exact"/>
        <w:rPr>
          <w:sz w:val="20"/>
          <w:szCs w:val="20"/>
          <w:color w:val="auto"/>
        </w:rPr>
      </w:pPr>
    </w:p>
    <w:p>
      <w:pPr>
        <w:ind w:left="360" w:right="379"/>
        <w:spacing w:after="0" w:line="303" w:lineRule="auto"/>
        <w:rPr>
          <w:sz w:val="20"/>
          <w:szCs w:val="20"/>
          <w:color w:val="auto"/>
        </w:rPr>
      </w:pPr>
      <w:r>
        <w:rPr>
          <w:rFonts w:ascii="Times New Roman" w:cs="Times New Roman" w:eastAsia="Times New Roman" w:hAnsi="Times New Roman"/>
          <w:sz w:val="12"/>
          <w:szCs w:val="12"/>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87"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46" w:lineRule="exact"/>
        <w:rPr>
          <w:sz w:val="20"/>
          <w:szCs w:val="20"/>
          <w:color w:val="auto"/>
        </w:rPr>
      </w:pPr>
    </w:p>
    <w:p>
      <w:pPr>
        <w:ind w:left="360" w:right="459"/>
        <w:spacing w:after="0" w:line="314" w:lineRule="auto"/>
        <w:rPr>
          <w:sz w:val="20"/>
          <w:szCs w:val="20"/>
          <w:color w:val="auto"/>
        </w:rPr>
      </w:pPr>
      <w:r>
        <w:rPr>
          <w:rFonts w:ascii="Times New Roman" w:cs="Times New Roman" w:eastAsia="Times New Roman" w:hAnsi="Times New Roman"/>
          <w:sz w:val="12"/>
          <w:szCs w:val="12"/>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08" w:lineRule="exact"/>
        <w:rPr>
          <w:sz w:val="20"/>
          <w:szCs w:val="20"/>
          <w:color w:val="auto"/>
        </w:rPr>
      </w:pPr>
    </w:p>
    <w:p>
      <w:pPr>
        <w:jc w:val="both"/>
        <w:ind w:left="360" w:right="539"/>
        <w:spacing w:after="0" w:line="252"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42" w:lineRule="exact"/>
        <w:rPr>
          <w:sz w:val="20"/>
          <w:szCs w:val="20"/>
          <w:color w:val="auto"/>
        </w:rPr>
      </w:pPr>
    </w:p>
    <w:p>
      <w:pPr>
        <w:ind w:left="360" w:right="379"/>
        <w:spacing w:after="0" w:line="262" w:lineRule="auto"/>
        <w:rPr>
          <w:sz w:val="20"/>
          <w:szCs w:val="20"/>
          <w:color w:val="auto"/>
        </w:rPr>
      </w:pPr>
      <w:r>
        <w:rPr>
          <w:rFonts w:ascii="Times New Roman" w:cs="Times New Roman" w:eastAsia="Times New Roman" w:hAnsi="Times New Roman"/>
          <w:sz w:val="14"/>
          <w:szCs w:val="14"/>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87" w:lineRule="exact"/>
        <w:rPr>
          <w:sz w:val="20"/>
          <w:szCs w:val="20"/>
          <w:color w:val="auto"/>
        </w:rPr>
      </w:pPr>
    </w:p>
    <w:p>
      <w:pPr>
        <w:jc w:val="both"/>
        <w:ind w:left="360" w:right="499"/>
        <w:spacing w:after="0" w:line="252"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that could adversely affect holders of debt securities.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111" w:name="page112"/>
    <w:bookmarkEnd w:id="111"/>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Consolidation, Merger and Sale of Assets</w:t>
      </w:r>
    </w:p>
    <w:p>
      <w:pPr>
        <w:spacing w:after="0" w:line="87" w:lineRule="exact"/>
        <w:rPr>
          <w:sz w:val="20"/>
          <w:szCs w:val="20"/>
          <w:color w:val="auto"/>
        </w:rPr>
      </w:pPr>
    </w:p>
    <w:p>
      <w:pPr>
        <w:ind w:left="360" w:right="759"/>
        <w:spacing w:after="0" w:line="262"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65" w:lineRule="exact"/>
        <w:rPr>
          <w:sz w:val="20"/>
          <w:szCs w:val="20"/>
          <w:color w:val="auto"/>
        </w:rPr>
      </w:pPr>
    </w:p>
    <w:p>
      <w:pPr>
        <w:ind w:left="1100" w:right="739" w:hanging="331"/>
        <w:spacing w:after="0" w:line="252" w:lineRule="auto"/>
        <w:tabs>
          <w:tab w:leader="none" w:pos="11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corporation, or the successor person (if other than Revolution Medicines) is a corporation organized and validly existing under the laws of any U.S. domestic jurisdiction and expressly assumes our obligations on the debt securities and under the indenture; and</w:t>
      </w:r>
    </w:p>
    <w:p>
      <w:pPr>
        <w:spacing w:after="0" w:line="71" w:lineRule="exact"/>
        <w:rPr>
          <w:rFonts w:ascii="Times New Roman" w:cs="Times New Roman" w:eastAsia="Times New Roman" w:hAnsi="Times New Roman"/>
          <w:sz w:val="14"/>
          <w:szCs w:val="14"/>
          <w:color w:val="auto"/>
        </w:rPr>
      </w:pPr>
    </w:p>
    <w:p>
      <w:pPr>
        <w:ind w:left="1100" w:right="459" w:hanging="331"/>
        <w:spacing w:after="0" w:line="345" w:lineRule="auto"/>
        <w:tabs>
          <w:tab w:leader="none" w:pos="110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the transaction, no Default or Event of Default, shall have occurred and be continuing. Notwithstanding the above, any of our subsidiaries may consolidate with, merge into or transfer all or part of its properties to us. (Section 5.1)</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93" w:lineRule="exact"/>
        <w:rPr>
          <w:sz w:val="20"/>
          <w:szCs w:val="20"/>
          <w:color w:val="auto"/>
        </w:rPr>
      </w:pPr>
    </w:p>
    <w:p>
      <w:pPr>
        <w:ind w:left="1100" w:right="499" w:hanging="331"/>
        <w:spacing w:after="0" w:line="252" w:lineRule="auto"/>
        <w:tabs>
          <w:tab w:leader="none" w:pos="1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92" w:lineRule="exact"/>
        <w:rPr>
          <w:rFonts w:ascii="Times New Roman" w:cs="Times New Roman" w:eastAsia="Times New Roman" w:hAnsi="Times New Roman"/>
          <w:sz w:val="14"/>
          <w:szCs w:val="14"/>
          <w:color w:val="auto"/>
        </w:rPr>
      </w:pPr>
    </w:p>
    <w:p>
      <w:pPr>
        <w:ind w:left="1100" w:right="419" w:hanging="331"/>
        <w:spacing w:after="0" w:line="303" w:lineRule="auto"/>
        <w:tabs>
          <w:tab w:leader="none" w:pos="110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Revolution Medicines and the trustee receive written notice from the holders of not less than 25% in principal amount of the outstanding debt securities of that series as provided in the indenture;</w:t>
      </w:r>
    </w:p>
    <w:p>
      <w:pPr>
        <w:spacing w:after="0" w:line="44" w:lineRule="exact"/>
        <w:rPr>
          <w:rFonts w:ascii="Times New Roman" w:cs="Times New Roman" w:eastAsia="Times New Roman" w:hAnsi="Times New Roman"/>
          <w:sz w:val="12"/>
          <w:szCs w:val="12"/>
          <w:color w:val="auto"/>
        </w:rPr>
      </w:pPr>
    </w:p>
    <w:p>
      <w:pPr>
        <w:ind w:left="1100" w:hanging="331"/>
        <w:spacing w:after="0"/>
        <w:tabs>
          <w:tab w:leader="none" w:pos="1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Revolution Medicines;</w:t>
      </w:r>
    </w:p>
    <w:p>
      <w:pPr>
        <w:spacing w:after="0" w:line="92" w:lineRule="exact"/>
        <w:rPr>
          <w:rFonts w:ascii="Times New Roman" w:cs="Times New Roman" w:eastAsia="Times New Roman" w:hAnsi="Times New Roman"/>
          <w:sz w:val="14"/>
          <w:szCs w:val="14"/>
          <w:color w:val="auto"/>
        </w:rPr>
      </w:pPr>
    </w:p>
    <w:p>
      <w:pPr>
        <w:ind w:left="1100" w:right="459" w:hanging="331"/>
        <w:spacing w:after="0" w:line="262" w:lineRule="auto"/>
        <w:tabs>
          <w:tab w:leader="none" w:pos="1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136" w:lineRule="exact"/>
        <w:rPr>
          <w:sz w:val="20"/>
          <w:szCs w:val="20"/>
          <w:color w:val="auto"/>
        </w:rPr>
      </w:pPr>
    </w:p>
    <w:p>
      <w:pPr>
        <w:ind w:left="360" w:right="439"/>
        <w:spacing w:after="0" w:line="248"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ind w:left="360" w:right="419"/>
        <w:spacing w:after="0" w:line="252"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42"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4" w:right="1440" w:bottom="1440" w:gutter="0" w:footer="0" w:header="0"/>
        </w:sectPr>
      </w:pPr>
    </w:p>
    <w:bookmarkStart w:id="112" w:name="page113"/>
    <w:bookmarkEnd w:id="112"/>
    <w:p>
      <w:pPr>
        <w:ind w:left="360" w:right="39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9" w:lineRule="exact"/>
        <w:rPr>
          <w:sz w:val="20"/>
          <w:szCs w:val="20"/>
          <w:color w:val="auto"/>
        </w:rPr>
      </w:pPr>
    </w:p>
    <w:p>
      <w:pPr>
        <w:ind w:left="360" w:right="419"/>
        <w:spacing w:after="0" w:line="247"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46" w:lineRule="exact"/>
        <w:rPr>
          <w:sz w:val="20"/>
          <w:szCs w:val="20"/>
          <w:color w:val="auto"/>
        </w:rPr>
      </w:pPr>
    </w:p>
    <w:p>
      <w:pPr>
        <w:ind w:left="360" w:right="439"/>
        <w:spacing w:after="0" w:line="262"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5" w:lineRule="exact"/>
        <w:rPr>
          <w:sz w:val="20"/>
          <w:szCs w:val="20"/>
          <w:color w:val="auto"/>
        </w:rPr>
      </w:pPr>
    </w:p>
    <w:p>
      <w:pPr>
        <w:ind w:left="1100" w:right="479" w:hanging="331"/>
        <w:spacing w:after="0" w:line="262" w:lineRule="auto"/>
        <w:tabs>
          <w:tab w:leader="none" w:pos="1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64" w:lineRule="exact"/>
        <w:rPr>
          <w:rFonts w:ascii="Times New Roman" w:cs="Times New Roman" w:eastAsia="Times New Roman" w:hAnsi="Times New Roman"/>
          <w:sz w:val="14"/>
          <w:szCs w:val="14"/>
          <w:color w:val="auto"/>
        </w:rPr>
      </w:pPr>
    </w:p>
    <w:p>
      <w:pPr>
        <w:ind w:left="1100" w:right="399" w:hanging="331"/>
        <w:spacing w:after="0" w:line="248" w:lineRule="auto"/>
        <w:tabs>
          <w:tab w:leader="none" w:pos="1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47" w:lineRule="exact"/>
        <w:rPr>
          <w:sz w:val="20"/>
          <w:szCs w:val="20"/>
          <w:color w:val="auto"/>
        </w:rPr>
      </w:pPr>
    </w:p>
    <w:p>
      <w:pPr>
        <w:jc w:val="both"/>
        <w:ind w:left="360" w:right="379"/>
        <w:spacing w:after="0" w:line="252"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if any, and any interest on that debt security on or after the due dates expressed in that debt security and to institute suit for the enforcement of payment. (Section 6.8)</w:t>
      </w:r>
    </w:p>
    <w:p>
      <w:pPr>
        <w:spacing w:after="0" w:line="142" w:lineRule="exact"/>
        <w:rPr>
          <w:sz w:val="20"/>
          <w:szCs w:val="20"/>
          <w:color w:val="auto"/>
        </w:rPr>
      </w:pPr>
    </w:p>
    <w:p>
      <w:pPr>
        <w:ind w:left="360" w:right="439"/>
        <w:spacing w:after="0" w:line="245"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7" w:lineRule="exact"/>
        <w:rPr>
          <w:sz w:val="20"/>
          <w:szCs w:val="20"/>
          <w:color w:val="auto"/>
        </w:rPr>
      </w:pPr>
    </w:p>
    <w:p>
      <w:pPr>
        <w:ind w:left="360" w:right="639"/>
        <w:spacing w:after="0" w:line="262"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65" w:lineRule="exact"/>
        <w:rPr>
          <w:sz w:val="20"/>
          <w:szCs w:val="20"/>
          <w:color w:val="auto"/>
        </w:rPr>
      </w:pPr>
    </w:p>
    <w:p>
      <w:pPr>
        <w:ind w:left="1100" w:hanging="331"/>
        <w:spacing w:after="0"/>
        <w:tabs>
          <w:tab w:leader="none" w:pos="1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2" w:lineRule="exact"/>
        <w:rPr>
          <w:rFonts w:ascii="Times New Roman" w:cs="Times New Roman" w:eastAsia="Times New Roman" w:hAnsi="Times New Roman"/>
          <w:sz w:val="14"/>
          <w:szCs w:val="14"/>
          <w:color w:val="auto"/>
        </w:rPr>
      </w:pPr>
    </w:p>
    <w:p>
      <w:pPr>
        <w:jc w:val="center"/>
        <w:ind w:left="4440" w:right="1299" w:hanging="3671"/>
        <w:spacing w:after="0" w:line="428" w:lineRule="auto"/>
        <w:tabs>
          <w:tab w:leader="none" w:pos="109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 20</w:t>
      </w:r>
    </w:p>
    <w:p>
      <w:pPr>
        <w:sectPr>
          <w:pgSz w:w="11900" w:h="16838" w:orient="portrait"/>
          <w:cols w:equalWidth="0" w:num="1">
            <w:col w:w="9019"/>
          </w:cols>
          <w:pgMar w:left="1440" w:top="238" w:right="1440" w:bottom="1440" w:gutter="0" w:footer="0" w:header="0"/>
        </w:sectPr>
      </w:pPr>
    </w:p>
    <w:bookmarkStart w:id="113" w:name="page114"/>
    <w:bookmarkEnd w:id="113"/>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to provide for uncertificated securities in addition to or in place of certificated securities;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issuance of and establish the form and terms and conditions of debt securities of any series as permitted by the indenture;</w:t>
      </w:r>
    </w:p>
    <w:p>
      <w:pPr>
        <w:spacing w:after="0" w:line="115" w:lineRule="exact"/>
        <w:rPr>
          <w:rFonts w:ascii="Times New Roman" w:cs="Times New Roman" w:eastAsia="Times New Roman" w:hAnsi="Times New Roman"/>
          <w:sz w:val="12"/>
          <w:szCs w:val="12"/>
          <w:color w:val="auto"/>
        </w:rPr>
      </w:pPr>
    </w:p>
    <w:p>
      <w:pPr>
        <w:ind w:left="1100" w:right="959" w:hanging="331"/>
        <w:spacing w:after="0" w:line="262" w:lineRule="auto"/>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4" w:lineRule="exact"/>
        <w:rPr>
          <w:rFonts w:ascii="Times New Roman" w:cs="Times New Roman" w:eastAsia="Times New Roman" w:hAnsi="Times New Roman"/>
          <w:sz w:val="14"/>
          <w:szCs w:val="14"/>
          <w:color w:val="auto"/>
        </w:rPr>
      </w:pPr>
    </w:p>
    <w:p>
      <w:pPr>
        <w:ind w:left="1100" w:right="679" w:hanging="331"/>
        <w:spacing w:after="0" w:line="262" w:lineRule="auto"/>
        <w:tabs>
          <w:tab w:leader="none" w:pos="11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136" w:lineRule="exact"/>
        <w:rPr>
          <w:sz w:val="20"/>
          <w:szCs w:val="20"/>
          <w:color w:val="auto"/>
        </w:rPr>
      </w:pPr>
    </w:p>
    <w:p>
      <w:pPr>
        <w:ind w:left="360" w:right="419"/>
        <w:spacing w:after="0" w:line="252"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modification or amendment would:</w:t>
      </w:r>
    </w:p>
    <w:p>
      <w:pPr>
        <w:spacing w:after="0" w:line="71" w:lineRule="exact"/>
        <w:rPr>
          <w:sz w:val="20"/>
          <w:szCs w:val="20"/>
          <w:color w:val="auto"/>
        </w:rPr>
      </w:pPr>
    </w:p>
    <w:p>
      <w:pPr>
        <w:ind w:left="1100" w:hanging="331"/>
        <w:spacing w:after="0"/>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92" w:lineRule="exact"/>
        <w:rPr>
          <w:rFonts w:ascii="Times New Roman" w:cs="Times New Roman" w:eastAsia="Times New Roman" w:hAnsi="Times New Roman"/>
          <w:sz w:val="14"/>
          <w:szCs w:val="14"/>
          <w:color w:val="auto"/>
        </w:rPr>
      </w:pPr>
    </w:p>
    <w:p>
      <w:pPr>
        <w:ind w:left="1100" w:right="399" w:hanging="331"/>
        <w:spacing w:after="0" w:line="262" w:lineRule="auto"/>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4"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92" w:lineRule="exact"/>
        <w:rPr>
          <w:rFonts w:ascii="Times New Roman" w:cs="Times New Roman" w:eastAsia="Times New Roman" w:hAnsi="Times New Roman"/>
          <w:sz w:val="14"/>
          <w:szCs w:val="14"/>
          <w:color w:val="auto"/>
        </w:rPr>
      </w:pPr>
    </w:p>
    <w:p>
      <w:pPr>
        <w:ind w:left="1100" w:right="459" w:hanging="331"/>
        <w:spacing w:after="0" w:line="252" w:lineRule="auto"/>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92" w:lineRule="exact"/>
        <w:rPr>
          <w:rFonts w:ascii="Times New Roman" w:cs="Times New Roman" w:eastAsia="Times New Roman" w:hAnsi="Times New Roman"/>
          <w:sz w:val="14"/>
          <w:szCs w:val="14"/>
          <w:color w:val="auto"/>
        </w:rPr>
      </w:pPr>
    </w:p>
    <w:p>
      <w:pPr>
        <w:ind w:left="1100" w:right="379" w:hanging="331"/>
        <w:spacing w:after="0" w:line="252" w:lineRule="auto"/>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164" w:lineRule="exact"/>
        <w:rPr>
          <w:sz w:val="20"/>
          <w:szCs w:val="20"/>
          <w:color w:val="auto"/>
        </w:rPr>
      </w:pPr>
    </w:p>
    <w:p>
      <w:pPr>
        <w:ind w:left="360" w:right="379"/>
        <w:spacing w:after="0" w:line="252"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114" w:name="page115"/>
    <w:bookmarkEnd w:id="114"/>
    <w:p>
      <w:pPr>
        <w:ind w:left="360" w:right="399"/>
        <w:spacing w:after="0" w:line="31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5" w:lineRule="exact"/>
        <w:rPr>
          <w:sz w:val="20"/>
          <w:szCs w:val="20"/>
          <w:color w:val="auto"/>
        </w:rPr>
      </w:pPr>
    </w:p>
    <w:p>
      <w:pPr>
        <w:ind w:left="360" w:right="439"/>
        <w:spacing w:after="0" w:line="245"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 discharged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if any, and interest on and any mandatory sinking fund payments in respect of the debt securities of that series on the stated maturity of those payments in accordance with the terms of the indenture and those debt securities.</w:t>
      </w:r>
    </w:p>
    <w:p>
      <w:pPr>
        <w:spacing w:after="0" w:line="149"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that series will not recognize income, gain or loss for U.S. federal income tax purposes as a result of the deposit, defeasance and discharge and will be subject to U.S. federal income tax on the same amounts, in the same manner and at the same times as would have been the case if the deposit, defeasance and discharge had not occurred. (Section 8.3)</w:t>
      </w:r>
    </w:p>
    <w:p>
      <w:pPr>
        <w:spacing w:after="0" w:line="145" w:lineRule="exact"/>
        <w:rPr>
          <w:sz w:val="20"/>
          <w:szCs w:val="20"/>
          <w:color w:val="auto"/>
        </w:rPr>
      </w:pPr>
    </w:p>
    <w:p>
      <w:pPr>
        <w:ind w:left="360" w:right="519"/>
        <w:spacing w:after="0" w:line="265"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with certain conditions:</w:t>
      </w:r>
    </w:p>
    <w:p>
      <w:pPr>
        <w:spacing w:after="0" w:line="63" w:lineRule="exact"/>
        <w:rPr>
          <w:sz w:val="20"/>
          <w:szCs w:val="20"/>
          <w:color w:val="auto"/>
        </w:rPr>
      </w:pPr>
    </w:p>
    <w:p>
      <w:pPr>
        <w:ind w:left="1100" w:right="539" w:hanging="331"/>
        <w:spacing w:after="0" w:line="252" w:lineRule="auto"/>
        <w:tabs>
          <w:tab w:leader="none" w:pos="11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71" w:lineRule="exact"/>
        <w:rPr>
          <w:rFonts w:ascii="Times New Roman" w:cs="Times New Roman" w:eastAsia="Times New Roman" w:hAnsi="Times New Roman"/>
          <w:sz w:val="14"/>
          <w:szCs w:val="14"/>
          <w:color w:val="auto"/>
        </w:rPr>
      </w:pPr>
    </w:p>
    <w:p>
      <w:pPr>
        <w:ind w:left="1100" w:right="459" w:hanging="331"/>
        <w:spacing w:after="0" w:line="262" w:lineRule="auto"/>
        <w:tabs>
          <w:tab w:leader="none" w:pos="11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93" w:lineRule="exact"/>
        <w:rPr>
          <w:sz w:val="20"/>
          <w:szCs w:val="20"/>
          <w:color w:val="auto"/>
        </w:rPr>
      </w:pPr>
    </w:p>
    <w:p>
      <w:pPr>
        <w:ind w:left="1100" w:right="459" w:hanging="331"/>
        <w:spacing w:after="0" w:line="246" w:lineRule="auto"/>
        <w:tabs>
          <w:tab w:leader="none" w:pos="1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5" w:lineRule="exact"/>
        <w:rPr>
          <w:rFonts w:ascii="Times New Roman" w:cs="Times New Roman" w:eastAsia="Times New Roman" w:hAnsi="Times New Roman"/>
          <w:sz w:val="14"/>
          <w:szCs w:val="14"/>
          <w:color w:val="auto"/>
        </w:rPr>
      </w:pPr>
    </w:p>
    <w:p>
      <w:pPr>
        <w:ind w:left="1100" w:right="439" w:hanging="331"/>
        <w:spacing w:after="0" w:line="248" w:lineRule="auto"/>
        <w:tabs>
          <w:tab w:leader="none" w:pos="1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beneficial owners of the debt securities of that series will not recognize income, gain or loss for U.S. federal income tax purposes as a result of the deposit and related covenant defeasance and will be subject to U.S. federal income tax on the same amounts, in the same manner and at the same times as would have been the case if the deposit and related covenant defeasance had not occurred. (Section 8.4)</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8" w:right="1440" w:bottom="1440" w:gutter="0" w:footer="0" w:header="0"/>
        </w:sectPr>
      </w:pPr>
    </w:p>
    <w:bookmarkStart w:id="115" w:name="page116"/>
    <w:bookmarkEnd w:id="115"/>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 Personal Liability of Directors, Officers, Employees or Stockholders</w:t>
      </w:r>
    </w:p>
    <w:p>
      <w:pPr>
        <w:spacing w:after="0" w:line="87" w:lineRule="exact"/>
        <w:rPr>
          <w:sz w:val="20"/>
          <w:szCs w:val="20"/>
          <w:color w:val="auto"/>
        </w:rPr>
      </w:pPr>
    </w:p>
    <w:p>
      <w:pPr>
        <w:ind w:left="360" w:right="459"/>
        <w:spacing w:after="0" w:line="247"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7" w:lineRule="exact"/>
        <w:rPr>
          <w:sz w:val="20"/>
          <w:szCs w:val="20"/>
          <w:color w:val="auto"/>
        </w:rPr>
      </w:pPr>
    </w:p>
    <w:p>
      <w:pPr>
        <w:ind w:left="360" w:right="439"/>
        <w:spacing w:after="0" w:line="262"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36" w:lineRule="exact"/>
        <w:rPr>
          <w:sz w:val="20"/>
          <w:szCs w:val="20"/>
          <w:color w:val="auto"/>
        </w:rPr>
      </w:pPr>
    </w:p>
    <w:p>
      <w:pPr>
        <w:ind w:left="360" w:right="439"/>
        <w:spacing w:after="0" w:line="252"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2" w:lineRule="exact"/>
        <w:rPr>
          <w:sz w:val="20"/>
          <w:szCs w:val="20"/>
          <w:color w:val="auto"/>
        </w:rPr>
      </w:pPr>
    </w:p>
    <w:p>
      <w:pPr>
        <w:ind w:left="360" w:right="379"/>
        <w:spacing w:after="0" w:line="291" w:lineRule="auto"/>
        <w:rPr>
          <w:sz w:val="20"/>
          <w:szCs w:val="20"/>
          <w:color w:val="auto"/>
        </w:rPr>
      </w:pPr>
      <w:r>
        <w:rPr>
          <w:rFonts w:ascii="Times New Roman" w:cs="Times New Roman" w:eastAsia="Times New Roman" w:hAnsi="Times New Roman"/>
          <w:sz w:val="12"/>
          <w:szCs w:val="12"/>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4"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DESCRIPTION OF OTHER SECURITIES</w:t>
      </w:r>
    </w:p>
    <w:p>
      <w:pPr>
        <w:spacing w:after="0" w:line="168" w:lineRule="exact"/>
        <w:rPr>
          <w:sz w:val="20"/>
          <w:szCs w:val="20"/>
          <w:color w:val="auto"/>
        </w:rPr>
      </w:pPr>
    </w:p>
    <w:p>
      <w:pPr>
        <w:ind w:left="360" w:right="599"/>
        <w:spacing w:after="0" w:line="262"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or units issued by us that may be offered and sold pursuant to this prospectus.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4"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GLOBAL SECURITIES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87"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93" w:lineRule="exact"/>
        <w:rPr>
          <w:sz w:val="20"/>
          <w:szCs w:val="20"/>
          <w:color w:val="auto"/>
        </w:rPr>
      </w:pPr>
    </w:p>
    <w:p>
      <w:pPr>
        <w:ind w:left="1100" w:hanging="331"/>
        <w:spacing w:after="0"/>
        <w:tabs>
          <w:tab w:leader="none" w:pos="11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64" w:lineRule="exact"/>
        <w:rPr>
          <w:sz w:val="20"/>
          <w:szCs w:val="20"/>
          <w:color w:val="auto"/>
        </w:rPr>
      </w:pPr>
    </w:p>
    <w:p>
      <w:pPr>
        <w:ind w:left="360" w:right="379"/>
        <w:spacing w:after="0" w:line="244"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52" w:lineRule="exact"/>
        <w:rPr>
          <w:sz w:val="20"/>
          <w:szCs w:val="20"/>
          <w:color w:val="auto"/>
        </w:rPr>
      </w:pPr>
    </w:p>
    <w:p>
      <w:pPr>
        <w:ind w:left="360" w:right="419"/>
        <w:spacing w:after="0" w:line="245"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49" w:lineRule="exact"/>
        <w:rPr>
          <w:sz w:val="20"/>
          <w:szCs w:val="20"/>
          <w:color w:val="auto"/>
        </w:rPr>
      </w:pPr>
    </w:p>
    <w:p>
      <w:pPr>
        <w:ind w:left="360" w:right="459"/>
        <w:spacing w:after="0" w:line="298" w:lineRule="auto"/>
        <w:rPr>
          <w:sz w:val="20"/>
          <w:szCs w:val="20"/>
          <w:color w:val="auto"/>
        </w:rPr>
      </w:pPr>
      <w:r>
        <w:rPr>
          <w:rFonts w:ascii="Times New Roman" w:cs="Times New Roman" w:eastAsia="Times New Roman" w:hAnsi="Times New Roman"/>
          <w:sz w:val="12"/>
          <w:szCs w:val="12"/>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4" w:right="1440" w:bottom="1440" w:gutter="0" w:footer="0" w:header="0"/>
        </w:sectPr>
      </w:pPr>
    </w:p>
    <w:bookmarkStart w:id="118" w:name="page119"/>
    <w:bookmarkEnd w:id="118"/>
    <w:p>
      <w:pPr>
        <w:ind w:left="360" w:right="49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47" w:lineRule="exact"/>
        <w:rPr>
          <w:sz w:val="20"/>
          <w:szCs w:val="20"/>
          <w:color w:val="auto"/>
        </w:rPr>
      </w:pPr>
    </w:p>
    <w:p>
      <w:pPr>
        <w:ind w:left="360" w:right="479"/>
        <w:spacing w:after="0" w:line="252"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42" w:lineRule="exact"/>
        <w:rPr>
          <w:sz w:val="20"/>
          <w:szCs w:val="20"/>
          <w:color w:val="auto"/>
        </w:rPr>
      </w:pPr>
    </w:p>
    <w:p>
      <w:pPr>
        <w:ind w:left="360" w:right="459"/>
        <w:spacing w:after="0" w:line="262"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36" w:lineRule="exact"/>
        <w:rPr>
          <w:sz w:val="20"/>
          <w:szCs w:val="20"/>
          <w:color w:val="auto"/>
        </w:rPr>
      </w:pPr>
    </w:p>
    <w:p>
      <w:pPr>
        <w:ind w:left="360" w:right="419"/>
        <w:spacing w:after="0" w:line="314" w:lineRule="auto"/>
        <w:rPr>
          <w:sz w:val="20"/>
          <w:szCs w:val="20"/>
          <w:color w:val="auto"/>
        </w:rPr>
      </w:pPr>
      <w:r>
        <w:rPr>
          <w:rFonts w:ascii="Times New Roman" w:cs="Times New Roman" w:eastAsia="Times New Roman" w:hAnsi="Times New Roman"/>
          <w:sz w:val="12"/>
          <w:szCs w:val="12"/>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8" w:lineRule="exact"/>
        <w:rPr>
          <w:sz w:val="20"/>
          <w:szCs w:val="20"/>
          <w:color w:val="auto"/>
        </w:rPr>
      </w:pPr>
    </w:p>
    <w:p>
      <w:pPr>
        <w:ind w:left="360" w:right="439"/>
        <w:spacing w:after="0" w:line="246"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DTC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47" w:lineRule="exact"/>
        <w:rPr>
          <w:sz w:val="20"/>
          <w:szCs w:val="20"/>
          <w:color w:val="auto"/>
        </w:rPr>
      </w:pPr>
    </w:p>
    <w:p>
      <w:pPr>
        <w:ind w:left="360" w:right="379"/>
        <w:spacing w:after="0" w:line="292" w:lineRule="auto"/>
        <w:rPr>
          <w:sz w:val="20"/>
          <w:szCs w:val="20"/>
          <w:color w:val="auto"/>
        </w:rPr>
      </w:pPr>
      <w:r>
        <w:rPr>
          <w:rFonts w:ascii="Times New Roman" w:cs="Times New Roman" w:eastAsia="Times New Roman" w:hAnsi="Times New Roman"/>
          <w:sz w:val="12"/>
          <w:szCs w:val="12"/>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86" w:lineRule="exact"/>
        <w:rPr>
          <w:sz w:val="20"/>
          <w:szCs w:val="20"/>
          <w:color w:val="auto"/>
        </w:rPr>
      </w:pPr>
    </w:p>
    <w:p>
      <w:pPr>
        <w:ind w:left="360" w:right="419"/>
        <w:spacing w:after="0" w:line="252"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42" w:lineRule="exact"/>
        <w:rPr>
          <w:sz w:val="20"/>
          <w:szCs w:val="20"/>
          <w:color w:val="auto"/>
        </w:rPr>
      </w:pPr>
    </w:p>
    <w:p>
      <w:pPr>
        <w:ind w:left="360" w:right="599"/>
        <w:spacing w:after="0" w:line="262"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36" w:lineRule="exact"/>
        <w:rPr>
          <w:sz w:val="20"/>
          <w:szCs w:val="20"/>
          <w:color w:val="auto"/>
        </w:rPr>
      </w:pPr>
    </w:p>
    <w:p>
      <w:pPr>
        <w:ind w:left="360" w:right="559"/>
        <w:spacing w:after="0" w:line="345" w:lineRule="auto"/>
        <w:rPr>
          <w:sz w:val="20"/>
          <w:szCs w:val="20"/>
          <w:color w:val="auto"/>
        </w:rPr>
      </w:pPr>
      <w:r>
        <w:rPr>
          <w:rFonts w:ascii="Times New Roman" w:cs="Times New Roman" w:eastAsia="Times New Roman" w:hAnsi="Times New Roman"/>
          <w:sz w:val="12"/>
          <w:szCs w:val="12"/>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119" w:name="page120"/>
    <w:bookmarkEnd w:id="119"/>
    <w:p>
      <w:pPr>
        <w:ind w:left="360" w:right="3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As noted above, beneficial owners of a particular series of securities generally will not receive certificates representing their ownership interests in those securities. However, if:</w:t>
      </w:r>
    </w:p>
    <w:p>
      <w:pPr>
        <w:spacing w:after="0" w:line="65" w:lineRule="exact"/>
        <w:rPr>
          <w:sz w:val="20"/>
          <w:szCs w:val="20"/>
          <w:color w:val="auto"/>
        </w:rPr>
      </w:pPr>
    </w:p>
    <w:p>
      <w:pPr>
        <w:ind w:left="1100" w:right="539" w:hanging="331"/>
        <w:spacing w:after="0" w:line="248" w:lineRule="auto"/>
        <w:tabs>
          <w:tab w:leader="none" w:pos="11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5"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 then, in each case,</w:t>
      </w:r>
    </w:p>
    <w:p>
      <w:pPr>
        <w:spacing w:after="0" w:line="164" w:lineRule="exact"/>
        <w:rPr>
          <w:sz w:val="20"/>
          <w:szCs w:val="20"/>
          <w:color w:val="auto"/>
        </w:rPr>
      </w:pPr>
    </w:p>
    <w:p>
      <w:pPr>
        <w:ind w:left="360" w:right="399"/>
        <w:spacing w:after="0" w:line="248"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87" w:lineRule="exact"/>
        <w:rPr>
          <w:sz w:val="20"/>
          <w:szCs w:val="20"/>
          <w:color w:val="auto"/>
        </w:rPr>
      </w:pPr>
    </w:p>
    <w:p>
      <w:pPr>
        <w:ind w:left="360" w:right="379"/>
        <w:spacing w:after="0" w:line="298" w:lineRule="auto"/>
        <w:rPr>
          <w:sz w:val="20"/>
          <w:szCs w:val="20"/>
          <w:color w:val="auto"/>
        </w:rPr>
      </w:pPr>
      <w:r>
        <w:rPr>
          <w:rFonts w:ascii="Times New Roman" w:cs="Times New Roman" w:eastAsia="Times New Roman" w:hAnsi="Times New Roman"/>
          <w:sz w:val="12"/>
          <w:szCs w:val="12"/>
          <w:color w:val="auto"/>
        </w:rPr>
        <w:t>If so provided in the applicable prospectus supplement, you may hold interests in a global security through Clearstream Banking S.A. (“Clearstream”) or Euroclear Bank S.A./N.V., as operator of the Euroclear System, which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8" w:lineRule="exact"/>
        <w:rPr>
          <w:sz w:val="20"/>
          <w:szCs w:val="20"/>
          <w:color w:val="auto"/>
        </w:rPr>
      </w:pPr>
    </w:p>
    <w:p>
      <w:pPr>
        <w:ind w:left="360" w:right="539"/>
        <w:spacing w:after="0" w:line="252"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42" w:lineRule="exact"/>
        <w:rPr>
          <w:sz w:val="20"/>
          <w:szCs w:val="20"/>
          <w:color w:val="auto"/>
        </w:rPr>
      </w:pPr>
    </w:p>
    <w:p>
      <w:pPr>
        <w:ind w:left="360" w:right="519"/>
        <w:spacing w:after="0" w:line="252"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42" w:lineRule="exact"/>
        <w:rPr>
          <w:sz w:val="20"/>
          <w:szCs w:val="20"/>
          <w:color w:val="auto"/>
        </w:rPr>
      </w:pPr>
    </w:p>
    <w:p>
      <w:pPr>
        <w:ind w:left="360" w:right="579"/>
        <w:spacing w:after="0" w:line="252"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42" w:lineRule="exact"/>
        <w:rPr>
          <w:sz w:val="20"/>
          <w:szCs w:val="20"/>
          <w:color w:val="auto"/>
        </w:rPr>
      </w:pPr>
    </w:p>
    <w:p>
      <w:pPr>
        <w:ind w:left="360" w:right="379"/>
        <w:spacing w:after="0" w:line="246"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120" w:name="page121"/>
    <w:bookmarkEnd w:id="120"/>
    <w:p>
      <w:pPr>
        <w:ind w:left="360" w:right="6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payment in accordance with normal procedures for same-day fund settlement. Participants in Euroclear or Clearstream may not deliver instructions directly to their respective U.S. depositaries.</w:t>
      </w:r>
    </w:p>
    <w:p>
      <w:pPr>
        <w:spacing w:after="0" w:line="136" w:lineRule="exact"/>
        <w:rPr>
          <w:sz w:val="20"/>
          <w:szCs w:val="20"/>
          <w:color w:val="auto"/>
        </w:rPr>
      </w:pPr>
    </w:p>
    <w:p>
      <w:pPr>
        <w:ind w:left="360" w:right="399"/>
        <w:spacing w:after="0" w:line="246"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87" w:lineRule="exact"/>
        <w:rPr>
          <w:sz w:val="20"/>
          <w:szCs w:val="20"/>
          <w:color w:val="auto"/>
        </w:rPr>
      </w:pPr>
    </w:p>
    <w:p>
      <w:pPr>
        <w:ind w:left="360" w:right="439"/>
        <w:spacing w:after="0" w:line="244"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PLAN OF DISTRIBUTION</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may sell the offered securities from time to time:</w:t>
      </w:r>
    </w:p>
    <w:p>
      <w:pPr>
        <w:spacing w:after="0" w:line="93" w:lineRule="exact"/>
        <w:rPr>
          <w:sz w:val="20"/>
          <w:szCs w:val="20"/>
          <w:color w:val="auto"/>
        </w:rPr>
      </w:pPr>
    </w:p>
    <w:p>
      <w:pPr>
        <w:ind w:left="1100" w:hanging="331"/>
        <w:spacing w:after="0"/>
        <w:tabs>
          <w:tab w:leader="none" w:pos="11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64" w:lineRule="exact"/>
        <w:rPr>
          <w:sz w:val="20"/>
          <w:szCs w:val="20"/>
          <w:color w:val="auto"/>
        </w:rPr>
      </w:pPr>
    </w:p>
    <w:p>
      <w:pPr>
        <w:ind w:left="360" w:right="939"/>
        <w:spacing w:after="0" w:line="262"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4"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LEGAL MATTERS</w:t>
      </w:r>
    </w:p>
    <w:p>
      <w:pPr>
        <w:spacing w:after="0" w:line="168" w:lineRule="exact"/>
        <w:rPr>
          <w:sz w:val="20"/>
          <w:szCs w:val="20"/>
          <w:color w:val="auto"/>
        </w:rPr>
      </w:pPr>
    </w:p>
    <w:p>
      <w:pPr>
        <w:ind w:left="360" w:right="519"/>
        <w:spacing w:after="0" w:line="248" w:lineRule="auto"/>
        <w:rPr>
          <w:sz w:val="20"/>
          <w:szCs w:val="20"/>
          <w:color w:val="auto"/>
        </w:rPr>
      </w:pPr>
      <w:r>
        <w:rPr>
          <w:rFonts w:ascii="Times New Roman" w:cs="Times New Roman" w:eastAsia="Times New Roman" w:hAnsi="Times New Roman"/>
          <w:sz w:val="14"/>
          <w:szCs w:val="14"/>
          <w:color w:val="auto"/>
        </w:rPr>
        <w:t>Latham &amp; Watkins LLP will pass upon for us certain legal matters relating to the issuance and sale of the securities offered hereby on behalf of Revolution Medicines, Inc. Additional legal matters may be passed upon for us or any underwriters, dealers or agents, by counsel that we will name in any applicable prospectus supplement. Certain attorneys affiliated with Latham &amp; Watkins LLP own shares of our common stock representing in the aggregate less than 1% of our outstanding shares.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8" w:lineRule="exact"/>
        <w:rPr>
          <w:sz w:val="20"/>
          <w:szCs w:val="20"/>
          <w:color w:val="auto"/>
        </w:rPr>
      </w:pPr>
    </w:p>
    <w:p>
      <w:pPr>
        <w:ind w:left="360" w:right="639"/>
        <w:spacing w:after="0" w:line="248"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47" w:lineRule="exact"/>
        <w:rPr>
          <w:sz w:val="20"/>
          <w:szCs w:val="20"/>
          <w:color w:val="auto"/>
        </w:rPr>
      </w:pPr>
    </w:p>
    <w:p>
      <w:pPr>
        <w:ind w:left="360" w:right="479"/>
        <w:spacing w:after="0" w:line="248" w:lineRule="auto"/>
        <w:rPr>
          <w:sz w:val="20"/>
          <w:szCs w:val="20"/>
          <w:color w:val="auto"/>
        </w:rPr>
      </w:pPr>
      <w:r>
        <w:rPr>
          <w:rFonts w:ascii="Times New Roman" w:cs="Times New Roman" w:eastAsia="Times New Roman" w:hAnsi="Times New Roman"/>
          <w:sz w:val="14"/>
          <w:szCs w:val="14"/>
          <w:color w:val="auto"/>
        </w:rPr>
        <w:t>The consolidated financial statements of EQRx, Inc. appearing in EQRx, Inc.’s Annual Report on Form 10-K for the year ended December 31,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4"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drawing>
          <wp:anchor simplePos="0" relativeHeight="251657728" behindDoc="1" locked="0" layoutInCell="0" allowOverlap="1">
            <wp:simplePos x="0" y="0"/>
            <wp:positionH relativeFrom="page">
              <wp:posOffset>2898140</wp:posOffset>
            </wp:positionH>
            <wp:positionV relativeFrom="page">
              <wp:posOffset>946150</wp:posOffset>
            </wp:positionV>
            <wp:extent cx="1753235" cy="5416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753235"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$500,000,000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0.50% Convertible Senior Notes due 2033</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              TD 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Guggenheim Securities</w:t>
      </w:r>
    </w:p>
    <w:p>
      <w:pPr>
        <w:spacing w:after="0" w:line="126" w:lineRule="exact"/>
        <w:rPr>
          <w:sz w:val="20"/>
          <w:szCs w:val="20"/>
          <w:color w:val="auto"/>
        </w:rPr>
      </w:pPr>
    </w:p>
    <w:p>
      <w:pPr>
        <w:sectPr>
          <w:pgSz w:w="11900" w:h="16838" w:orient="portrait"/>
          <w:cols w:equalWidth="0" w:num="3">
            <w:col w:w="1860" w:space="720"/>
            <w:col w:w="2620" w:space="720"/>
            <w:col w:w="3099"/>
          </w:cols>
          <w:pgMar w:left="1440" w:top="1440"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LifeSci Capital</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April 14, 2026</w:t>
      </w:r>
    </w:p>
    <w:p>
      <w:pPr>
        <w:sectPr>
          <w:pgSz w:w="11900" w:h="16838" w:orient="portrait"/>
          <w:cols w:equalWidth="0" w:num="1">
            <w:col w:w="9019"/>
          </w:cols>
          <w:pgMar w:left="1440" w:top="1440" w:right="1440" w:bottom="1440" w:gutter="0" w:footer="0" w:header="0"/>
          <w:type w:val="continuous"/>
        </w:sectPr>
      </w:pPr>
    </w:p>
    <w:bookmarkStart w:id="124" w:name="page125"/>
    <w:bookmarkEnd w:id="124"/>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Revolution Medicines, Inc.</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52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ind w:left="100"/>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40" w:type="dxa"/>
            <w:vAlign w:val="bottom"/>
            <w:shd w:val="clear" w:color="auto" w:fill="9ADAF6"/>
          </w:tcPr>
          <w:p>
            <w:pPr>
              <w:ind w:left="100"/>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15"/>
                <w:szCs w:val="15"/>
                <w:color w:val="auto"/>
              </w:rPr>
            </w:pPr>
          </w:p>
        </w:tc>
        <w:tc>
          <w:tcPr>
            <w:tcW w:w="920" w:type="dxa"/>
            <w:vAlign w:val="bottom"/>
            <w:shd w:val="clear" w:color="auto" w:fill="9ADAF6"/>
          </w:tcPr>
          <w:p>
            <w:pPr>
              <w:jc w:val="right"/>
              <w:ind w:right="59"/>
              <w:spacing w:after="0" w:line="183"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ind w:left="240"/>
              <w:spacing w:after="0" w:line="183"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40" w:type="dxa"/>
            <w:vAlign w:val="bottom"/>
            <w:shd w:val="clear" w:color="auto" w:fill="9ADAF6"/>
          </w:tcPr>
          <w:p>
            <w:pPr>
              <w:ind w:left="20"/>
              <w:spacing w:after="0" w:line="183" w:lineRule="exact"/>
              <w:rPr>
                <w:sz w:val="20"/>
                <w:szCs w:val="20"/>
                <w:color w:val="auto"/>
              </w:rPr>
            </w:pPr>
            <w:r>
              <w:rPr>
                <w:rFonts w:ascii="Arial" w:cs="Arial" w:eastAsia="Arial" w:hAnsi="Arial"/>
                <w:sz w:val="16"/>
                <w:szCs w:val="16"/>
                <w:b w:val="1"/>
                <w:bCs w:val="1"/>
                <w:color w:val="auto"/>
                <w:w w:val="99"/>
              </w:rPr>
              <w:t>Class 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920" w:type="dxa"/>
            <w:vAlign w:val="bottom"/>
            <w:shd w:val="clear" w:color="auto" w:fill="9ADAF6"/>
          </w:tcPr>
          <w:p>
            <w:pPr>
              <w:jc w:val="right"/>
              <w:spacing w:after="0" w:line="183"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37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0.50%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4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Convertible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Convertible</w:t>
            </w:r>
          </w:p>
        </w:tc>
        <w:tc>
          <w:tcPr>
            <w:tcW w:w="20" w:type="dxa"/>
            <w:vAlign w:val="bottom"/>
          </w:tcPr>
          <w:p>
            <w:pPr>
              <w:spacing w:after="0"/>
              <w:rPr>
                <w:sz w:val="7"/>
                <w:szCs w:val="7"/>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500,000,000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$ 69,050.00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into Equity</w:t>
            </w:r>
          </w:p>
        </w:tc>
        <w:tc>
          <w:tcPr>
            <w:tcW w:w="20" w:type="dxa"/>
            <w:vAlign w:val="bottom"/>
          </w:tcPr>
          <w:p>
            <w:pPr>
              <w:spacing w:after="0"/>
              <w:rPr>
                <w:sz w:val="9"/>
                <w:szCs w:val="9"/>
                <w:color w:val="auto"/>
              </w:rPr>
            </w:pPr>
          </w:p>
        </w:tc>
        <w:tc>
          <w:tcPr>
            <w:tcW w:w="8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Notes 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3" w:lineRule="exact"/>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40" w:type="dxa"/>
            <w:vAlign w:val="bottom"/>
            <w:vMerge w:val="restart"/>
            <w:shd w:val="clear" w:color="auto" w:fill="E7E7E2"/>
          </w:tcPr>
          <w:p>
            <w:pPr>
              <w:spacing w:after="0" w:line="183"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840" w:type="dxa"/>
            <w:vAlign w:val="bottom"/>
            <w:vMerge w:val="restart"/>
            <w:shd w:val="clear" w:color="auto" w:fill="E7E7E2"/>
          </w:tcPr>
          <w:p>
            <w:pPr>
              <w:spacing w:after="0" w:line="183"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3"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center"/>
              <w:spacing w:after="0" w:line="183"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line="183"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spacing w:after="0" w:line="183"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37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$ 69,050.00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$ 69,050.00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0" w:lineRule="exact"/>
        <w:rPr>
          <w:sz w:val="20"/>
          <w:szCs w:val="20"/>
          <w:color w:val="auto"/>
        </w:rPr>
      </w:pPr>
    </w:p>
    <w:p>
      <w:pPr>
        <w:ind w:left="200" w:right="400" w:hanging="168"/>
        <w:spacing w:after="0" w:line="234" w:lineRule="auto"/>
        <w:tabs>
          <w:tab w:leader="none" w:pos="200" w:val="left"/>
        </w:tabs>
        <w:numPr>
          <w:ilvl w:val="0"/>
          <w:numId w:val="88"/>
        </w:numPr>
        <w:rPr>
          <w:rFonts w:ascii="Arial" w:cs="Arial" w:eastAsia="Arial" w:hAnsi="Arial"/>
          <w:sz w:val="20"/>
          <w:szCs w:val="20"/>
          <w:color w:val="auto"/>
          <w:vertAlign w:val="superscript"/>
        </w:rPr>
      </w:pPr>
      <w:r>
        <w:rPr>
          <w:rFonts w:ascii="Arial" w:cs="Arial" w:eastAsia="Arial" w:hAnsi="Arial"/>
          <w:sz w:val="16"/>
          <w:szCs w:val="16"/>
          <w:color w:val="auto"/>
        </w:rPr>
        <w:t>Note 1.a. The amount registered is $500,000,000, which represents the aggregate principal amount of 0.50% Convertible Senior Notes due 2033 (the "Notes") whose offer and sale are registered by the registration statement relating to the prospectus supplement to which this exhibit is attached. Note 1.b. The amount set forth in the column titled "Proposed Maximum Offering Price Per Unit" represents proposed maximum offering price per $1,000 principal amount of Notes. Note 3.a. The fee payable in connection with the offering relating to this exhibit has been calculated pursuant to Rule 457(r) under the Securities Act and paid in accordance with Rule 456(b)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327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16" w:lineRule="exact"/>
        <w:rPr>
          <w:sz w:val="20"/>
          <w:szCs w:val="20"/>
          <w:color w:val="auto"/>
        </w:rPr>
      </w:pPr>
    </w:p>
    <w:p>
      <w:pPr>
        <w:ind w:left="200" w:right="160" w:hanging="168"/>
        <w:spacing w:after="0" w:line="236" w:lineRule="auto"/>
        <w:tabs>
          <w:tab w:leader="none" w:pos="200"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Note 2.a. The amount registered includes an indeterminate number of shares of Common Stock, $0.0001 par value per share (the "Common Stock"), of Revolution Medicines, Inc. issuable upon conversion of the Notes. The initial maximum conversion rate of the Notes is 7.0422 shares of Common Stock per $1,000 principal amount of Notes. Pursuant to Rule 416 under the Securities Act of 1933, as amended (the "Securities Act"), the amount of shares of Common Stock whose offer and sale is registered by the registration statement relating to the prospectus supplement to which this exhibit is attached includes an indeterminate number of shares of Common Stock that may be issued in connection with stock splits, stock dividends, or similar transactions. No additional consideration will be received in connection with the exercise of the conversion privilege of the Notes. Note 2.b. Pursuant to Rule 457(i) under the Securities Act, no separate registration fee is required for the shares of Common Stock issuable upon conversion of the Notes because no additional consideration is to be received in connection with the exercise of the conversion privilege of the Notes. Note 3.a. The fee payable in connection with the offering relating to this exhibit has been calculated pursuant to Rule 457(r) under the Securities Act and paid in accordance with Rule 456(b)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327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4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20"/>
                <w:szCs w:val="20"/>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20"/>
                <w:szCs w:val="20"/>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20"/>
                <w:szCs w:val="20"/>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20"/>
                <w:szCs w:val="20"/>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20"/>
                <w:szCs w:val="20"/>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0"/>
                <w:szCs w:val="20"/>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20"/>
                <w:szCs w:val="20"/>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-962660</wp:posOffset>
            </wp:positionV>
            <wp:extent cx="7172325" cy="2300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2325" cy="230060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Claims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Claims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Sources</w:t>
      </w:r>
    </w:p>
    <w:p>
      <w:pPr>
        <w:spacing w:after="0" w:line="231" w:lineRule="exact"/>
        <w:rPr>
          <w:sz w:val="20"/>
          <w:szCs w:val="20"/>
          <w:color w:val="auto"/>
        </w:rPr>
      </w:pPr>
    </w:p>
    <w:p>
      <w:pPr>
        <w:ind w:left="40"/>
        <w:spacing w:after="0" w:line="184" w:lineRule="exact"/>
        <w:tabs>
          <w:tab w:leader="none" w:pos="9960" w:val="left"/>
        </w:tabs>
        <w:rPr>
          <w:sz w:val="20"/>
          <w:szCs w:val="20"/>
          <w:color w:val="auto"/>
        </w:rPr>
      </w:pPr>
      <w:r>
        <w:rPr>
          <w:rFonts w:ascii="Arial" w:cs="Arial" w:eastAsia="Arial" w:hAnsi="Arial"/>
          <w:sz w:val="16"/>
          <w:szCs w:val="16"/>
          <w:b w:val="1"/>
          <w:bCs w:val="1"/>
          <w:color w:val="auto"/>
        </w:rPr>
        <w:t>Table 3: Combined Prospectuses</w:t>
      </w:r>
      <w:r>
        <w:rPr>
          <w:sz w:val="20"/>
          <w:szCs w:val="20"/>
          <w:color w:val="auto"/>
        </w:rPr>
        <w:tab/>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172325" cy="111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2325" cy="111125"/>
                    </a:xfrm>
                    <a:prstGeom prst="rect">
                      <a:avLst/>
                    </a:prstGeom>
                    <a:noFill/>
                  </pic:spPr>
                </pic:pic>
              </a:graphicData>
            </a:graphic>
          </wp:anchor>
        </w:drawing>
      </w:r>
    </w:p>
    <w:p>
      <w:pPr>
        <w:sectPr>
          <w:pgSz w:w="11900" w:h="16838" w:orient="portrait"/>
          <w:cols w:equalWidth="0" w:num="1">
            <w:col w:w="11360"/>
          </w:cols>
          <w:pgMar w:left="300" w:top="140" w:right="239" w:bottom="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26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16"/>
                <w:szCs w:val="16"/>
                <w:color w:val="auto"/>
              </w:rPr>
            </w:pPr>
          </w:p>
        </w:tc>
        <w:tc>
          <w:tcPr>
            <w:tcW w:w="2800" w:type="dxa"/>
            <w:vAlign w:val="bottom"/>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112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9ADAF6"/>
          </w:tcPr>
          <w:p>
            <w:pPr>
              <w:ind w:left="400"/>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20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15"/>
                <w:szCs w:val="15"/>
                <w:color w:val="auto"/>
              </w:rPr>
            </w:pPr>
          </w:p>
        </w:tc>
        <w:tc>
          <w:tcPr>
            <w:tcW w:w="680" w:type="dxa"/>
            <w:vAlign w:val="bottom"/>
            <w:shd w:val="clear" w:color="auto" w:fill="9ADAF6"/>
          </w:tcPr>
          <w:p>
            <w:pPr>
              <w:ind w:left="160"/>
              <w:spacing w:after="0" w:line="183"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15"/>
                <w:szCs w:val="15"/>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9ADAF6"/>
          </w:tcPr>
          <w:p>
            <w:pPr>
              <w:ind w:left="380"/>
              <w:spacing w:after="0" w:line="183"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15"/>
                <w:szCs w:val="15"/>
                <w:color w:val="auto"/>
              </w:rPr>
            </w:pPr>
          </w:p>
        </w:tc>
        <w:tc>
          <w:tcPr>
            <w:tcW w:w="20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15"/>
                <w:szCs w:val="15"/>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8"/>
                <w:szCs w:val="18"/>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Narrative Disclosure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maximum aggregate offering price of the securities to which the prospectus relates is $500,000,000.00. The prospectus is a final prospectus for the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1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2"/>
    </w:lvl>
  </w:abstractNum>
  <w:abstractNum w:abstractNumId="19">
    <w:nsid w:val="4F4EF005"/>
    <w:multiLevelType w:val="hybridMultilevel"/>
    <w:lvl w:ilvl="0">
      <w:lvlJc w:val="left"/>
      <w:lvlText w:val="X"/>
      <w:numFmt w:val="bullet"/>
      <w:start w:val="1"/>
    </w:lvl>
  </w:abstractNum>
  <w:abstractNum w:abstractNumId="20">
    <w:nsid w:val="23F9C13C"/>
    <w:multiLevelType w:val="hybridMultilevel"/>
    <w:lvl w:ilvl="0">
      <w:lvlJc w:val="left"/>
      <w:lvlText w:val="Y"/>
      <w:numFmt w:val="bullet"/>
      <w:start w:val="1"/>
    </w:lvl>
  </w:abstractNum>
  <w:abstractNum w:abstractNumId="21">
    <w:nsid w:val="649BB77C"/>
    <w:multiLevelType w:val="hybridMultilevel"/>
    <w:lvl w:ilvl="0">
      <w:lvlJc w:val="left"/>
      <w:lvlText w:val="(%1)"/>
      <w:numFmt w:val="decimal"/>
      <w:start w:val="3"/>
    </w:lvl>
    <w:lvl w:ilvl="1">
      <w:lvlJc w:val="left"/>
      <w:lvlText w:val="(%2)"/>
      <w:numFmt w:val="lowerLetter"/>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lowerLetter"/>
      <w:start w:val="2"/>
    </w:lvl>
  </w:abstractNum>
  <w:abstractNum w:abstractNumId="24">
    <w:nsid w:val="1CF10FD8"/>
    <w:multiLevelType w:val="hybridMultilevel"/>
    <w:lvl w:ilvl="0">
      <w:lvlJc w:val="left"/>
      <w:lvlText w:val="(%1)"/>
      <w:numFmt w:val="decimal"/>
      <w:start w:val="4"/>
    </w:lvl>
  </w:abstractNum>
  <w:abstractNum w:abstractNumId="25">
    <w:nsid w:val="180115BE"/>
    <w:multiLevelType w:val="hybridMultilevel"/>
    <w:lvl w:ilvl="0">
      <w:lvlJc w:val="left"/>
      <w:lvlText w:val="D"/>
      <w:numFmt w:val="bullet"/>
      <w:start w:val="1"/>
    </w:lvl>
  </w:abstractNum>
  <w:abstractNum w:abstractNumId="26">
    <w:nsid w:val="235BA861"/>
    <w:multiLevelType w:val="hybridMultilevel"/>
    <w:lvl w:ilvl="0">
      <w:lvlJc w:val="left"/>
      <w:lvlText w:val="(%1)"/>
      <w:numFmt w:val="decimal"/>
      <w:start w:val="5"/>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8"/>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lowerRoman"/>
      <w:start w:val="1"/>
    </w:lvl>
  </w:abstractNum>
  <w:abstractNum w:abstractNumId="46">
    <w:nsid w:val="5DB70AE5"/>
    <w:multiLevelType w:val="hybridMultilevel"/>
    <w:lvl w:ilvl="0">
      <w:lvlJc w:val="left"/>
      <w:lvlText w:val="(%1)"/>
      <w:numFmt w:val="lowerRoman"/>
      <w:start w:val="3"/>
    </w:lvl>
  </w:abstractNum>
  <w:abstractNum w:abstractNumId="47">
    <w:nsid w:val="100F8FCA"/>
    <w:multiLevelType w:val="hybridMultilevel"/>
    <w:lvl w:ilvl="0">
      <w:lvlJc w:val="left"/>
      <w:lvlText w:val="(%1)"/>
      <w:numFmt w:val="lowerRoman"/>
      <w:start w:val="4"/>
    </w:lvl>
  </w:abstractNum>
  <w:abstractNum w:abstractNumId="48">
    <w:nsid w:val="6590700B"/>
    <w:multiLevelType w:val="hybridMultilevel"/>
    <w:lvl w:ilvl="0">
      <w:lvlJc w:val="left"/>
      <w:lvlText w:val="(%1)"/>
      <w:numFmt w:val="lowerRoman"/>
      <w:start w:val="1"/>
    </w:lvl>
  </w:abstractNum>
  <w:abstractNum w:abstractNumId="49">
    <w:nsid w:val="15014ACB"/>
    <w:multiLevelType w:val="hybridMultilevel"/>
    <w:lvl w:ilvl="0">
      <w:lvlJc w:val="left"/>
      <w:lvlText w:val="(%1)"/>
      <w:numFmt w:val="lowerRoman"/>
      <w:start w:val="3"/>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lowerRoman"/>
      <w:start w:val="2"/>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lowerRoman"/>
      <w:start w:val="2"/>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1"/>
    </w:lvl>
    <w:lvl w:ilvl="1">
      <w:lvlJc w:val="left"/>
      <w:lvlText w:val="(%2)"/>
      <w:numFmt w:val="lowerRoman"/>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Roman"/>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1)"/>
      <w:numFmt w:val="decimal"/>
      <w:start w:val="650"/>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1)"/>
      <w:numFmt w:val="lowerLetter"/>
      <w:start w:val="25"/>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bullet"/>
      <w:start w:val="1"/>
    </w:lvl>
  </w:abstractNum>
  <w:abstractNum w:abstractNumId="88">
    <w:nsid w:val="3222E7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jpe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jpe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12" Type="http://schemas.openxmlformats.org/officeDocument/2006/relationships/hyperlink" Target="http://www.sec.gov/ix?doc=/Archives/edgar/data/1628171/000119312526071563/rvmd-20251231.htm" TargetMode="External"/><Relationship Id="rId113" Type="http://schemas.openxmlformats.org/officeDocument/2006/relationships/hyperlink" Target="http://www.sec.gov/ix?doc=/Archives/edgar/data/1628171/000119312526152039/d69348d8k.htm" TargetMode="External"/><Relationship Id="rId114" Type="http://schemas.openxmlformats.org/officeDocument/2006/relationships/hyperlink" Target="http://www.sec.gov/Archives/edgar/data/1628171/000119312526071563/rvmd-ex4_3.htm" TargetMode="External"/><Relationship Id="rId125" Type="http://schemas.openxmlformats.org/officeDocument/2006/relationships/hyperlink" Target="http://www.sec.gov/ix?doc=/Archives/edgar/data/1628171/000095017024020145/rvmd-20231231.htm" TargetMode="External"/><Relationship Id="rId126" Type="http://schemas.openxmlformats.org/officeDocument/2006/relationships/hyperlink" Target="http://www.sec.gov/Archives/edgar/data/1628171/000095017024020145/rvmd-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2026-04-15T16:35:40Z</dcterms:created>
  <dcterms:modified xsi:type="dcterms:W3CDTF">2026-04-15T16:35:40Z</dcterms:modified>
</cp:coreProperties>
</file>