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173355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 w:lineRule="exact"/>
        <w:rPr>
          <w:sz w:val="24"/>
          <w:szCs w:val="24"/>
          <w:color w:val="auto"/>
        </w:rPr>
      </w:pPr>
    </w:p>
    <w:p>
      <w:pPr>
        <w:ind w:left="3840" w:right="1760" w:hanging="3833"/>
        <w:spacing w:after="0" w:line="382" w:lineRule="auto"/>
        <w:tabs>
          <w:tab w:leader="none" w:pos="4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-400050</wp:posOffset>
            </wp:positionV>
            <wp:extent cx="85725" cy="86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67" w:lineRule="exact"/>
        <w:rPr>
          <w:sz w:val="24"/>
          <w:szCs w:val="24"/>
          <w:color w:val="auto"/>
        </w:rPr>
      </w:pPr>
    </w:p>
    <w:p>
      <w:pPr>
        <w:ind w:left="4060" w:right="1740" w:hanging="4053"/>
        <w:spacing w:after="0" w:line="370" w:lineRule="auto"/>
        <w:tabs>
          <w:tab w:leader="none" w:pos="4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w:t>
      </w:r>
      <w:r>
        <w:rPr>
          <w:rFonts w:ascii="Arial" w:cs="Arial" w:eastAsia="Arial" w:hAnsi="Arial"/>
          <w:sz w:val="18"/>
          <w:szCs w:val="18"/>
          <w:color w:val="auto"/>
        </w:rPr>
        <w:t>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w:t>
      </w:r>
    </w:p>
    <w:p>
      <w:pPr>
        <w:spacing w:after="0" w:line="1"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100330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-510540</wp:posOffset>
            </wp:positionV>
            <wp:extent cx="8572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Revolution Medicines,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6" w:lineRule="exact"/>
        <w:rPr>
          <w:sz w:val="24"/>
          <w:szCs w:val="24"/>
          <w:color w:val="auto"/>
        </w:rPr>
      </w:pPr>
    </w:p>
    <w:tbl>
      <w:tblPr>
        <w:tblLayout w:type="fixed"/>
        <w:tblInd w:w="1800" w:type="dxa"/>
        <w:tblCellMar>
          <w:top w:w="0" w:type="dxa"/>
          <w:left w:w="0" w:type="dxa"/>
          <w:bottom w:w="0" w:type="dxa"/>
          <w:right w:w="0" w:type="dxa"/>
        </w:tblCellMar>
      </w:tblPr>
      <w:tr>
        <w:trPr>
          <w:trHeight w:val="213"/>
        </w:trPr>
        <w:tc>
          <w:tcPr>
            <w:tcW w:w="4100" w:type="dxa"/>
            <w:vAlign w:val="bottom"/>
          </w:tcPr>
          <w:p>
            <w:pPr>
              <w:jc w:val="center"/>
              <w:ind w:right="1985"/>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47-2029180</w:t>
            </w:r>
          </w:p>
        </w:tc>
      </w:tr>
      <w:tr>
        <w:trPr>
          <w:trHeight w:val="133"/>
        </w:trPr>
        <w:tc>
          <w:tcPr>
            <w:tcW w:w="4100" w:type="dxa"/>
            <w:vAlign w:val="bottom"/>
          </w:tcPr>
          <w:p>
            <w:pPr>
              <w:jc w:val="center"/>
              <w:ind w:right="1985"/>
              <w:spacing w:after="0" w:line="133" w:lineRule="exact"/>
              <w:rPr>
                <w:sz w:val="20"/>
                <w:szCs w:val="20"/>
                <w:color w:val="auto"/>
              </w:rPr>
            </w:pPr>
            <w:r>
              <w:rPr>
                <w:rFonts w:ascii="Arial" w:cs="Arial" w:eastAsia="Arial" w:hAnsi="Arial"/>
                <w:sz w:val="12"/>
                <w:szCs w:val="12"/>
                <w:b w:val="1"/>
                <w:bCs w:val="1"/>
                <w:color w:val="auto"/>
                <w:w w:val="94"/>
              </w:rPr>
              <w:t>(State or other jurisdiction of</w:t>
            </w:r>
          </w:p>
        </w:tc>
        <w:tc>
          <w:tcPr>
            <w:tcW w:w="3020" w:type="dxa"/>
            <w:vAlign w:val="bottom"/>
          </w:tcPr>
          <w:p>
            <w:pPr>
              <w:jc w:val="center"/>
              <w:ind w:left="1967"/>
              <w:spacing w:after="0" w:line="133" w:lineRule="exact"/>
              <w:rPr>
                <w:sz w:val="20"/>
                <w:szCs w:val="20"/>
                <w:color w:val="auto"/>
              </w:rPr>
            </w:pPr>
            <w:r>
              <w:rPr>
                <w:rFonts w:ascii="Arial" w:cs="Arial" w:eastAsia="Arial" w:hAnsi="Arial"/>
                <w:sz w:val="12"/>
                <w:szCs w:val="12"/>
                <w:b w:val="1"/>
                <w:bCs w:val="1"/>
                <w:color w:val="auto"/>
                <w:w w:val="97"/>
              </w:rPr>
              <w:t>(I.R.S. Employer</w:t>
            </w:r>
          </w:p>
        </w:tc>
      </w:tr>
      <w:tr>
        <w:trPr>
          <w:trHeight w:val="133"/>
        </w:trPr>
        <w:tc>
          <w:tcPr>
            <w:tcW w:w="4100" w:type="dxa"/>
            <w:vAlign w:val="bottom"/>
          </w:tcPr>
          <w:p>
            <w:pPr>
              <w:jc w:val="center"/>
              <w:ind w:right="1985"/>
              <w:spacing w:after="0" w:line="133" w:lineRule="exact"/>
              <w:rPr>
                <w:sz w:val="20"/>
                <w:szCs w:val="20"/>
                <w:color w:val="auto"/>
              </w:rPr>
            </w:pPr>
            <w:r>
              <w:rPr>
                <w:rFonts w:ascii="Arial" w:cs="Arial" w:eastAsia="Arial" w:hAnsi="Arial"/>
                <w:sz w:val="12"/>
                <w:szCs w:val="12"/>
                <w:b w:val="1"/>
                <w:bCs w:val="1"/>
                <w:color w:val="auto"/>
                <w:w w:val="95"/>
              </w:rPr>
              <w:t>incorporation or organization)</w:t>
            </w:r>
          </w:p>
        </w:tc>
        <w:tc>
          <w:tcPr>
            <w:tcW w:w="3020" w:type="dxa"/>
            <w:vAlign w:val="bottom"/>
          </w:tcPr>
          <w:p>
            <w:pPr>
              <w:jc w:val="center"/>
              <w:ind w:left="1967"/>
              <w:spacing w:after="0" w:line="133" w:lineRule="exact"/>
              <w:rPr>
                <w:sz w:val="20"/>
                <w:szCs w:val="20"/>
                <w:color w:val="auto"/>
              </w:rPr>
            </w:pPr>
            <w:r>
              <w:rPr>
                <w:rFonts w:ascii="Arial" w:cs="Arial" w:eastAsia="Arial" w:hAnsi="Arial"/>
                <w:sz w:val="12"/>
                <w:szCs w:val="12"/>
                <w:b w:val="1"/>
                <w:bCs w:val="1"/>
                <w:color w:val="auto"/>
                <w:w w:val="96"/>
              </w:rPr>
              <w:t>Identification No.)</w:t>
            </w:r>
          </w:p>
        </w:tc>
      </w:tr>
      <w:tr>
        <w:trPr>
          <w:trHeight w:val="213"/>
        </w:trPr>
        <w:tc>
          <w:tcPr>
            <w:tcW w:w="4100" w:type="dxa"/>
            <w:vAlign w:val="bottom"/>
          </w:tcPr>
          <w:p>
            <w:pPr>
              <w:jc w:val="center"/>
              <w:ind w:right="2005"/>
              <w:spacing w:after="0"/>
              <w:rPr>
                <w:sz w:val="20"/>
                <w:szCs w:val="20"/>
                <w:color w:val="auto"/>
              </w:rPr>
            </w:pPr>
            <w:r>
              <w:rPr>
                <w:rFonts w:ascii="Arial" w:cs="Arial" w:eastAsia="Arial" w:hAnsi="Arial"/>
                <w:sz w:val="18"/>
                <w:szCs w:val="18"/>
                <w:b w:val="1"/>
                <w:bCs w:val="1"/>
                <w:color w:val="auto"/>
                <w:w w:val="89"/>
              </w:rPr>
              <w:t>700 Saginaw Drive</w:t>
            </w:r>
          </w:p>
        </w:tc>
        <w:tc>
          <w:tcPr>
            <w:tcW w:w="3020" w:type="dxa"/>
            <w:vAlign w:val="bottom"/>
          </w:tcPr>
          <w:p>
            <w:pPr>
              <w:spacing w:after="0"/>
              <w:rPr>
                <w:sz w:val="18"/>
                <w:szCs w:val="18"/>
                <w:color w:val="auto"/>
              </w:rPr>
            </w:pPr>
          </w:p>
        </w:tc>
      </w:tr>
      <w:tr>
        <w:trPr>
          <w:trHeight w:val="213"/>
        </w:trPr>
        <w:tc>
          <w:tcPr>
            <w:tcW w:w="4100" w:type="dxa"/>
            <w:vAlign w:val="bottom"/>
          </w:tcPr>
          <w:p>
            <w:pPr>
              <w:jc w:val="center"/>
              <w:ind w:right="1985"/>
              <w:spacing w:after="0"/>
              <w:rPr>
                <w:sz w:val="20"/>
                <w:szCs w:val="20"/>
                <w:color w:val="auto"/>
              </w:rPr>
            </w:pPr>
            <w:r>
              <w:rPr>
                <w:rFonts w:ascii="Arial" w:cs="Arial" w:eastAsia="Arial" w:hAnsi="Arial"/>
                <w:sz w:val="18"/>
                <w:szCs w:val="18"/>
                <w:b w:val="1"/>
                <w:bCs w:val="1"/>
                <w:color w:val="auto"/>
                <w:w w:val="89"/>
              </w:rPr>
              <w:t>Redwood City, CA</w:t>
            </w:r>
          </w:p>
        </w:tc>
        <w:tc>
          <w:tcPr>
            <w:tcW w:w="3020" w:type="dxa"/>
            <w:vAlign w:val="bottom"/>
          </w:tcPr>
          <w:p>
            <w:pPr>
              <w:jc w:val="right"/>
              <w:ind w:right="187"/>
              <w:spacing w:after="0"/>
              <w:rPr>
                <w:sz w:val="20"/>
                <w:szCs w:val="20"/>
                <w:color w:val="auto"/>
              </w:rPr>
            </w:pPr>
            <w:r>
              <w:rPr>
                <w:rFonts w:ascii="Arial" w:cs="Arial" w:eastAsia="Arial" w:hAnsi="Arial"/>
                <w:sz w:val="18"/>
                <w:szCs w:val="18"/>
                <w:b w:val="1"/>
                <w:bCs w:val="1"/>
                <w:color w:val="auto"/>
              </w:rPr>
              <w:t>94063</w:t>
            </w:r>
          </w:p>
        </w:tc>
      </w:tr>
      <w:tr>
        <w:trPr>
          <w:trHeight w:val="161"/>
        </w:trPr>
        <w:tc>
          <w:tcPr>
            <w:tcW w:w="4100" w:type="dxa"/>
            <w:vAlign w:val="bottom"/>
          </w:tcPr>
          <w:p>
            <w:pPr>
              <w:jc w:val="center"/>
              <w:ind w:right="1985"/>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3020" w:type="dxa"/>
            <w:vAlign w:val="bottom"/>
          </w:tcPr>
          <w:p>
            <w:pPr>
              <w:jc w:val="center"/>
              <w:ind w:left="1967"/>
              <w:spacing w:after="0"/>
              <w:rPr>
                <w:sz w:val="20"/>
                <w:szCs w:val="20"/>
                <w:color w:val="auto"/>
              </w:rPr>
            </w:pPr>
            <w:r>
              <w:rPr>
                <w:rFonts w:ascii="Arial" w:cs="Arial" w:eastAsia="Arial" w:hAnsi="Arial"/>
                <w:sz w:val="12"/>
                <w:szCs w:val="12"/>
                <w:b w:val="1"/>
                <w:bCs w:val="1"/>
                <w:color w:val="auto"/>
                <w:w w:val="97"/>
              </w:rPr>
              <w:t>(Zip Code)</w:t>
            </w:r>
          </w:p>
        </w:tc>
      </w:tr>
    </w:tbl>
    <w:p>
      <w:pPr>
        <w:spacing w:after="0" w:line="39"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100330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69"/>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Common Stock $0.0001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RVMD</w:t>
            </w:r>
          </w:p>
        </w:tc>
        <w:tc>
          <w:tcPr>
            <w:tcW w:w="120" w:type="dxa"/>
            <w:vAlign w:val="bottom"/>
          </w:tcPr>
          <w:p>
            <w:pPr>
              <w:spacing w:after="0"/>
              <w:rPr>
                <w:sz w:val="15"/>
                <w:szCs w:val="15"/>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Stock Market LLC</w:t>
            </w: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140" w:firstLine="599"/>
        <w:spacing w:after="0" w:line="30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 w:firstLine="599"/>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ind w:right="280" w:firstLine="599"/>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57" w:lineRule="exact"/>
        <w:rPr>
          <w:sz w:val="24"/>
          <w:szCs w:val="24"/>
          <w:color w:val="auto"/>
        </w:rPr>
      </w:pPr>
    </w:p>
    <w:p>
      <w:pPr>
        <w:ind w:right="120"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00" w:right="2140"/>
        <w:spacing w:after="0" w:line="25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8, 2020, the registrant had 59,013,920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164465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511810</wp:posOffset>
            </wp:positionV>
            <wp:extent cx="71507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966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40"/>
        </w:trPr>
        <w:tc>
          <w:tcPr>
            <w:tcW w:w="80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Page</w:t>
            </w:r>
          </w:p>
        </w:tc>
      </w:tr>
      <w:tr>
        <w:trPr>
          <w:trHeight w:val="216"/>
        </w:trPr>
        <w:tc>
          <w:tcPr>
            <w:tcW w:w="104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 Looking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30"/>
        </w:trPr>
        <w:tc>
          <w:tcPr>
            <w:tcW w:w="8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00" w:type="dxa"/>
            <w:vAlign w:val="bottom"/>
          </w:tcPr>
          <w:p>
            <w:pPr>
              <w:spacing w:after="0"/>
              <w:rPr>
                <w:sz w:val="19"/>
                <w:szCs w:val="19"/>
                <w:color w:val="auto"/>
              </w:rPr>
            </w:pPr>
          </w:p>
        </w:tc>
        <w:tc>
          <w:tcPr>
            <w:tcW w:w="96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00" w:type="dxa"/>
            <w:vAlign w:val="bottom"/>
          </w:tcPr>
          <w:p>
            <w:pPr>
              <w:spacing w:after="0"/>
              <w:rPr>
                <w:sz w:val="19"/>
                <w:szCs w:val="19"/>
                <w:color w:val="auto"/>
              </w:rPr>
            </w:pPr>
          </w:p>
        </w:tc>
        <w:tc>
          <w:tcPr>
            <w:tcW w:w="966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800" w:type="dxa"/>
            <w:vAlign w:val="bottom"/>
          </w:tcPr>
          <w:p>
            <w:pPr>
              <w:spacing w:after="0"/>
              <w:rPr>
                <w:sz w:val="19"/>
                <w:szCs w:val="19"/>
                <w:color w:val="auto"/>
              </w:rPr>
            </w:pPr>
          </w:p>
        </w:tc>
        <w:tc>
          <w:tcPr>
            <w:tcW w:w="966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2"/>
        </w:trPr>
        <w:tc>
          <w:tcPr>
            <w:tcW w:w="800" w:type="dxa"/>
            <w:vAlign w:val="bottom"/>
          </w:tcPr>
          <w:p>
            <w:pPr>
              <w:spacing w:after="0"/>
              <w:rPr>
                <w:sz w:val="22"/>
                <w:szCs w:val="22"/>
                <w:color w:val="auto"/>
              </w:rPr>
            </w:pPr>
          </w:p>
        </w:tc>
        <w:tc>
          <w:tcPr>
            <w:tcW w:w="9660" w:type="dxa"/>
            <w:vAlign w:val="bottom"/>
          </w:tcPr>
          <w:p>
            <w:pPr>
              <w:ind w:left="80"/>
              <w:spacing w:after="0"/>
              <w:rPr>
                <w:rFonts w:ascii="Arial" w:cs="Arial" w:eastAsia="Arial" w:hAnsi="Arial"/>
                <w:sz w:val="18"/>
                <w:szCs w:val="18"/>
                <w:color w:val="0000EE"/>
              </w:rPr>
            </w:pPr>
            <w:hyperlink w:anchor="page8">
              <w:r>
                <w:rPr>
                  <w:rFonts w:ascii="Arial" w:cs="Arial" w:eastAsia="Arial" w:hAnsi="Arial"/>
                  <w:sz w:val="18"/>
                  <w:szCs w:val="18"/>
                  <w:u w:val="single" w:color="auto"/>
                  <w:color w:val="0000EE"/>
                </w:rPr>
                <w:t>Condensed Consolidated Statements of Redeemable Convertible Preferred Stock and Stockholder’s Equity</w:t>
              </w:r>
              <w:r>
                <w:rPr>
                  <w:rFonts w:ascii="Arial" w:cs="Arial" w:eastAsia="Arial" w:hAnsi="Arial"/>
                  <w:sz w:val="18"/>
                  <w:szCs w:val="18"/>
                  <w:color w:val="0000EE"/>
                </w:rPr>
                <w:t xml:space="preserve"> </w:t>
              </w:r>
              <w:r>
                <w:rPr>
                  <w:rFonts w:ascii="Arial" w:cs="Arial" w:eastAsia="Arial" w:hAnsi="Arial"/>
                  <w:sz w:val="21"/>
                  <w:szCs w:val="21"/>
                  <w:color w:val="0000EE"/>
                </w:rPr>
                <w:t>(</w:t>
              </w:r>
              <w:r>
                <w:rPr>
                  <w:rFonts w:ascii="Arial" w:cs="Arial" w:eastAsia="Arial" w:hAnsi="Arial"/>
                  <w:sz w:val="18"/>
                  <w:szCs w:val="18"/>
                  <w:u w:val="single" w:color="auto"/>
                  <w:color w:val="0000EE"/>
                </w:rPr>
                <w:t>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800" w:type="dxa"/>
            <w:vAlign w:val="bottom"/>
          </w:tcPr>
          <w:p>
            <w:pPr>
              <w:spacing w:after="0"/>
              <w:rPr>
                <w:sz w:val="19"/>
                <w:szCs w:val="19"/>
                <w:color w:val="auto"/>
              </w:rPr>
            </w:pPr>
          </w:p>
        </w:tc>
        <w:tc>
          <w:tcPr>
            <w:tcW w:w="966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00" w:type="dxa"/>
            <w:vAlign w:val="bottom"/>
          </w:tcPr>
          <w:p>
            <w:pPr>
              <w:spacing w:after="0"/>
              <w:rPr>
                <w:sz w:val="19"/>
                <w:szCs w:val="19"/>
                <w:color w:val="auto"/>
              </w:rPr>
            </w:pPr>
          </w:p>
        </w:tc>
        <w:tc>
          <w:tcPr>
            <w:tcW w:w="9660" w:type="dxa"/>
            <w:vAlign w:val="bottom"/>
          </w:tcPr>
          <w:p>
            <w:pPr>
              <w:ind w:left="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6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66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tcPr>
          <w:p>
            <w:pPr>
              <w:ind w:left="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tcPr>
          <w:p>
            <w:pPr>
              <w:ind w:left="8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7"/>
        </w:trPr>
        <w:tc>
          <w:tcPr>
            <w:tcW w:w="800" w:type="dxa"/>
            <w:vAlign w:val="bottom"/>
          </w:tcPr>
          <w:p>
            <w:pPr>
              <w:spacing w:after="0"/>
              <w:rPr>
                <w:sz w:val="19"/>
                <w:szCs w:val="19"/>
                <w:color w:val="auto"/>
              </w:rPr>
            </w:pPr>
          </w:p>
        </w:tc>
        <w:tc>
          <w:tcPr>
            <w:tcW w:w="9660" w:type="dxa"/>
            <w:vAlign w:val="bottom"/>
          </w:tcPr>
          <w:p>
            <w:pPr>
              <w:ind w:left="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right="260" w:firstLine="510"/>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0" w:lineRule="exact"/>
        <w:rPr>
          <w:sz w:val="20"/>
          <w:szCs w:val="20"/>
          <w:color w:val="auto"/>
        </w:rPr>
      </w:pPr>
    </w:p>
    <w:p>
      <w:pPr>
        <w:ind w:left="1020" w:right="16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RMC-4630 Phase 1/2 clinical program;</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2" w:lineRule="exact"/>
        <w:rPr>
          <w:rFonts w:ascii="Arial" w:cs="Arial" w:eastAsia="Arial" w:hAnsi="Arial"/>
          <w:sz w:val="18"/>
          <w:szCs w:val="18"/>
          <w:color w:val="auto"/>
        </w:rPr>
      </w:pPr>
    </w:p>
    <w:p>
      <w:pPr>
        <w:ind w:left="1020" w:right="38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72" w:lineRule="exact"/>
        <w:rPr>
          <w:rFonts w:ascii="Arial" w:cs="Arial" w:eastAsia="Arial" w:hAnsi="Arial"/>
          <w:sz w:val="18"/>
          <w:szCs w:val="18"/>
          <w:color w:val="auto"/>
        </w:rPr>
      </w:pPr>
    </w:p>
    <w:p>
      <w:pPr>
        <w:ind w:left="1020" w:right="14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RMC-4630, our other product candidates and any future product candidates, if approved for commercial use;</w:t>
      </w:r>
    </w:p>
    <w:p>
      <w:pPr>
        <w:spacing w:after="0" w:line="72" w:lineRule="exact"/>
        <w:rPr>
          <w:rFonts w:ascii="Arial" w:cs="Arial" w:eastAsia="Arial" w:hAnsi="Arial"/>
          <w:sz w:val="18"/>
          <w:szCs w:val="18"/>
          <w:color w:val="auto"/>
        </w:rPr>
      </w:pPr>
    </w:p>
    <w:p>
      <w:pPr>
        <w:ind w:left="1020" w:right="76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 including our collaboration with Sanofi;</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2" w:lineRule="exact"/>
        <w:rPr>
          <w:rFonts w:ascii="Arial" w:cs="Arial" w:eastAsia="Arial" w:hAnsi="Arial"/>
          <w:sz w:val="18"/>
          <w:szCs w:val="18"/>
          <w:color w:val="auto"/>
        </w:rPr>
      </w:pPr>
    </w:p>
    <w:p>
      <w:pPr>
        <w:ind w:left="1020" w:right="38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pricing and reimbursement of our product candidates, if approved;</w:t>
      </w:r>
    </w:p>
    <w:p>
      <w:pPr>
        <w:spacing w:after="0" w:line="72" w:lineRule="exact"/>
        <w:rPr>
          <w:rFonts w:ascii="Arial" w:cs="Arial" w:eastAsia="Arial" w:hAnsi="Arial"/>
          <w:sz w:val="18"/>
          <w:szCs w:val="18"/>
          <w:color w:val="auto"/>
        </w:rPr>
      </w:pPr>
    </w:p>
    <w:p>
      <w:pPr>
        <w:ind w:left="1020" w:right="58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 including additional indications for which we may pursue;</w:t>
      </w:r>
    </w:p>
    <w:p>
      <w:pPr>
        <w:spacing w:after="0" w:line="72" w:lineRule="exact"/>
        <w:rPr>
          <w:rFonts w:ascii="Arial" w:cs="Arial" w:eastAsia="Arial" w:hAnsi="Arial"/>
          <w:sz w:val="18"/>
          <w:szCs w:val="18"/>
          <w:color w:val="auto"/>
        </w:rPr>
      </w:pPr>
    </w:p>
    <w:p>
      <w:pPr>
        <w:ind w:left="1020" w:right="36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 of patent protection;</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35" w:lineRule="exact"/>
        <w:rPr>
          <w:rFonts w:ascii="Arial" w:cs="Arial" w:eastAsia="Arial" w:hAnsi="Arial"/>
          <w:sz w:val="16"/>
          <w:szCs w:val="16"/>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2"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 including clinical trials, manufacturing, use of contract research organizations and employees;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2" w:lineRule="exact"/>
        <w:rPr>
          <w:rFonts w:ascii="Arial" w:cs="Arial" w:eastAsia="Arial" w:hAnsi="Arial"/>
          <w:sz w:val="18"/>
          <w:szCs w:val="18"/>
          <w:color w:val="auto"/>
        </w:rPr>
      </w:pPr>
    </w:p>
    <w:p>
      <w:pPr>
        <w:ind w:left="102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72" w:lineRule="exact"/>
        <w:rPr>
          <w:rFonts w:ascii="Arial" w:cs="Arial" w:eastAsia="Arial" w:hAnsi="Arial"/>
          <w:sz w:val="18"/>
          <w:szCs w:val="18"/>
          <w:color w:val="auto"/>
        </w:rPr>
      </w:pPr>
    </w:p>
    <w:p>
      <w:pPr>
        <w:ind w:left="1020" w:right="18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enforce and defend our intellectual property protection for our product candidates;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firstLine="510"/>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165" w:lineRule="exact"/>
        <w:rPr>
          <w:sz w:val="20"/>
          <w:szCs w:val="20"/>
          <w:color w:val="auto"/>
        </w:rPr>
      </w:pPr>
    </w:p>
    <w:p>
      <w:pPr>
        <w:ind w:right="40" w:firstLine="510"/>
        <w:spacing w:after="0" w:line="295"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62"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(https://ir.revmed.com),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182,669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165,279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 from related party</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454,341</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220,529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related party, current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2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related party, noncurrent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69,025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$0.0001 par value; zero and 192,904,770</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authorized at March 31, 2020 and December 31, 2019, respectively;</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zero and 39,600,423 shares issued and outstanding at March 31, 2020 and December</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 2019, respectively; aggregate liquidation preference of zero and $308,688 and</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March 31, 2020 and December 31, 2019, respectively</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$0.0001 par value; 10,000,000 and zero shares authorized at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2020 and December 31, 2019, respectively; zero shares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740" w:type="dxa"/>
            <w:vAlign w:val="bottom"/>
          </w:tcPr>
          <w:p>
            <w:pPr>
              <w:spacing w:after="0"/>
              <w:rPr>
                <w:sz w:val="20"/>
                <w:szCs w:val="20"/>
                <w:color w:val="auto"/>
              </w:rPr>
            </w:pPr>
            <w:r>
              <w:rPr>
                <w:rFonts w:ascii="Arial" w:cs="Arial" w:eastAsia="Arial" w:hAnsi="Arial"/>
                <w:sz w:val="18"/>
                <w:szCs w:val="18"/>
                <w:color w:val="auto"/>
              </w:rPr>
              <w:t>Common stock, $0.0001 par value; 300,000,000 and 249,000,000 shares authorized at</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140"/>
              <w:spacing w:after="0"/>
              <w:rPr>
                <w:sz w:val="20"/>
                <w:szCs w:val="20"/>
                <w:color w:val="auto"/>
              </w:rPr>
            </w:pPr>
            <w:r>
              <w:rPr>
                <w:rFonts w:ascii="Arial" w:cs="Arial" w:eastAsia="Arial" w:hAnsi="Arial"/>
                <w:sz w:val="18"/>
                <w:szCs w:val="18"/>
                <w:color w:val="auto"/>
              </w:rPr>
              <w:t>March 31, 2020 and December 31, 2019, respectively; 59,003,644 and 3,292,124 shares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140"/>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(176,905)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(157,386)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385,316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(152,574)</w:t>
            </w:r>
          </w:p>
        </w:tc>
        <w:tc>
          <w:tcPr>
            <w:tcW w:w="0" w:type="dxa"/>
            <w:vAlign w:val="bottom"/>
          </w:tcPr>
          <w:p>
            <w:pPr>
              <w:spacing w:after="0"/>
              <w:rPr>
                <w:sz w:val="1"/>
                <w:szCs w:val="1"/>
                <w:color w:val="auto"/>
              </w:rPr>
            </w:pPr>
          </w:p>
        </w:tc>
      </w:tr>
      <w:tr>
        <w:trPr>
          <w:trHeight w:val="220"/>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454,341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Collaboration revenue, related party</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(21,082)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(20,194)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(19,519)</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Redeemable convertible preferred stock dividends - undeclared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740" w:type="dxa"/>
            <w:vAlign w:val="bottom"/>
          </w:tcPr>
          <w:p>
            <w:pPr>
              <w:ind w:left="140"/>
              <w:spacing w:after="0"/>
              <w:rPr>
                <w:sz w:val="20"/>
                <w:szCs w:val="20"/>
                <w:color w:val="auto"/>
              </w:rPr>
            </w:pPr>
            <w:r>
              <w:rPr>
                <w:rFonts w:ascii="Arial" w:cs="Arial" w:eastAsia="Arial" w:hAnsi="Arial"/>
                <w:sz w:val="18"/>
                <w:szCs w:val="18"/>
                <w:color w:val="auto"/>
              </w:rPr>
              <w:t>cumulative</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(2,219)</w:t>
            </w:r>
          </w:p>
        </w:tc>
        <w:tc>
          <w:tcPr>
            <w:tcW w:w="36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4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(21,738)</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(12,807)</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740" w:type="dxa"/>
            <w:vAlign w:val="bottom"/>
            <w:vMerge w:val="continue"/>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(0.74)</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195"/>
        </w:trPr>
        <w:tc>
          <w:tcPr>
            <w:tcW w:w="77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used to compute net loss per share, basic</w:t>
            </w:r>
          </w:p>
        </w:tc>
        <w:tc>
          <w:tcPr>
            <w:tcW w:w="3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29,297,698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2,643,649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(19,519)</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(10,131)</w:t>
            </w: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investments, net</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 comprehensive loss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vMerge w:val="continue"/>
          </w:tcPr>
          <w:p>
            <w:pPr>
              <w:spacing w:after="0"/>
              <w:rPr>
                <w:sz w:val="19"/>
                <w:szCs w:val="19"/>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(19,557)</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(10,131)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REVOLUTION MEDICINES,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EQUITY (DEFICIT)</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560" w:type="dxa"/>
            <w:vAlign w:val="bottom"/>
          </w:tcPr>
          <w:p>
            <w:pPr>
              <w:spacing w:after="0"/>
              <w:rPr>
                <w:sz w:val="12"/>
                <w:szCs w:val="12"/>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Redeemable Convertible</w:t>
            </w:r>
          </w:p>
        </w:tc>
      </w:tr>
      <w:tr>
        <w:trPr>
          <w:trHeight w:val="151"/>
        </w:trPr>
        <w:tc>
          <w:tcPr>
            <w:tcW w:w="3560" w:type="dxa"/>
            <w:vAlign w:val="bottom"/>
          </w:tcPr>
          <w:p>
            <w:pPr>
              <w:spacing w:after="0"/>
              <w:rPr>
                <w:sz w:val="13"/>
                <w:szCs w:val="13"/>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Preferred Stock</w:t>
            </w:r>
          </w:p>
        </w:tc>
      </w:tr>
      <w:tr>
        <w:trPr>
          <w:trHeight w:val="140"/>
        </w:trPr>
        <w:tc>
          <w:tcPr>
            <w:tcW w:w="35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b w:val="1"/>
                <w:bCs w:val="1"/>
                <w:color w:val="auto"/>
                <w:w w:val="92"/>
              </w:rPr>
              <w:t>Amount</w:t>
            </w:r>
          </w:p>
        </w:tc>
        <w:tc>
          <w:tcPr>
            <w:tcW w:w="60" w:type="dxa"/>
            <w:vAlign w:val="bottom"/>
          </w:tcPr>
          <w:p>
            <w:pPr>
              <w:spacing w:after="0"/>
              <w:rPr>
                <w:sz w:val="12"/>
                <w:szCs w:val="12"/>
                <w:color w:val="auto"/>
              </w:rPr>
            </w:pPr>
          </w:p>
        </w:tc>
      </w:tr>
      <w:tr>
        <w:trPr>
          <w:trHeight w:val="167"/>
        </w:trPr>
        <w:tc>
          <w:tcPr>
            <w:tcW w:w="3560" w:type="dxa"/>
            <w:vAlign w:val="bottom"/>
          </w:tcPr>
          <w:p>
            <w:pPr>
              <w:spacing w:after="0" w:line="167" w:lineRule="exact"/>
              <w:rPr>
                <w:sz w:val="20"/>
                <w:szCs w:val="20"/>
                <w:color w:val="auto"/>
              </w:rPr>
            </w:pPr>
            <w:r>
              <w:rPr>
                <w:rFonts w:ascii="Arial" w:cs="Arial" w:eastAsia="Arial" w:hAnsi="Arial"/>
                <w:sz w:val="15"/>
                <w:szCs w:val="15"/>
                <w:b w:val="1"/>
                <w:bCs w:val="1"/>
                <w:color w:val="auto"/>
              </w:rPr>
              <w:t>Balance at December 31, 2019</w:t>
            </w:r>
          </w:p>
        </w:tc>
        <w:tc>
          <w:tcPr>
            <w:tcW w:w="8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39,600,423</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305,109</w:t>
            </w:r>
          </w:p>
        </w:tc>
        <w:tc>
          <w:tcPr>
            <w:tcW w:w="60" w:type="dxa"/>
            <w:vAlign w:val="bottom"/>
          </w:tcPr>
          <w:p>
            <w:pPr>
              <w:spacing w:after="0"/>
              <w:rPr>
                <w:sz w:val="14"/>
                <w:szCs w:val="14"/>
                <w:color w:val="auto"/>
              </w:rPr>
            </w:pPr>
          </w:p>
        </w:tc>
      </w:tr>
      <w:tr>
        <w:trPr>
          <w:trHeight w:val="160"/>
        </w:trPr>
        <w:tc>
          <w:tcPr>
            <w:tcW w:w="3560" w:type="dxa"/>
            <w:vAlign w:val="bottom"/>
          </w:tcPr>
          <w:p>
            <w:pPr>
              <w:ind w:left="260"/>
              <w:spacing w:after="0" w:line="160" w:lineRule="exact"/>
              <w:rPr>
                <w:sz w:val="20"/>
                <w:szCs w:val="20"/>
                <w:color w:val="auto"/>
              </w:rPr>
            </w:pPr>
            <w:r>
              <w:rPr>
                <w:rFonts w:ascii="Arial" w:cs="Arial" w:eastAsia="Arial" w:hAnsi="Arial"/>
                <w:sz w:val="15"/>
                <w:szCs w:val="15"/>
                <w:color w:val="auto"/>
              </w:rPr>
              <w:t>Conversion of redeemable convertible preferred</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stock into common stock</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(39,600,423)</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6"/>
              </w:rPr>
              <w:t>(305,109)</w:t>
            </w:r>
          </w:p>
        </w:tc>
      </w:tr>
      <w:tr>
        <w:trPr>
          <w:trHeight w:val="160"/>
        </w:trPr>
        <w:tc>
          <w:tcPr>
            <w:tcW w:w="3560" w:type="dxa"/>
            <w:vAlign w:val="bottom"/>
          </w:tcPr>
          <w:p>
            <w:pPr>
              <w:ind w:left="260"/>
              <w:spacing w:after="0" w:line="160" w:lineRule="exact"/>
              <w:rPr>
                <w:sz w:val="20"/>
                <w:szCs w:val="20"/>
                <w:color w:val="auto"/>
              </w:rPr>
            </w:pPr>
            <w:r>
              <w:rPr>
                <w:rFonts w:ascii="Arial" w:cs="Arial" w:eastAsia="Arial" w:hAnsi="Arial"/>
                <w:sz w:val="15"/>
                <w:szCs w:val="15"/>
                <w:color w:val="auto"/>
              </w:rPr>
              <w:t>Issuance of common stock upon initial public</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offering, net of offering cost of $23,003</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60"/>
        </w:trPr>
        <w:tc>
          <w:tcPr>
            <w:tcW w:w="3560" w:type="dxa"/>
            <w:vAlign w:val="bottom"/>
          </w:tcPr>
          <w:p>
            <w:pPr>
              <w:ind w:left="260"/>
              <w:spacing w:after="0" w:line="160" w:lineRule="exact"/>
              <w:rPr>
                <w:sz w:val="20"/>
                <w:szCs w:val="20"/>
                <w:color w:val="auto"/>
              </w:rPr>
            </w:pPr>
            <w:r>
              <w:rPr>
                <w:rFonts w:ascii="Arial" w:cs="Arial" w:eastAsia="Arial" w:hAnsi="Arial"/>
                <w:sz w:val="15"/>
                <w:szCs w:val="15"/>
                <w:color w:val="auto"/>
                <w:w w:val="96"/>
              </w:rPr>
              <w:t>Issuance of common stock pursuant to stock option</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exercises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Vesting of early exercised stock options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Net unrealized loss on marketable securities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167"/>
        </w:trPr>
        <w:tc>
          <w:tcPr>
            <w:tcW w:w="3560" w:type="dxa"/>
            <w:vAlign w:val="bottom"/>
          </w:tcPr>
          <w:p>
            <w:pPr>
              <w:spacing w:after="0" w:line="167" w:lineRule="exact"/>
              <w:rPr>
                <w:sz w:val="20"/>
                <w:szCs w:val="20"/>
                <w:color w:val="auto"/>
              </w:rPr>
            </w:pPr>
            <w:r>
              <w:rPr>
                <w:rFonts w:ascii="Arial" w:cs="Arial" w:eastAsia="Arial" w:hAnsi="Arial"/>
                <w:sz w:val="15"/>
                <w:szCs w:val="15"/>
                <w:b w:val="1"/>
                <w:bCs w:val="1"/>
                <w:color w:val="auto"/>
              </w:rPr>
              <w:t>Balance at March 31, 2020</w:t>
            </w:r>
          </w:p>
        </w:tc>
        <w:tc>
          <w:tcPr>
            <w:tcW w:w="108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w:t>
            </w:r>
          </w:p>
        </w:tc>
      </w:tr>
      <w:tr>
        <w:trPr>
          <w:trHeight w:val="20"/>
        </w:trPr>
        <w:tc>
          <w:tcPr>
            <w:tcW w:w="3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2820"/>
        <w:spacing w:after="0"/>
        <w:rPr>
          <w:sz w:val="20"/>
          <w:szCs w:val="20"/>
          <w:color w:val="auto"/>
        </w:rPr>
      </w:pPr>
      <w:r>
        <w:rPr>
          <w:rFonts w:ascii="Arial" w:cs="Arial" w:eastAsia="Arial" w:hAnsi="Arial"/>
          <w:sz w:val="13"/>
          <w:szCs w:val="13"/>
          <w:b w:val="1"/>
          <w:bCs w:val="1"/>
          <w:color w:val="auto"/>
        </w:rPr>
        <w:t>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6350</wp:posOffset>
            </wp:positionV>
            <wp:extent cx="7134225" cy="1624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6249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51"/>
        </w:trPr>
        <w:tc>
          <w:tcPr>
            <w:tcW w:w="168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Paid-in</w:t>
            </w: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comprehensive</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Stockholders'</w:t>
            </w:r>
          </w:p>
        </w:tc>
      </w:tr>
      <w:tr>
        <w:trPr>
          <w:trHeight w:val="140"/>
        </w:trPr>
        <w:tc>
          <w:tcPr>
            <w:tcW w:w="80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w w:val="96"/>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7"/>
              <w:spacing w:after="0"/>
              <w:rPr>
                <w:sz w:val="20"/>
                <w:szCs w:val="20"/>
                <w:color w:val="auto"/>
              </w:rPr>
            </w:pPr>
            <w:r>
              <w:rPr>
                <w:rFonts w:ascii="Arial" w:cs="Arial" w:eastAsia="Arial" w:hAnsi="Arial"/>
                <w:sz w:val="12"/>
                <w:szCs w:val="12"/>
                <w:b w:val="1"/>
                <w:bCs w:val="1"/>
                <w:color w:val="auto"/>
                <w:w w:val="99"/>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w w:val="99"/>
              </w:rPr>
              <w:t>income</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2"/>
                <w:szCs w:val="12"/>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Equity/(Deficit)</w:t>
            </w:r>
          </w:p>
        </w:tc>
        <w:tc>
          <w:tcPr>
            <w:tcW w:w="40" w:type="dxa"/>
            <w:vAlign w:val="bottom"/>
          </w:tcPr>
          <w:p>
            <w:pPr>
              <w:spacing w:after="0"/>
              <w:rPr>
                <w:sz w:val="12"/>
                <w:szCs w:val="12"/>
                <w:color w:val="auto"/>
              </w:rPr>
            </w:pPr>
          </w:p>
        </w:tc>
      </w:tr>
      <w:tr>
        <w:trPr>
          <w:trHeight w:val="184"/>
        </w:trPr>
        <w:tc>
          <w:tcPr>
            <w:tcW w:w="800" w:type="dxa"/>
            <w:vAlign w:val="bottom"/>
          </w:tcPr>
          <w:p>
            <w:pPr>
              <w:jc w:val="right"/>
              <w:spacing w:after="0"/>
              <w:rPr>
                <w:sz w:val="20"/>
                <w:szCs w:val="20"/>
                <w:color w:val="auto"/>
              </w:rPr>
            </w:pPr>
            <w:r>
              <w:rPr>
                <w:rFonts w:ascii="Arial" w:cs="Arial" w:eastAsia="Arial" w:hAnsi="Arial"/>
                <w:sz w:val="15"/>
                <w:szCs w:val="15"/>
                <w:color w:val="auto"/>
              </w:rPr>
              <w:t>3,292,124</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4,738</w:t>
            </w:r>
          </w:p>
        </w:tc>
        <w:tc>
          <w:tcPr>
            <w:tcW w:w="2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74</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(157,386)</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(152,574)</w:t>
            </w:r>
          </w:p>
        </w:tc>
      </w:tr>
      <w:tr>
        <w:trPr>
          <w:trHeight w:val="333"/>
        </w:trPr>
        <w:tc>
          <w:tcPr>
            <w:tcW w:w="800" w:type="dxa"/>
            <w:vAlign w:val="bottom"/>
          </w:tcPr>
          <w:p>
            <w:pPr>
              <w:jc w:val="right"/>
              <w:spacing w:after="0"/>
              <w:rPr>
                <w:sz w:val="20"/>
                <w:szCs w:val="20"/>
                <w:color w:val="auto"/>
              </w:rPr>
            </w:pPr>
            <w:r>
              <w:rPr>
                <w:rFonts w:ascii="Arial" w:cs="Arial" w:eastAsia="Arial" w:hAnsi="Arial"/>
                <w:sz w:val="15"/>
                <w:szCs w:val="15"/>
                <w:color w:val="auto"/>
              </w:rPr>
              <w:t>39,600,423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305,105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305,109</w:t>
            </w:r>
          </w:p>
        </w:tc>
        <w:tc>
          <w:tcPr>
            <w:tcW w:w="40" w:type="dxa"/>
            <w:vAlign w:val="bottom"/>
          </w:tcPr>
          <w:p>
            <w:pPr>
              <w:spacing w:after="0"/>
              <w:rPr>
                <w:sz w:val="24"/>
                <w:szCs w:val="24"/>
                <w:color w:val="auto"/>
              </w:rPr>
            </w:pPr>
          </w:p>
        </w:tc>
      </w:tr>
      <w:tr>
        <w:trPr>
          <w:trHeight w:val="333"/>
        </w:trPr>
        <w:tc>
          <w:tcPr>
            <w:tcW w:w="800" w:type="dxa"/>
            <w:vAlign w:val="bottom"/>
          </w:tcPr>
          <w:p>
            <w:pPr>
              <w:jc w:val="right"/>
              <w:spacing w:after="0"/>
              <w:rPr>
                <w:sz w:val="20"/>
                <w:szCs w:val="20"/>
                <w:color w:val="auto"/>
              </w:rPr>
            </w:pPr>
            <w:r>
              <w:rPr>
                <w:rFonts w:ascii="Arial" w:cs="Arial" w:eastAsia="Arial" w:hAnsi="Arial"/>
                <w:sz w:val="15"/>
                <w:szCs w:val="15"/>
                <w:color w:val="auto"/>
              </w:rPr>
              <w:t>16,100,000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250,695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250,697</w:t>
            </w:r>
          </w:p>
        </w:tc>
        <w:tc>
          <w:tcPr>
            <w:tcW w:w="40" w:type="dxa"/>
            <w:vAlign w:val="bottom"/>
          </w:tcPr>
          <w:p>
            <w:pPr>
              <w:spacing w:after="0"/>
              <w:rPr>
                <w:sz w:val="24"/>
                <w:szCs w:val="24"/>
                <w:color w:val="auto"/>
              </w:rPr>
            </w:pPr>
          </w:p>
        </w:tc>
      </w:tr>
      <w:tr>
        <w:trPr>
          <w:trHeight w:val="316"/>
        </w:trPr>
        <w:tc>
          <w:tcPr>
            <w:tcW w:w="800" w:type="dxa"/>
            <w:vAlign w:val="bottom"/>
          </w:tcPr>
          <w:p>
            <w:pPr>
              <w:jc w:val="right"/>
              <w:spacing w:after="0"/>
              <w:rPr>
                <w:sz w:val="20"/>
                <w:szCs w:val="20"/>
                <w:color w:val="auto"/>
              </w:rPr>
            </w:pPr>
            <w:r>
              <w:rPr>
                <w:rFonts w:ascii="Arial" w:cs="Arial" w:eastAsia="Arial" w:hAnsi="Arial"/>
                <w:sz w:val="15"/>
                <w:szCs w:val="15"/>
                <w:color w:val="auto"/>
              </w:rPr>
              <w:t>11,097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w:t>
            </w:r>
          </w:p>
        </w:tc>
        <w:tc>
          <w:tcPr>
            <w:tcW w:w="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w:t>
            </w:r>
          </w:p>
        </w:tc>
        <w:tc>
          <w:tcPr>
            <w:tcW w:w="40" w:type="dxa"/>
            <w:vAlign w:val="bottom"/>
          </w:tcPr>
          <w:p>
            <w:pPr>
              <w:spacing w:after="0"/>
              <w:rPr>
                <w:sz w:val="15"/>
                <w:szCs w:val="15"/>
                <w:color w:val="auto"/>
              </w:rPr>
            </w:pPr>
          </w:p>
        </w:tc>
      </w:tr>
      <w:tr>
        <w:trPr>
          <w:trHeight w:val="173"/>
        </w:trPr>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1,567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1,567</w:t>
            </w:r>
          </w:p>
        </w:tc>
        <w:tc>
          <w:tcPr>
            <w:tcW w:w="40" w:type="dxa"/>
            <w:vAlign w:val="bottom"/>
          </w:tcPr>
          <w:p>
            <w:pPr>
              <w:spacing w:after="0"/>
              <w:rPr>
                <w:sz w:val="15"/>
                <w:szCs w:val="15"/>
                <w:color w:val="auto"/>
              </w:rPr>
            </w:pPr>
          </w:p>
        </w:tc>
      </w:tr>
      <w:tr>
        <w:trPr>
          <w:trHeight w:val="173"/>
        </w:trPr>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173"/>
        </w:trPr>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(19,519)</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(19,519)</w:t>
            </w:r>
          </w:p>
        </w:tc>
      </w:tr>
      <w:tr>
        <w:trPr>
          <w:trHeight w:val="20"/>
        </w:trPr>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800" w:type="dxa"/>
            <w:vAlign w:val="bottom"/>
          </w:tcPr>
          <w:p>
            <w:pPr>
              <w:jc w:val="right"/>
              <w:spacing w:after="0" w:line="167" w:lineRule="exact"/>
              <w:rPr>
                <w:sz w:val="20"/>
                <w:szCs w:val="20"/>
                <w:color w:val="auto"/>
              </w:rPr>
            </w:pPr>
            <w:r>
              <w:rPr>
                <w:rFonts w:ascii="Arial" w:cs="Arial" w:eastAsia="Arial" w:hAnsi="Arial"/>
                <w:sz w:val="15"/>
                <w:szCs w:val="15"/>
                <w:color w:val="auto"/>
              </w:rPr>
              <w:t>59,003,644</w:t>
            </w:r>
          </w:p>
        </w:tc>
        <w:tc>
          <w:tcPr>
            <w:tcW w:w="3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7" w:lineRule="exact"/>
              <w:rPr>
                <w:sz w:val="20"/>
                <w:szCs w:val="20"/>
                <w:color w:val="auto"/>
              </w:rPr>
            </w:pPr>
            <w:r>
              <w:rPr>
                <w:rFonts w:ascii="Arial" w:cs="Arial" w:eastAsia="Arial" w:hAnsi="Arial"/>
                <w:sz w:val="15"/>
                <w:szCs w:val="15"/>
                <w:color w:val="auto"/>
              </w:rPr>
              <w:t>6</w:t>
            </w:r>
          </w:p>
        </w:tc>
        <w:tc>
          <w:tcPr>
            <w:tcW w:w="32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7" w:lineRule="exact"/>
              <w:rPr>
                <w:sz w:val="20"/>
                <w:szCs w:val="20"/>
                <w:color w:val="auto"/>
              </w:rPr>
            </w:pPr>
            <w:r>
              <w:rPr>
                <w:rFonts w:ascii="Arial" w:cs="Arial" w:eastAsia="Arial" w:hAnsi="Arial"/>
                <w:sz w:val="15"/>
                <w:szCs w:val="15"/>
                <w:color w:val="auto"/>
              </w:rPr>
              <w:t>562,179</w:t>
            </w:r>
          </w:p>
        </w:tc>
        <w:tc>
          <w:tcPr>
            <w:tcW w:w="220" w:type="dxa"/>
            <w:vAlign w:val="bottom"/>
          </w:tcPr>
          <w:p>
            <w:pPr>
              <w:spacing w:after="0"/>
              <w:rPr>
                <w:sz w:val="14"/>
                <w:szCs w:val="14"/>
                <w:color w:val="auto"/>
              </w:rPr>
            </w:pPr>
          </w:p>
        </w:tc>
        <w:tc>
          <w:tcPr>
            <w:tcW w:w="140" w:type="dxa"/>
            <w:vAlign w:val="bottom"/>
          </w:tcPr>
          <w:p>
            <w:pPr>
              <w:spacing w:after="0" w:line="167"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36</w:t>
            </w:r>
          </w:p>
        </w:tc>
        <w:tc>
          <w:tcPr>
            <w:tcW w:w="220" w:type="dxa"/>
            <w:vAlign w:val="bottom"/>
          </w:tcPr>
          <w:p>
            <w:pPr>
              <w:spacing w:after="0"/>
              <w:rPr>
                <w:sz w:val="14"/>
                <w:szCs w:val="14"/>
                <w:color w:val="auto"/>
              </w:rPr>
            </w:pPr>
          </w:p>
        </w:tc>
        <w:tc>
          <w:tcPr>
            <w:tcW w:w="100" w:type="dxa"/>
            <w:vAlign w:val="bottom"/>
          </w:tcPr>
          <w:p>
            <w:pPr>
              <w:spacing w:after="0" w:line="167" w:lineRule="exact"/>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line="167" w:lineRule="exact"/>
              <w:rPr>
                <w:sz w:val="20"/>
                <w:szCs w:val="20"/>
                <w:color w:val="auto"/>
              </w:rPr>
            </w:pPr>
            <w:r>
              <w:rPr>
                <w:rFonts w:ascii="Arial" w:cs="Arial" w:eastAsia="Arial" w:hAnsi="Arial"/>
                <w:sz w:val="15"/>
                <w:szCs w:val="15"/>
                <w:color w:val="auto"/>
                <w:w w:val="99"/>
              </w:rPr>
              <w:t>(176,905)</w:t>
            </w:r>
          </w:p>
        </w:tc>
        <w:tc>
          <w:tcPr>
            <w:tcW w:w="180" w:type="dxa"/>
            <w:vAlign w:val="bottom"/>
          </w:tcPr>
          <w:p>
            <w:pPr>
              <w:spacing w:after="0" w:line="167"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385,316</w:t>
            </w:r>
          </w:p>
        </w:tc>
        <w:tc>
          <w:tcPr>
            <w:tcW w:w="40" w:type="dxa"/>
            <w:vAlign w:val="bottom"/>
          </w:tcPr>
          <w:p>
            <w:pPr>
              <w:spacing w:after="0"/>
              <w:rPr>
                <w:sz w:val="14"/>
                <w:szCs w:val="14"/>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80" w:space="180"/>
            <w:col w:w="5620"/>
          </w:cols>
          <w:pgMar w:left="320" w:top="121" w:right="39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560" w:type="dxa"/>
            <w:vAlign w:val="bottom"/>
          </w:tcPr>
          <w:p>
            <w:pPr>
              <w:spacing w:after="0"/>
              <w:rPr>
                <w:sz w:val="12"/>
                <w:szCs w:val="12"/>
                <w:color w:val="auto"/>
              </w:rPr>
            </w:pPr>
          </w:p>
        </w:tc>
        <w:tc>
          <w:tcPr>
            <w:tcW w:w="1760" w:type="dxa"/>
            <w:vAlign w:val="bottom"/>
            <w:gridSpan w:val="4"/>
          </w:tcPr>
          <w:p>
            <w:pPr>
              <w:jc w:val="right"/>
              <w:ind w:right="146"/>
              <w:spacing w:after="0"/>
              <w:rPr>
                <w:sz w:val="20"/>
                <w:szCs w:val="20"/>
                <w:color w:val="auto"/>
              </w:rPr>
            </w:pPr>
            <w:r>
              <w:rPr>
                <w:rFonts w:ascii="Arial" w:cs="Arial" w:eastAsia="Arial" w:hAnsi="Arial"/>
                <w:sz w:val="12"/>
                <w:szCs w:val="12"/>
                <w:b w:val="1"/>
                <w:bCs w:val="1"/>
                <w:color w:val="auto"/>
              </w:rPr>
              <w:t>Redeemable Convertible</w:t>
            </w:r>
          </w:p>
        </w:tc>
      </w:tr>
      <w:tr>
        <w:trPr>
          <w:trHeight w:val="151"/>
        </w:trPr>
        <w:tc>
          <w:tcPr>
            <w:tcW w:w="3560" w:type="dxa"/>
            <w:vAlign w:val="bottom"/>
          </w:tcPr>
          <w:p>
            <w:pPr>
              <w:spacing w:after="0"/>
              <w:rPr>
                <w:sz w:val="13"/>
                <w:szCs w:val="13"/>
                <w:color w:val="auto"/>
              </w:rPr>
            </w:pPr>
          </w:p>
        </w:tc>
        <w:tc>
          <w:tcPr>
            <w:tcW w:w="176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2"/>
                <w:szCs w:val="12"/>
                <w:b w:val="1"/>
                <w:bCs w:val="1"/>
                <w:color w:val="auto"/>
              </w:rPr>
              <w:t>Preferred Stock</w:t>
            </w:r>
          </w:p>
        </w:tc>
      </w:tr>
      <w:tr>
        <w:trPr>
          <w:trHeight w:val="140"/>
        </w:trPr>
        <w:tc>
          <w:tcPr>
            <w:tcW w:w="3560" w:type="dxa"/>
            <w:vAlign w:val="bottom"/>
          </w:tcPr>
          <w:p>
            <w:pPr>
              <w:spacing w:after="0"/>
              <w:rPr>
                <w:sz w:val="12"/>
                <w:szCs w:val="12"/>
                <w:color w:val="auto"/>
              </w:rPr>
            </w:pPr>
          </w:p>
        </w:tc>
        <w:tc>
          <w:tcPr>
            <w:tcW w:w="108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2"/>
                <w:szCs w:val="12"/>
                <w:b w:val="1"/>
                <w:bCs w:val="1"/>
                <w:color w:val="auto"/>
                <w:w w:val="92"/>
              </w:rPr>
              <w:t>Amount</w:t>
            </w:r>
          </w:p>
        </w:tc>
      </w:tr>
      <w:tr>
        <w:trPr>
          <w:trHeight w:val="167"/>
        </w:trPr>
        <w:tc>
          <w:tcPr>
            <w:tcW w:w="3560" w:type="dxa"/>
            <w:vAlign w:val="bottom"/>
          </w:tcPr>
          <w:p>
            <w:pPr>
              <w:spacing w:after="0" w:line="167" w:lineRule="exact"/>
              <w:rPr>
                <w:sz w:val="20"/>
                <w:szCs w:val="20"/>
                <w:color w:val="auto"/>
              </w:rPr>
            </w:pPr>
            <w:r>
              <w:rPr>
                <w:rFonts w:ascii="Arial" w:cs="Arial" w:eastAsia="Arial" w:hAnsi="Arial"/>
                <w:sz w:val="15"/>
                <w:szCs w:val="15"/>
                <w:b w:val="1"/>
                <w:bCs w:val="1"/>
                <w:color w:val="auto"/>
              </w:rPr>
              <w:t>Balance at December 31, 2018</w:t>
            </w:r>
          </w:p>
        </w:tc>
        <w:tc>
          <w:tcPr>
            <w:tcW w:w="8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29,595,909</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205,081</w:t>
            </w:r>
          </w:p>
        </w:tc>
      </w:tr>
      <w:tr>
        <w:trPr>
          <w:trHeight w:val="160"/>
        </w:trPr>
        <w:tc>
          <w:tcPr>
            <w:tcW w:w="3560" w:type="dxa"/>
            <w:vAlign w:val="bottom"/>
          </w:tcPr>
          <w:p>
            <w:pPr>
              <w:ind w:left="260"/>
              <w:spacing w:after="0" w:line="160" w:lineRule="exact"/>
              <w:rPr>
                <w:sz w:val="20"/>
                <w:szCs w:val="20"/>
                <w:color w:val="auto"/>
              </w:rPr>
            </w:pPr>
            <w:r>
              <w:rPr>
                <w:rFonts w:ascii="Arial" w:cs="Arial" w:eastAsia="Arial" w:hAnsi="Arial"/>
                <w:sz w:val="15"/>
                <w:szCs w:val="15"/>
                <w:color w:val="auto"/>
                <w:w w:val="96"/>
              </w:rPr>
              <w:t>Issuance of common stock pursuant to stock option</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exercises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60"/>
        </w:trPr>
        <w:tc>
          <w:tcPr>
            <w:tcW w:w="3560" w:type="dxa"/>
            <w:vAlign w:val="bottom"/>
          </w:tcPr>
          <w:p>
            <w:pPr>
              <w:ind w:left="260"/>
              <w:spacing w:after="0" w:line="160" w:lineRule="exact"/>
              <w:rPr>
                <w:sz w:val="20"/>
                <w:szCs w:val="20"/>
                <w:color w:val="auto"/>
              </w:rPr>
            </w:pPr>
            <w:r>
              <w:rPr>
                <w:rFonts w:ascii="Arial" w:cs="Arial" w:eastAsia="Arial" w:hAnsi="Arial"/>
                <w:sz w:val="15"/>
                <w:szCs w:val="15"/>
                <w:color w:val="auto"/>
              </w:rPr>
              <w:t>Issuance of common stock pursuant to early</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0"/>
        </w:trPr>
        <w:tc>
          <w:tcPr>
            <w:tcW w:w="3560" w:type="dxa"/>
            <w:vAlign w:val="bottom"/>
          </w:tcPr>
          <w:p>
            <w:pPr>
              <w:ind w:left="260"/>
              <w:spacing w:after="0" w:line="160" w:lineRule="exact"/>
              <w:rPr>
                <w:sz w:val="20"/>
                <w:szCs w:val="20"/>
                <w:color w:val="auto"/>
              </w:rPr>
            </w:pPr>
            <w:r>
              <w:rPr>
                <w:rFonts w:ascii="Arial" w:cs="Arial" w:eastAsia="Arial" w:hAnsi="Arial"/>
                <w:sz w:val="15"/>
                <w:szCs w:val="15"/>
                <w:color w:val="auto"/>
              </w:rPr>
              <w:t>exercised stock</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3"/>
        </w:trPr>
        <w:tc>
          <w:tcPr>
            <w:tcW w:w="3560" w:type="dxa"/>
            <w:vAlign w:val="bottom"/>
          </w:tcPr>
          <w:p>
            <w:pPr>
              <w:ind w:left="360"/>
              <w:spacing w:after="0"/>
              <w:rPr>
                <w:sz w:val="20"/>
                <w:szCs w:val="20"/>
                <w:color w:val="auto"/>
              </w:rPr>
            </w:pPr>
            <w:r>
              <w:rPr>
                <w:rFonts w:ascii="Arial" w:cs="Arial" w:eastAsia="Arial" w:hAnsi="Arial"/>
                <w:sz w:val="15"/>
                <w:szCs w:val="15"/>
                <w:color w:val="auto"/>
              </w:rPr>
              <w:t>options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Vesting of early exercised stock options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Repurchases of early exercised stock</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3"/>
        </w:trPr>
        <w:tc>
          <w:tcPr>
            <w:tcW w:w="35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67"/>
        </w:trPr>
        <w:tc>
          <w:tcPr>
            <w:tcW w:w="3560" w:type="dxa"/>
            <w:vAlign w:val="bottom"/>
          </w:tcPr>
          <w:p>
            <w:pPr>
              <w:spacing w:after="0" w:line="167" w:lineRule="exact"/>
              <w:rPr>
                <w:sz w:val="20"/>
                <w:szCs w:val="20"/>
                <w:color w:val="auto"/>
              </w:rPr>
            </w:pPr>
            <w:r>
              <w:rPr>
                <w:rFonts w:ascii="Arial" w:cs="Arial" w:eastAsia="Arial" w:hAnsi="Arial"/>
                <w:sz w:val="15"/>
                <w:szCs w:val="15"/>
                <w:b w:val="1"/>
                <w:bCs w:val="1"/>
                <w:color w:val="auto"/>
              </w:rPr>
              <w:t>Balance at March 31, 2019</w:t>
            </w: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29,595,909</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205,081</w:t>
            </w:r>
          </w:p>
        </w:tc>
      </w:tr>
      <w:tr>
        <w:trPr>
          <w:trHeight w:val="20"/>
        </w:trPr>
        <w:tc>
          <w:tcPr>
            <w:tcW w:w="3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2820"/>
        <w:spacing w:after="0"/>
        <w:rPr>
          <w:sz w:val="20"/>
          <w:szCs w:val="20"/>
          <w:color w:val="auto"/>
        </w:rPr>
      </w:pPr>
      <w:r>
        <w:rPr>
          <w:rFonts w:ascii="Arial" w:cs="Arial" w:eastAsia="Arial" w:hAnsi="Arial"/>
          <w:sz w:val="13"/>
          <w:szCs w:val="13"/>
          <w:b w:val="1"/>
          <w:bCs w:val="1"/>
          <w:color w:val="auto"/>
        </w:rPr>
        <w:t>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6350</wp:posOffset>
            </wp:positionV>
            <wp:extent cx="7134225" cy="151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515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51"/>
        </w:trPr>
        <w:tc>
          <w:tcPr>
            <w:tcW w:w="168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Paid-in</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8"/>
              </w:rPr>
              <w:t>comprehensive</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Stockholders'</w:t>
            </w:r>
          </w:p>
        </w:tc>
      </w:tr>
      <w:tr>
        <w:trPr>
          <w:trHeight w:val="140"/>
        </w:trPr>
        <w:tc>
          <w:tcPr>
            <w:tcW w:w="80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7"/>
              <w:spacing w:after="0"/>
              <w:rPr>
                <w:sz w:val="20"/>
                <w:szCs w:val="20"/>
                <w:color w:val="auto"/>
              </w:rPr>
            </w:pPr>
            <w:r>
              <w:rPr>
                <w:rFonts w:ascii="Arial" w:cs="Arial" w:eastAsia="Arial" w:hAnsi="Arial"/>
                <w:sz w:val="12"/>
                <w:szCs w:val="12"/>
                <w:b w:val="1"/>
                <w:bCs w:val="1"/>
                <w:color w:val="auto"/>
                <w:w w:val="99"/>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w w:val="99"/>
              </w:rPr>
              <w:t>income</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2"/>
                <w:szCs w:val="12"/>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Equity/(Deficit)</w:t>
            </w:r>
          </w:p>
        </w:tc>
        <w:tc>
          <w:tcPr>
            <w:tcW w:w="40" w:type="dxa"/>
            <w:vAlign w:val="bottom"/>
          </w:tcPr>
          <w:p>
            <w:pPr>
              <w:spacing w:after="0"/>
              <w:rPr>
                <w:sz w:val="12"/>
                <w:szCs w:val="12"/>
                <w:color w:val="auto"/>
              </w:rPr>
            </w:pPr>
          </w:p>
        </w:tc>
      </w:tr>
      <w:tr>
        <w:trPr>
          <w:trHeight w:val="184"/>
        </w:trPr>
        <w:tc>
          <w:tcPr>
            <w:tcW w:w="800" w:type="dxa"/>
            <w:vAlign w:val="bottom"/>
          </w:tcPr>
          <w:p>
            <w:pPr>
              <w:jc w:val="right"/>
              <w:spacing w:after="0"/>
              <w:rPr>
                <w:sz w:val="20"/>
                <w:szCs w:val="20"/>
                <w:color w:val="auto"/>
              </w:rPr>
            </w:pPr>
            <w:r>
              <w:rPr>
                <w:rFonts w:ascii="Arial" w:cs="Arial" w:eastAsia="Arial" w:hAnsi="Arial"/>
                <w:sz w:val="15"/>
                <w:szCs w:val="15"/>
                <w:color w:val="auto"/>
              </w:rPr>
              <w:t>3,208,924</w:t>
            </w:r>
          </w:p>
        </w:tc>
        <w:tc>
          <w:tcPr>
            <w:tcW w:w="1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(109,722)</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(108,422)</w:t>
            </w:r>
          </w:p>
        </w:tc>
      </w:tr>
      <w:tr>
        <w:trPr>
          <w:trHeight w:val="333"/>
        </w:trPr>
        <w:tc>
          <w:tcPr>
            <w:tcW w:w="800" w:type="dxa"/>
            <w:vAlign w:val="bottom"/>
          </w:tcPr>
          <w:p>
            <w:pPr>
              <w:jc w:val="right"/>
              <w:spacing w:after="0"/>
              <w:rPr>
                <w:sz w:val="20"/>
                <w:szCs w:val="20"/>
                <w:color w:val="auto"/>
              </w:rPr>
            </w:pPr>
            <w:r>
              <w:rPr>
                <w:rFonts w:ascii="Arial" w:cs="Arial" w:eastAsia="Arial" w:hAnsi="Arial"/>
                <w:sz w:val="15"/>
                <w:szCs w:val="15"/>
                <w:color w:val="auto"/>
              </w:rPr>
              <w:t>3,766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24"/>
                <w:szCs w:val="24"/>
                <w:color w:val="auto"/>
              </w:rPr>
            </w:pPr>
          </w:p>
        </w:tc>
      </w:tr>
      <w:tr>
        <w:trPr>
          <w:trHeight w:val="476"/>
        </w:trPr>
        <w:tc>
          <w:tcPr>
            <w:tcW w:w="800" w:type="dxa"/>
            <w:vAlign w:val="bottom"/>
          </w:tcPr>
          <w:p>
            <w:pPr>
              <w:jc w:val="right"/>
              <w:spacing w:after="0"/>
              <w:rPr>
                <w:sz w:val="20"/>
                <w:szCs w:val="20"/>
                <w:color w:val="auto"/>
              </w:rPr>
            </w:pPr>
            <w:r>
              <w:rPr>
                <w:rFonts w:ascii="Arial" w:cs="Arial" w:eastAsia="Arial" w:hAnsi="Arial"/>
                <w:sz w:val="15"/>
                <w:szCs w:val="15"/>
                <w:color w:val="auto"/>
              </w:rPr>
              <w:t>13,640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3"/>
        </w:trPr>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w:t>
            </w:r>
          </w:p>
        </w:tc>
        <w:tc>
          <w:tcPr>
            <w:tcW w:w="40" w:type="dxa"/>
            <w:vAlign w:val="bottom"/>
          </w:tcPr>
          <w:p>
            <w:pPr>
              <w:spacing w:after="0"/>
              <w:rPr>
                <w:sz w:val="15"/>
                <w:szCs w:val="15"/>
                <w:color w:val="auto"/>
              </w:rPr>
            </w:pPr>
          </w:p>
        </w:tc>
      </w:tr>
      <w:tr>
        <w:trPr>
          <w:trHeight w:val="173"/>
        </w:trPr>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(1,948)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3"/>
        </w:trPr>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403</w:t>
            </w:r>
          </w:p>
        </w:tc>
        <w:tc>
          <w:tcPr>
            <w:tcW w:w="40" w:type="dxa"/>
            <w:vAlign w:val="bottom"/>
          </w:tcPr>
          <w:p>
            <w:pPr>
              <w:spacing w:after="0"/>
              <w:rPr>
                <w:sz w:val="15"/>
                <w:szCs w:val="15"/>
                <w:color w:val="auto"/>
              </w:rPr>
            </w:pPr>
          </w:p>
        </w:tc>
      </w:tr>
      <w:tr>
        <w:trPr>
          <w:trHeight w:val="173"/>
        </w:trPr>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(10,131)</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(10,131)</w:t>
            </w:r>
          </w:p>
        </w:tc>
      </w:tr>
      <w:tr>
        <w:trPr>
          <w:trHeight w:val="20"/>
        </w:trPr>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800" w:type="dxa"/>
            <w:vAlign w:val="bottom"/>
          </w:tcPr>
          <w:p>
            <w:pPr>
              <w:jc w:val="right"/>
              <w:spacing w:after="0" w:line="167" w:lineRule="exact"/>
              <w:rPr>
                <w:sz w:val="20"/>
                <w:szCs w:val="20"/>
                <w:color w:val="auto"/>
              </w:rPr>
            </w:pPr>
            <w:r>
              <w:rPr>
                <w:rFonts w:ascii="Arial" w:cs="Arial" w:eastAsia="Arial" w:hAnsi="Arial"/>
                <w:sz w:val="15"/>
                <w:szCs w:val="15"/>
                <w:color w:val="auto"/>
              </w:rPr>
              <w:t>3,224,382</w:t>
            </w:r>
          </w:p>
        </w:tc>
        <w:tc>
          <w:tcPr>
            <w:tcW w:w="140" w:type="dxa"/>
            <w:vAlign w:val="bottom"/>
          </w:tcPr>
          <w:p>
            <w:pPr>
              <w:spacing w:after="0"/>
              <w:rPr>
                <w:sz w:val="14"/>
                <w:szCs w:val="14"/>
                <w:color w:val="auto"/>
              </w:rPr>
            </w:pPr>
          </w:p>
        </w:tc>
        <w:tc>
          <w:tcPr>
            <w:tcW w:w="16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tcPr>
          <w:p>
            <w:pPr>
              <w:ind w:left="420"/>
              <w:spacing w:after="0" w:line="167" w:lineRule="exact"/>
              <w:rPr>
                <w:sz w:val="20"/>
                <w:szCs w:val="20"/>
                <w:color w:val="auto"/>
              </w:rPr>
            </w:pPr>
            <w:r>
              <w:rPr>
                <w:rFonts w:ascii="Arial" w:cs="Arial" w:eastAsia="Arial" w:hAnsi="Arial"/>
                <w:sz w:val="15"/>
                <w:szCs w:val="15"/>
                <w:color w:val="auto"/>
                <w:w w:val="93"/>
              </w:rPr>
              <w:t>—</w:t>
            </w:r>
          </w:p>
        </w:tc>
        <w:tc>
          <w:tcPr>
            <w:tcW w:w="32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7" w:lineRule="exact"/>
              <w:rPr>
                <w:sz w:val="20"/>
                <w:szCs w:val="20"/>
                <w:color w:val="auto"/>
              </w:rPr>
            </w:pPr>
            <w:r>
              <w:rPr>
                <w:rFonts w:ascii="Arial" w:cs="Arial" w:eastAsia="Arial" w:hAnsi="Arial"/>
                <w:sz w:val="15"/>
                <w:szCs w:val="15"/>
                <w:color w:val="auto"/>
              </w:rPr>
              <w:t>1,744</w:t>
            </w:r>
          </w:p>
        </w:tc>
        <w:tc>
          <w:tcPr>
            <w:tcW w:w="220" w:type="dxa"/>
            <w:vAlign w:val="bottom"/>
          </w:tcPr>
          <w:p>
            <w:pPr>
              <w:spacing w:after="0"/>
              <w:rPr>
                <w:sz w:val="14"/>
                <w:szCs w:val="14"/>
                <w:color w:val="auto"/>
              </w:rPr>
            </w:pPr>
          </w:p>
        </w:tc>
        <w:tc>
          <w:tcPr>
            <w:tcW w:w="14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7" w:lineRule="exact"/>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line="167" w:lineRule="exact"/>
              <w:rPr>
                <w:sz w:val="20"/>
                <w:szCs w:val="20"/>
                <w:color w:val="auto"/>
              </w:rPr>
            </w:pPr>
            <w:r>
              <w:rPr>
                <w:rFonts w:ascii="Arial" w:cs="Arial" w:eastAsia="Arial" w:hAnsi="Arial"/>
                <w:sz w:val="15"/>
                <w:szCs w:val="15"/>
                <w:color w:val="auto"/>
                <w:w w:val="99"/>
              </w:rPr>
              <w:t>(119,853)</w:t>
            </w:r>
          </w:p>
        </w:tc>
        <w:tc>
          <w:tcPr>
            <w:tcW w:w="180" w:type="dxa"/>
            <w:vAlign w:val="bottom"/>
          </w:tcPr>
          <w:p>
            <w:pPr>
              <w:spacing w:after="0" w:line="167"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(118,109)</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20" w:space="240"/>
            <w:col w:w="5620"/>
          </w:cols>
          <w:pgMar w:left="320" w:top="121" w:right="399" w:bottom="1440" w:gutter="0" w:footer="0" w:header="0"/>
          <w:type w:val="continuous"/>
        </w:sectPr>
      </w:pP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4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3"/>
                <w:szCs w:val="13"/>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74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Cash flows from operating activities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40" w:type="dxa"/>
            <w:vAlign w:val="bottom"/>
          </w:tcPr>
          <w:p>
            <w:pPr>
              <w:ind w:left="26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(19,519)</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(10,131)</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tcPr>
          <w:p>
            <w:pPr>
              <w:ind w:left="500"/>
              <w:spacing w:after="0"/>
              <w:rPr>
                <w:sz w:val="20"/>
                <w:szCs w:val="20"/>
                <w:color w:val="auto"/>
              </w:rPr>
            </w:pPr>
            <w:r>
              <w:rPr>
                <w:rFonts w:ascii="Arial" w:cs="Arial" w:eastAsia="Arial" w:hAnsi="Arial"/>
                <w:sz w:val="15"/>
                <w:szCs w:val="15"/>
                <w:color w:val="auto"/>
              </w:rPr>
              <w:t>Amortization of intangible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267</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1,567</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632</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on disposal of property and equipment</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3"/>
        </w:trPr>
        <w:tc>
          <w:tcPr>
            <w:tcW w:w="7740" w:type="dxa"/>
            <w:vAlign w:val="bottom"/>
          </w:tcPr>
          <w:p>
            <w:pPr>
              <w:ind w:left="500"/>
              <w:spacing w:after="0"/>
              <w:rPr>
                <w:sz w:val="20"/>
                <w:szCs w:val="20"/>
                <w:color w:val="auto"/>
              </w:rPr>
            </w:pPr>
            <w:r>
              <w:rPr>
                <w:rFonts w:ascii="Arial" w:cs="Arial" w:eastAsia="Arial" w:hAnsi="Arial"/>
                <w:sz w:val="15"/>
                <w:szCs w:val="15"/>
                <w:color w:val="auto"/>
              </w:rPr>
              <w:t>Loss on disposal of held-for-sale assets</w:t>
            </w:r>
          </w:p>
        </w:tc>
        <w:tc>
          <w:tcPr>
            <w:tcW w:w="94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740" w:type="dxa"/>
            <w:vAlign w:val="bottom"/>
            <w:shd w:val="clear" w:color="auto" w:fill="CFF0FC"/>
          </w:tcPr>
          <w:p>
            <w:pPr>
              <w:ind w:left="500"/>
              <w:spacing w:after="0" w:line="160" w:lineRule="exact"/>
              <w:rPr>
                <w:sz w:val="20"/>
                <w:szCs w:val="20"/>
                <w:color w:val="auto"/>
              </w:rPr>
            </w:pPr>
            <w:r>
              <w:rPr>
                <w:rFonts w:ascii="Arial" w:cs="Arial" w:eastAsia="Arial" w:hAnsi="Arial"/>
                <w:sz w:val="15"/>
                <w:szCs w:val="15"/>
                <w:color w:val="auto"/>
              </w:rPr>
              <w:t>Net amortization (accretion) of premium (discount) on marketable</w:t>
            </w:r>
          </w:p>
        </w:tc>
        <w:tc>
          <w:tcPr>
            <w:tcW w:w="9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600"/>
              <w:spacing w:after="0"/>
              <w:rPr>
                <w:sz w:val="20"/>
                <w:szCs w:val="20"/>
                <w:color w:val="auto"/>
              </w:rPr>
            </w:pPr>
            <w:r>
              <w:rPr>
                <w:rFonts w:ascii="Arial" w:cs="Arial" w:eastAsia="Arial" w:hAnsi="Arial"/>
                <w:sz w:val="15"/>
                <w:szCs w:val="15"/>
                <w:color w:val="auto"/>
              </w:rPr>
              <w:t>securities</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(105)</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tcPr>
          <w:p>
            <w:pPr>
              <w:ind w:left="500"/>
              <w:spacing w:after="0"/>
              <w:rPr>
                <w:sz w:val="20"/>
                <w:szCs w:val="20"/>
                <w:color w:val="auto"/>
              </w:rPr>
            </w:pPr>
            <w:r>
              <w:rPr>
                <w:rFonts w:ascii="Arial" w:cs="Arial" w:eastAsia="Arial" w:hAnsi="Arial"/>
                <w:sz w:val="15"/>
                <w:szCs w:val="15"/>
                <w:color w:val="auto"/>
              </w:rPr>
              <w:t>Amortization of operating lease right-of-use asset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645</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tcPr>
          <w:p>
            <w:pPr>
              <w:ind w:left="740"/>
              <w:spacing w:after="0"/>
              <w:rPr>
                <w:sz w:val="20"/>
                <w:szCs w:val="20"/>
                <w:color w:val="auto"/>
              </w:rPr>
            </w:pPr>
            <w:r>
              <w:rPr>
                <w:rFonts w:ascii="Arial" w:cs="Arial" w:eastAsia="Arial" w:hAnsi="Arial"/>
                <w:sz w:val="15"/>
                <w:szCs w:val="15"/>
                <w:color w:val="auto"/>
              </w:rPr>
              <w:t>Receivable from related party</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287</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(3,202)</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3"/>
        </w:trPr>
        <w:tc>
          <w:tcPr>
            <w:tcW w:w="774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9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(3,084)</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 and other current liabilities</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(963)</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73"/>
        </w:trPr>
        <w:tc>
          <w:tcPr>
            <w:tcW w:w="7740" w:type="dxa"/>
            <w:vAlign w:val="bottom"/>
          </w:tcPr>
          <w:p>
            <w:pPr>
              <w:ind w:left="740"/>
              <w:spacing w:after="0"/>
              <w:rPr>
                <w:sz w:val="20"/>
                <w:szCs w:val="20"/>
                <w:color w:val="auto"/>
              </w:rPr>
            </w:pPr>
            <w:r>
              <w:rPr>
                <w:rFonts w:ascii="Arial" w:cs="Arial" w:eastAsia="Arial" w:hAnsi="Arial"/>
                <w:sz w:val="15"/>
                <w:szCs w:val="15"/>
                <w:color w:val="auto"/>
              </w:rPr>
              <w:t>Deferred revenue, related party</w:t>
            </w:r>
          </w:p>
        </w:tc>
        <w:tc>
          <w:tcPr>
            <w:tcW w:w="9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(3,033)</w:t>
            </w: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(3,510)</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tax liability</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(716)</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tcPr>
          <w:p>
            <w:pPr>
              <w:ind w:left="740"/>
              <w:spacing w:after="0"/>
              <w:rPr>
                <w:sz w:val="20"/>
                <w:szCs w:val="20"/>
                <w:color w:val="auto"/>
              </w:rPr>
            </w:pPr>
            <w:r>
              <w:rPr>
                <w:rFonts w:ascii="Arial" w:cs="Arial" w:eastAsia="Arial" w:hAnsi="Arial"/>
                <w:sz w:val="15"/>
                <w:szCs w:val="15"/>
                <w:color w:val="auto"/>
              </w:rPr>
              <w:t>Deferred rent</w:t>
            </w:r>
          </w:p>
        </w:tc>
        <w:tc>
          <w:tcPr>
            <w:tcW w:w="94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Operating lease liability</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(775)</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tcPr>
          <w:p>
            <w:pPr>
              <w:ind w:left="740"/>
              <w:spacing w:after="0"/>
              <w:rPr>
                <w:sz w:val="20"/>
                <w:szCs w:val="20"/>
                <w:color w:val="auto"/>
              </w:rPr>
            </w:pPr>
            <w:r>
              <w:rPr>
                <w:rFonts w:ascii="Arial" w:cs="Arial" w:eastAsia="Arial" w:hAnsi="Arial"/>
                <w:sz w:val="15"/>
                <w:szCs w:val="15"/>
                <w:color w:val="auto"/>
              </w:rPr>
              <w:t>Other noncurrent assets</w:t>
            </w:r>
          </w:p>
        </w:tc>
        <w:tc>
          <w:tcPr>
            <w:tcW w:w="94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noncurrent liabilities</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(19)</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740"/>
              <w:spacing w:after="0"/>
              <w:rPr>
                <w:sz w:val="20"/>
                <w:szCs w:val="20"/>
                <w:color w:val="auto"/>
              </w:rPr>
            </w:pPr>
            <w:r>
              <w:rPr>
                <w:rFonts w:ascii="Arial" w:cs="Arial" w:eastAsia="Arial" w:hAnsi="Arial"/>
                <w:sz w:val="15"/>
                <w:szCs w:val="15"/>
                <w:color w:val="auto"/>
              </w:rPr>
              <w:t>Net cash used in operating activities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(28,018)</w:t>
            </w:r>
          </w:p>
        </w:tc>
        <w:tc>
          <w:tcPr>
            <w:tcW w:w="1000" w:type="dxa"/>
            <w:vAlign w:val="bottom"/>
          </w:tcPr>
          <w:p>
            <w:pPr>
              <w:spacing w:after="0"/>
              <w:rPr>
                <w:sz w:val="14"/>
                <w:szCs w:val="14"/>
                <w:color w:val="auto"/>
              </w:rPr>
            </w:pPr>
          </w:p>
        </w:tc>
        <w:tc>
          <w:tcPr>
            <w:tcW w:w="68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(12,605)</w:t>
            </w:r>
          </w:p>
        </w:tc>
        <w:tc>
          <w:tcPr>
            <w:tcW w:w="0" w:type="dxa"/>
            <w:vAlign w:val="bottom"/>
          </w:tcPr>
          <w:p>
            <w:pPr>
              <w:spacing w:after="0"/>
              <w:rPr>
                <w:sz w:val="1"/>
                <w:szCs w:val="1"/>
                <w:color w:val="auto"/>
              </w:rPr>
            </w:pPr>
          </w:p>
        </w:tc>
      </w:tr>
      <w:tr>
        <w:trPr>
          <w:trHeight w:val="167"/>
        </w:trPr>
        <w:tc>
          <w:tcPr>
            <w:tcW w:w="774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Cash flows from investing activities</w:t>
            </w:r>
          </w:p>
        </w:tc>
        <w:tc>
          <w:tcPr>
            <w:tcW w:w="9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20"/>
                <w:szCs w:val="20"/>
                <w:color w:val="auto"/>
              </w:rPr>
            </w:pPr>
            <w:r>
              <w:rPr>
                <w:rFonts w:ascii="Arial" w:cs="Arial" w:eastAsia="Arial" w:hAnsi="Arial"/>
                <w:sz w:val="15"/>
                <w:szCs w:val="15"/>
                <w:color w:val="auto"/>
              </w:rPr>
              <w:t>Purchases of marketable securities</w:t>
            </w:r>
          </w:p>
        </w:tc>
        <w:tc>
          <w:tcPr>
            <w:tcW w:w="9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w w:val="99"/>
              </w:rPr>
              <w:t>(100,038)</w:t>
            </w:r>
          </w:p>
        </w:tc>
        <w:tc>
          <w:tcPr>
            <w:tcW w:w="10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Maturities of marketable securities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40,925</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20"/>
                <w:szCs w:val="20"/>
                <w:color w:val="auto"/>
              </w:rPr>
            </w:pPr>
            <w:r>
              <w:rPr>
                <w:rFonts w:ascii="Arial" w:cs="Arial" w:eastAsia="Arial" w:hAnsi="Arial"/>
                <w:sz w:val="15"/>
                <w:szCs w:val="15"/>
                <w:color w:val="auto"/>
              </w:rPr>
              <w:t>Purchases of property and equipment</w:t>
            </w:r>
          </w:p>
        </w:tc>
        <w:tc>
          <w:tcPr>
            <w:tcW w:w="9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(603)</w:t>
            </w: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 of property and equipment</w:t>
            </w:r>
          </w:p>
        </w:tc>
        <w:tc>
          <w:tcPr>
            <w:tcW w:w="9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Proceeds from sale of held-for-sale assets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740" w:type="dxa"/>
            <w:vAlign w:val="bottom"/>
            <w:shd w:val="clear" w:color="auto" w:fill="CFF0FC"/>
          </w:tcPr>
          <w:p>
            <w:pPr>
              <w:ind w:left="740"/>
              <w:spacing w:after="0" w:line="167" w:lineRule="exact"/>
              <w:rPr>
                <w:sz w:val="20"/>
                <w:szCs w:val="20"/>
                <w:color w:val="auto"/>
              </w:rPr>
            </w:pPr>
            <w:r>
              <w:rPr>
                <w:rFonts w:ascii="Arial" w:cs="Arial" w:eastAsia="Arial" w:hAnsi="Arial"/>
                <w:sz w:val="15"/>
                <w:szCs w:val="15"/>
                <w:color w:val="auto"/>
              </w:rPr>
              <w:t>Net cash provided by (used in) investing activities</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(59,716)</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5,761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740" w:type="dxa"/>
            <w:vAlign w:val="bottom"/>
          </w:tcPr>
          <w:p>
            <w:pPr>
              <w:spacing w:after="0" w:line="167" w:lineRule="exact"/>
              <w:rPr>
                <w:sz w:val="20"/>
                <w:szCs w:val="20"/>
                <w:color w:val="auto"/>
              </w:rPr>
            </w:pPr>
            <w:r>
              <w:rPr>
                <w:rFonts w:ascii="Arial" w:cs="Arial" w:eastAsia="Arial" w:hAnsi="Arial"/>
                <w:sz w:val="15"/>
                <w:szCs w:val="15"/>
                <w:b w:val="1"/>
                <w:bCs w:val="1"/>
                <w:color w:val="auto"/>
              </w:rPr>
              <w:t>Cash flows from financing activities</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common stock in initial public offering, net of issuance costs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253,717</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7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Proceeds from issuance of common stock under equity incentive plans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2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740" w:type="dxa"/>
            <w:vAlign w:val="bottom"/>
            <w:shd w:val="clear" w:color="auto" w:fill="CFF0FC"/>
          </w:tcPr>
          <w:p>
            <w:pPr>
              <w:ind w:left="740"/>
              <w:spacing w:after="0" w:line="167" w:lineRule="exact"/>
              <w:rPr>
                <w:sz w:val="20"/>
                <w:szCs w:val="20"/>
                <w:color w:val="auto"/>
              </w:rPr>
            </w:pPr>
            <w:r>
              <w:rPr>
                <w:rFonts w:ascii="Arial" w:cs="Arial" w:eastAsia="Arial" w:hAnsi="Arial"/>
                <w:sz w:val="15"/>
                <w:szCs w:val="15"/>
                <w:color w:val="auto"/>
              </w:rPr>
              <w:t>Net cash provided by financing activities</w:t>
            </w:r>
          </w:p>
        </w:tc>
        <w:tc>
          <w:tcPr>
            <w:tcW w:w="9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253,744</w:t>
            </w:r>
          </w:p>
        </w:tc>
        <w:tc>
          <w:tcPr>
            <w:tcW w:w="28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740" w:type="dxa"/>
            <w:vAlign w:val="bottom"/>
          </w:tcPr>
          <w:p>
            <w:pPr>
              <w:spacing w:after="0" w:line="167" w:lineRule="exact"/>
              <w:rPr>
                <w:sz w:val="20"/>
                <w:szCs w:val="20"/>
                <w:color w:val="auto"/>
              </w:rPr>
            </w:pPr>
            <w:r>
              <w:rPr>
                <w:rFonts w:ascii="Arial" w:cs="Arial" w:eastAsia="Arial" w:hAnsi="Arial"/>
                <w:sz w:val="15"/>
                <w:szCs w:val="15"/>
                <w:color w:val="auto"/>
              </w:rPr>
              <w:t>Net increase (decrease) in cash, cash equivalents and restricted cash</w:t>
            </w:r>
          </w:p>
        </w:tc>
        <w:tc>
          <w:tcPr>
            <w:tcW w:w="94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Arial" w:cs="Arial" w:eastAsia="Arial" w:hAnsi="Arial"/>
                <w:sz w:val="15"/>
                <w:szCs w:val="15"/>
                <w:color w:val="auto"/>
              </w:rPr>
              <w:t>166,010</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(6,830)</w:t>
            </w:r>
          </w:p>
        </w:tc>
        <w:tc>
          <w:tcPr>
            <w:tcW w:w="0" w:type="dxa"/>
            <w:vAlign w:val="bottom"/>
          </w:tcPr>
          <w:p>
            <w:pPr>
              <w:spacing w:after="0"/>
              <w:rPr>
                <w:sz w:val="1"/>
                <w:szCs w:val="1"/>
                <w:color w:val="auto"/>
              </w:rPr>
            </w:pPr>
          </w:p>
        </w:tc>
      </w:tr>
      <w:tr>
        <w:trPr>
          <w:trHeight w:val="167"/>
        </w:trPr>
        <w:tc>
          <w:tcPr>
            <w:tcW w:w="774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color w:val="auto"/>
              </w:rPr>
              <w:t>Cash, cash equivalents and restricted cash - beginning of year</w:t>
            </w:r>
          </w:p>
        </w:tc>
        <w:tc>
          <w:tcPr>
            <w:tcW w:w="94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16,873</w:t>
            </w:r>
          </w:p>
        </w:tc>
        <w:tc>
          <w:tcPr>
            <w:tcW w:w="28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69,800</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40" w:type="dxa"/>
            <w:vAlign w:val="bottom"/>
            <w:tcBorders>
              <w:bottom w:val="single" w:sz="8" w:color="CFF0FC"/>
            </w:tcBorders>
          </w:tcPr>
          <w:p>
            <w:pPr>
              <w:spacing w:after="0" w:line="167" w:lineRule="exact"/>
              <w:rPr>
                <w:sz w:val="20"/>
                <w:szCs w:val="20"/>
                <w:color w:val="auto"/>
              </w:rPr>
            </w:pPr>
            <w:r>
              <w:rPr>
                <w:rFonts w:ascii="Arial" w:cs="Arial" w:eastAsia="Arial" w:hAnsi="Arial"/>
                <w:sz w:val="15"/>
                <w:szCs w:val="15"/>
                <w:color w:val="auto"/>
              </w:rPr>
              <w:t>Cash, cash equivalents and restricted cash - end of year</w:t>
            </w:r>
          </w:p>
        </w:tc>
        <w:tc>
          <w:tcPr>
            <w:tcW w:w="940" w:type="dxa"/>
            <w:vAlign w:val="bottom"/>
            <w:tcBorders>
              <w:bottom w:val="single" w:sz="8" w:color="auto"/>
            </w:tcBorders>
          </w:tcPr>
          <w:p>
            <w:pPr>
              <w:jc w:val="right"/>
              <w:ind w:right="787"/>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182,883</w:t>
            </w:r>
          </w:p>
        </w:tc>
        <w:tc>
          <w:tcPr>
            <w:tcW w:w="2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846"/>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62,970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7740" w:type="dxa"/>
            <w:vAlign w:val="bottom"/>
            <w:shd w:val="clear" w:color="auto" w:fill="CFF0FC"/>
          </w:tcPr>
          <w:p>
            <w:pPr>
              <w:spacing w:after="0" w:line="140" w:lineRule="exact"/>
              <w:rPr>
                <w:sz w:val="20"/>
                <w:szCs w:val="20"/>
                <w:color w:val="auto"/>
              </w:rPr>
            </w:pPr>
            <w:r>
              <w:rPr>
                <w:rFonts w:ascii="Arial" w:cs="Arial" w:eastAsia="Arial" w:hAnsi="Arial"/>
                <w:sz w:val="15"/>
                <w:szCs w:val="15"/>
                <w:color w:val="auto"/>
              </w:rPr>
              <w:t>Reconciliation of cash, cash equivalents and restricted cash to consolidated balance</w:t>
            </w:r>
          </w:p>
        </w:tc>
        <w:tc>
          <w:tcPr>
            <w:tcW w:w="9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sheets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182,669</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62,756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w:t>
            </w:r>
          </w:p>
        </w:tc>
        <w:tc>
          <w:tcPr>
            <w:tcW w:w="9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w:t>
            </w:r>
          </w:p>
        </w:tc>
        <w:tc>
          <w:tcPr>
            <w:tcW w:w="28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40" w:type="dxa"/>
            <w:vAlign w:val="bottom"/>
            <w:tcBorders>
              <w:bottom w:val="single" w:sz="8" w:color="CFF0FC"/>
            </w:tcBorders>
          </w:tcPr>
          <w:p>
            <w:pPr>
              <w:spacing w:after="0" w:line="167" w:lineRule="exact"/>
              <w:rPr>
                <w:sz w:val="20"/>
                <w:szCs w:val="20"/>
                <w:color w:val="auto"/>
              </w:rPr>
            </w:pPr>
            <w:r>
              <w:rPr>
                <w:rFonts w:ascii="Arial" w:cs="Arial" w:eastAsia="Arial" w:hAnsi="Arial"/>
                <w:sz w:val="15"/>
                <w:szCs w:val="15"/>
                <w:color w:val="auto"/>
              </w:rPr>
              <w:t>Cash, cash equivalents and restricted cash - end of year</w:t>
            </w:r>
          </w:p>
        </w:tc>
        <w:tc>
          <w:tcPr>
            <w:tcW w:w="940" w:type="dxa"/>
            <w:vAlign w:val="bottom"/>
            <w:tcBorders>
              <w:bottom w:val="single" w:sz="8" w:color="auto"/>
            </w:tcBorders>
          </w:tcPr>
          <w:p>
            <w:pPr>
              <w:jc w:val="right"/>
              <w:ind w:right="787"/>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182,883</w:t>
            </w:r>
          </w:p>
        </w:tc>
        <w:tc>
          <w:tcPr>
            <w:tcW w:w="2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846"/>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62,970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spacing w:after="0" w:line="154" w:lineRule="exact"/>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9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20"/>
                <w:szCs w:val="20"/>
                <w:color w:val="auto"/>
              </w:rPr>
            </w:pPr>
            <w:r>
              <w:rPr>
                <w:rFonts w:ascii="Arial" w:cs="Arial" w:eastAsia="Arial" w:hAnsi="Arial"/>
                <w:sz w:val="15"/>
                <w:szCs w:val="15"/>
                <w:color w:val="auto"/>
              </w:rPr>
              <w:t>Vesting of early exercised options and restricted stock</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47</w:t>
            </w:r>
          </w:p>
        </w:tc>
        <w:tc>
          <w:tcPr>
            <w:tcW w:w="280" w:type="dxa"/>
            <w:vAlign w:val="bottom"/>
          </w:tcPr>
          <w:p>
            <w:pPr>
              <w:spacing w:after="0"/>
              <w:rPr>
                <w:sz w:val="15"/>
                <w:szCs w:val="15"/>
                <w:color w:val="auto"/>
              </w:rPr>
            </w:pP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Purchases of property and equipment in accounts payable and accrued expenses and other current liabilities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40" w:type="dxa"/>
            <w:vAlign w:val="bottom"/>
          </w:tcPr>
          <w:p>
            <w:pPr>
              <w:spacing w:after="0"/>
              <w:rPr>
                <w:sz w:val="20"/>
                <w:szCs w:val="20"/>
                <w:color w:val="auto"/>
              </w:rPr>
            </w:pPr>
            <w:r>
              <w:rPr>
                <w:rFonts w:ascii="Arial" w:cs="Arial" w:eastAsia="Arial" w:hAnsi="Arial"/>
                <w:sz w:val="15"/>
                <w:szCs w:val="15"/>
                <w:color w:val="auto"/>
              </w:rPr>
              <w:t>Unpaid offering costs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1,417</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REVOLUTION MEDICINES,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09" w:lineRule="exact"/>
        <w:rPr>
          <w:sz w:val="20"/>
          <w:szCs w:val="20"/>
          <w:color w:val="auto"/>
        </w:rPr>
      </w:pPr>
    </w:p>
    <w:p>
      <w:pPr>
        <w:ind w:left="760" w:hanging="753"/>
        <w:spacing w:after="0"/>
        <w:tabs>
          <w:tab w:leader="none" w:pos="7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9"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3" w:lineRule="exact"/>
        <w:rPr>
          <w:sz w:val="20"/>
          <w:szCs w:val="20"/>
          <w:color w:val="auto"/>
        </w:rPr>
      </w:pPr>
    </w:p>
    <w:p>
      <w:pPr>
        <w:ind w:right="40" w:firstLine="510"/>
        <w:spacing w:after="0" w:line="265" w:lineRule="auto"/>
        <w:rPr>
          <w:sz w:val="20"/>
          <w:szCs w:val="20"/>
          <w:color w:val="auto"/>
        </w:rPr>
      </w:pPr>
      <w:r>
        <w:rPr>
          <w:rFonts w:ascii="Arial" w:cs="Arial" w:eastAsia="Arial" w:hAnsi="Arial"/>
          <w:sz w:val="17"/>
          <w:szCs w:val="17"/>
          <w:color w:val="auto"/>
        </w:rPr>
        <w:t>The Company has incurred net operating losses in each year since inception. As of March 31, 2020, the Company had an accumulated deficit of $176.9 million. Management believes that its existing cash, cash equivalents and marketable securities enable the Company to fund planned operations for at least 12 months following the issuance date of these condensed consolidated financial statements. The Company has been able to fund its operations through the issuance and sale of common stock and redeemable convertible preferred stock in addition to upfront payments and research and development cost reimbursement received under the Company’s collaboration agreement with Genzyme Corporation, an affiliate of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On February 18, 2020, the Company closed its initial public offering, (IPO), and issued 16,100,000 shares of its common stock (including the exercise in full by the underwriters of their option to purchase an additional 2,100,000 shares of common stock) at a price to the public of $17.00 per share for net proceeds of $250.7 million, after deducting underwriting discounts and commissions of $19.2 million and expenses of $3.8 million.</w:t>
      </w:r>
    </w:p>
    <w:p>
      <w:pPr>
        <w:spacing w:after="0" w:line="272" w:lineRule="exact"/>
        <w:rPr>
          <w:sz w:val="20"/>
          <w:szCs w:val="20"/>
          <w:color w:val="auto"/>
        </w:rPr>
      </w:pPr>
    </w:p>
    <w:p>
      <w:pPr>
        <w:ind w:left="760" w:hanging="753"/>
        <w:spacing w:after="0"/>
        <w:tabs>
          <w:tab w:leader="none" w:pos="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condensed consolidated financial statements have been prepared in conformity with generally accepted accounting principles in the United States (GAAP) and applicable rules of the Securities and Exchange Commission (SEC) regarding interim financial reporting and, in the opinion of management, include all normal and recurring adjustments which are necessary to state fairly the Company's financial position and results of operations for the reported periods. The accompanying condensed consolidated financial statements and related financial information should be read in conjunction with the audited consolidated financial statements and the related notes thereto for the year ended December 31, 2019 included in the Company’s Annual Report on Form 10-K for the year ended December 31, 2019 filed with the SEC on March 30, 2020. Certain information and note disclosures normally included in the financial statements prepared in accordance with GAAP have been condensed or omitted in accordance with such rules and regulations. The condensed consolidated financial statements for the periods ended March 31, 2020 and March 31, 2019 include the accounts of the Company and its wholly owned subsidiary, Warp Drive Bio, Inc. (Warp Drive). All intercompany balances and transactions have been eliminated in consolidation. The functional and reporting currency of the Company and its subsidiary is the U.S. dollar.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3"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On February 7, 2020, the Company amended and restated its amended and restated certificate of incorporation to effect a 1-for-4.8661 reverse stock split of the Company’s common stock and redeemable convertible preferred stock.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3"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 w:name="page11"/>
    <w:bookmarkEnd w:id="10"/>
    <w:p>
      <w:pPr>
        <w:ind w:right="120"/>
        <w:spacing w:after="0" w:line="266" w:lineRule="auto"/>
        <w:rPr>
          <w:sz w:val="20"/>
          <w:szCs w:val="20"/>
          <w:color w:val="auto"/>
        </w:rPr>
      </w:pPr>
      <w:r>
        <w:rPr>
          <w:rFonts w:ascii="Arial" w:cs="Arial" w:eastAsia="Arial" w:hAnsi="Arial"/>
          <w:sz w:val="17"/>
          <w:szCs w:val="17"/>
          <w:color w:val="auto"/>
        </w:rPr>
        <w:t>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stock-based compensation. The extent to which the COVID-19 pandemic may directly or indirectly impact the Company’s business, financial condition and results of operations is highly uncertain and subject to change. The Company considered the potential impact of the COVID-19 pandemic on the its estimates and assumptions and there was not a material impact to the Company’s condensed consolidated financial statements as of and for the three months ended March 31, 2020. Actual results could materially differ from the Company’s estimates, and there may be changes to the estimates in future periods</w:t>
      </w:r>
      <w:r>
        <w:rPr>
          <w:rFonts w:ascii="Arial" w:cs="Arial" w:eastAsia="Arial" w:hAnsi="Arial"/>
          <w:sz w:val="17"/>
          <w:szCs w:val="17"/>
          <w:i w:val="1"/>
          <w:i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3"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Company’s cash is held by one financial institution in the United States, which management believes to be of high credit quality. The Company invests in money market funds, U.S. government debt securities, U.S. government agency bonds, commercial paper and corporate bonds. The Company has not experienced any losses on its deposits of cash and cash equivalents.</w:t>
      </w:r>
    </w:p>
    <w:p>
      <w:pPr>
        <w:spacing w:after="0" w:line="193" w:lineRule="exact"/>
        <w:rPr>
          <w:sz w:val="20"/>
          <w:szCs w:val="20"/>
          <w:color w:val="auto"/>
        </w:rPr>
      </w:pPr>
    </w:p>
    <w:p>
      <w:pPr>
        <w:ind w:right="100" w:firstLine="510"/>
        <w:spacing w:after="0" w:line="267" w:lineRule="auto"/>
        <w:rPr>
          <w:sz w:val="20"/>
          <w:szCs w:val="20"/>
          <w:color w:val="auto"/>
        </w:rPr>
      </w:pPr>
      <w:r>
        <w:rPr>
          <w:rFonts w:ascii="Arial" w:cs="Arial" w:eastAsia="Arial" w:hAnsi="Arial"/>
          <w:sz w:val="18"/>
          <w:szCs w:val="18"/>
          <w:color w:val="auto"/>
        </w:rPr>
        <w:t>The Company is subject to credit risk as its receivable and collaboration revenue, related party are entirely related to its collaboration agreement with Sanofi. See Note 8, “Sanofi collaboration agreement.”</w:t>
      </w:r>
    </w:p>
    <w:p>
      <w:pPr>
        <w:spacing w:after="0" w:line="179" w:lineRule="exact"/>
        <w:rPr>
          <w:sz w:val="20"/>
          <w:szCs w:val="20"/>
          <w:color w:val="auto"/>
        </w:rPr>
      </w:pPr>
    </w:p>
    <w:p>
      <w:pPr>
        <w:ind w:right="160" w:firstLine="510"/>
        <w:spacing w:after="0" w:line="285" w:lineRule="auto"/>
        <w:rPr>
          <w:sz w:val="20"/>
          <w:szCs w:val="20"/>
          <w:color w:val="auto"/>
        </w:rPr>
      </w:pPr>
      <w:r>
        <w:rPr>
          <w:rFonts w:ascii="Arial" w:cs="Arial" w:eastAsia="Arial" w:hAnsi="Arial"/>
          <w:sz w:val="16"/>
          <w:szCs w:val="16"/>
          <w:color w:val="auto"/>
        </w:rPr>
        <w:t>All of the Company’s clinical trial sites for its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The Company is aware of several clinical sites involved in our RMC-4630 clinical studies that have temporarily stopped or delayed enrolling new patients, with exemptions if appropriate. These developments may delay the Company’s clinical trial timelines. Some of the Company’s third-party manufacturers which it uses for the supply of materials for product candidates or other materials necessary to manufacture product to conduct preclinical tests and clinical trials are located in countries affected by COVID-19, and should they experience disruptions, such as temporary closures or suspension of services, the Company would likely experience delays in advancing clinical trials.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3"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right-of-use assets and operating lease liabilities and are recognized in the period in which the obligation for those payments is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3" w:lineRule="exact"/>
        <w:rPr>
          <w:sz w:val="20"/>
          <w:szCs w:val="20"/>
          <w:color w:val="auto"/>
        </w:rPr>
      </w:pPr>
    </w:p>
    <w:p>
      <w:pPr>
        <w:ind w:right="40" w:firstLine="510"/>
        <w:spacing w:after="0" w:line="251"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provides accounting guidance for both lessee and lessor accounting models. In July 2018, the FASB issued supplemental adoption guidance and clarification to ASC 842 within ASU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and ASU 2019-01,</w:t>
      </w:r>
      <w:r>
        <w:rPr>
          <w:rFonts w:ascii="Arial" w:cs="Arial" w:eastAsia="Arial" w:hAnsi="Arial"/>
          <w:sz w:val="18"/>
          <w:szCs w:val="18"/>
          <w:i w:val="1"/>
          <w:iCs w:val="1"/>
          <w:color w:val="auto"/>
        </w:rPr>
        <w:t xml:space="preserve"> Leases (Topic 842): Codification Improvements. </w:t>
      </w:r>
      <w:r>
        <w:rPr>
          <w:rFonts w:ascii="Arial" w:cs="Arial" w:eastAsia="Arial" w:hAnsi="Arial"/>
          <w:sz w:val="18"/>
          <w:szCs w:val="18"/>
          <w:color w:val="auto"/>
        </w:rPr>
        <w:t>ASU 2018-11 provides another transition method in addition to the existing modified retrospective transition method by allowing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apply the new leasing standard at the adoption date and recognize a cumulative-effect adjustment to the opening balance of retained earnings in the period of adoption.</w:t>
      </w:r>
    </w:p>
    <w:p>
      <w:pPr>
        <w:spacing w:after="0" w:line="87" w:lineRule="exact"/>
        <w:rPr>
          <w:sz w:val="20"/>
          <w:szCs w:val="20"/>
          <w:color w:val="auto"/>
        </w:rPr>
      </w:pPr>
    </w:p>
    <w:p>
      <w:pPr>
        <w:ind w:right="40" w:firstLine="510"/>
        <w:spacing w:after="0" w:line="215" w:lineRule="exact"/>
        <w:rPr>
          <w:sz w:val="20"/>
          <w:szCs w:val="20"/>
          <w:color w:val="auto"/>
        </w:rPr>
      </w:pPr>
      <w:r>
        <w:rPr>
          <w:rFonts w:ascii="Arial" w:cs="Arial" w:eastAsia="Arial" w:hAnsi="Arial"/>
          <w:sz w:val="16"/>
          <w:szCs w:val="16"/>
          <w:color w:val="auto"/>
        </w:rPr>
        <w:t>The Company adopted these ASUs on January 1, 2020. For its operating leases with a term greater than twelve months, the Company recognizes a right-of-use asset and a lease liability on its condensed consolidated balance sheets. The Company adopted the new standard using the modified retrospective approach, which resulted in the initial recognition of a lease liability of $11.5 million, and a right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use asset of $9.1 million, with no adjustment to the accumulated deficit balance. In connection with the lease adoption, the Company also derecognized deferred rent of $2.4 million. The adoption of the new standard did not have an impact on the condensed consolidated statements of operations. The lease liability is determined as the present value of future lease payments using an estimated rate of interest that the Company would pay to borrow equivalent funds on a collateralized basis at the lease commencement date. In order to estimate the incremental borrowing rate, management estimated its credit rating, adjusted the credit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11" w:name="page12"/>
    <w:bookmarkEnd w:id="11"/>
    <w:p>
      <w:pPr>
        <w:ind w:right="60"/>
        <w:spacing w:after="0" w:line="250" w:lineRule="auto"/>
        <w:rPr>
          <w:sz w:val="20"/>
          <w:szCs w:val="20"/>
          <w:color w:val="auto"/>
        </w:rPr>
      </w:pPr>
      <w:r>
        <w:rPr>
          <w:rFonts w:ascii="Arial" w:cs="Arial" w:eastAsia="Arial" w:hAnsi="Arial"/>
          <w:sz w:val="18"/>
          <w:szCs w:val="18"/>
          <w:color w:val="auto"/>
        </w:rPr>
        <w:t>rating for the nature of the collateral, and benchmarked the borrowing rate against observable yields on comparable securities with a similar term. As of the adoption date, the Company estimated the incremental borrowing rate to be approximately 5%. The Company determined the lease term at the commencement date by considering whether renewal options and termination options are reasonably assured of exercise. The Company elected the practical expedients permitted under ASU 2018-11, which among other things, allowed the Company to carry forward the historical lease classification of those leases in place as of January 1, 2020. The Company elected to exclude from its condensed consolidated balance sheets recognition of leases having a term of 12 months or less (short-term leases). The Company elected to apply the practical expedient and accounted for each lease component and related non-lease component as one single component.</w:t>
      </w:r>
    </w:p>
    <w:p>
      <w:pPr>
        <w:spacing w:after="0" w:line="303" w:lineRule="exact"/>
        <w:rPr>
          <w:sz w:val="20"/>
          <w:szCs w:val="20"/>
          <w:color w:val="auto"/>
        </w:rPr>
      </w:pPr>
    </w:p>
    <w:p>
      <w:pPr>
        <w:ind w:right="60" w:firstLine="510"/>
        <w:spacing w:after="0" w:line="284"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2018-07). ASU 2018-07 simplifies the accounting for share-based payments to nonemployees by aligning it with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share-based payments to employees, with certain exceptions. The Company adopted ASU 2018-07 on January 1, 2020 and concluded that adoption of the standard did not have a material impact on its condensed consolidated financial statements.</w:t>
      </w:r>
    </w:p>
    <w:p>
      <w:pPr>
        <w:spacing w:after="0" w:line="274" w:lineRule="exact"/>
        <w:rPr>
          <w:sz w:val="20"/>
          <w:szCs w:val="20"/>
          <w:color w:val="auto"/>
        </w:rPr>
      </w:pPr>
    </w:p>
    <w:p>
      <w:pPr>
        <w:ind w:right="260" w:firstLine="510"/>
        <w:spacing w:after="0" w:line="295"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w:t>
      </w:r>
      <w:r>
        <w:rPr>
          <w:rFonts w:ascii="Arial" w:cs="Arial" w:eastAsia="Arial" w:hAnsi="Arial"/>
          <w:sz w:val="16"/>
          <w:szCs w:val="16"/>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The Company adopted the standard on January 1, 2020 and concluded that adoption of the standard did not have a material impact on its condensed consolidated financial statements.</w:t>
      </w:r>
    </w:p>
    <w:p>
      <w:pPr>
        <w:spacing w:after="0" w:line="268" w:lineRule="exact"/>
        <w:rPr>
          <w:sz w:val="20"/>
          <w:szCs w:val="20"/>
          <w:color w:val="auto"/>
        </w:rPr>
      </w:pPr>
    </w:p>
    <w:p>
      <w:pPr>
        <w:ind w:right="180" w:firstLine="510"/>
        <w:spacing w:after="0" w:line="281"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w:t>
      </w:r>
      <w:r>
        <w:rPr>
          <w:rFonts w:ascii="Arial" w:cs="Arial" w:eastAsia="Arial" w:hAnsi="Arial"/>
          <w:sz w:val="16"/>
          <w:szCs w:val="16"/>
          <w:color w:val="auto"/>
        </w:rPr>
        <w:t>(ASU 2018-18). ASU 2018-18 clarifies that certain transactions between collaborative arrangement participants should be accounted for as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under Topic 606 when the counterparty is a customer for a distinct good or service (i.e. a unit of account). For units of account that are in the scope of Topic 606, all of the guidance in Topic 606 should be applied, including the guidance on recognition, measurement, presentation and disclosure. ASU</w:t>
      </w:r>
    </w:p>
    <w:p>
      <w:pPr>
        <w:spacing w:after="0" w:line="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2018-18 also adds a reference in ASC Topic 808, Collaborative Arrangements (Topic 808) to the unit of account guidance in Topic 606 and requires that it be applied only to assess whether transactions in a collaborative arrangement are in the scope of Topic 606. ASU 2018-18 preclude entities from presenting amounts related to transactions with a counterparty in a collaborative arrangement that is not a customer as revenue from contracts with customers. The Company adopted the standard on January 1, 2020 and concluded that adoption of the standard did not have a material impact on its condensed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3" w:lineRule="exact"/>
        <w:rPr>
          <w:sz w:val="20"/>
          <w:szCs w:val="20"/>
          <w:color w:val="auto"/>
        </w:rPr>
      </w:pPr>
    </w:p>
    <w:p>
      <w:pPr>
        <w:ind w:firstLine="510"/>
        <w:spacing w:after="0" w:line="263"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Codification Improvements to Topic 326, Financial Instruments—Credit Losses (ASU 2018-19) which narrowed the scope and changed the effective date for non-public entities for ASU 2016-13. The FASB subsequently issued supplemental guidance within ASU No. 2019-05, Financial Instruments—Credit Losses (Topic 326): Targeted Transition Relief (ASU 2019-05). ASU 2019-05 provides an option to irrevocably elect the fair value option for certain financial assets 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ind w:right="20" w:firstLine="510"/>
        <w:spacing w:after="0" w:line="248"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(ASU 2018-15). ASU 2018-15 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 beginning after December 31, 2021. The Company is currently evaluating the impact of this ASU on the Company’s consolidated financial statements.</w:t>
      </w:r>
    </w:p>
    <w:p>
      <w:pPr>
        <w:spacing w:after="0" w:line="305" w:lineRule="exact"/>
        <w:rPr>
          <w:sz w:val="20"/>
          <w:szCs w:val="20"/>
          <w:color w:val="auto"/>
        </w:rPr>
      </w:pPr>
    </w:p>
    <w:p>
      <w:pPr>
        <w:ind w:right="180" w:firstLine="510"/>
        <w:spacing w:after="0" w:line="267" w:lineRule="auto"/>
        <w:rPr>
          <w:sz w:val="20"/>
          <w:szCs w:val="20"/>
          <w:color w:val="auto"/>
        </w:rPr>
      </w:pPr>
      <w:r>
        <w:rPr>
          <w:rFonts w:ascii="Arial" w:cs="Arial" w:eastAsia="Arial" w:hAnsi="Arial"/>
          <w:sz w:val="18"/>
          <w:szCs w:val="18"/>
          <w:color w:val="auto"/>
        </w:rPr>
        <w:t>In December 2019, the Financial Accounting Standards Board (FASB) issued ASU 2019-12, Income Taxes (Topic 740)-Simplifying the Accounting for Income Taxes (ASU 2019-12). ASU 2019-12 simplifies the accounting for income taxes by removing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2" w:name="page13"/>
    <w:bookmarkEnd w:id="12"/>
    <w:p>
      <w:pPr>
        <w:ind w:right="100"/>
        <w:spacing w:after="0" w:line="257" w:lineRule="auto"/>
        <w:rPr>
          <w:sz w:val="20"/>
          <w:szCs w:val="20"/>
          <w:color w:val="auto"/>
        </w:rPr>
      </w:pPr>
      <w:r>
        <w:rPr>
          <w:rFonts w:ascii="Arial" w:cs="Arial" w:eastAsia="Arial" w:hAnsi="Arial"/>
          <w:sz w:val="18"/>
          <w:szCs w:val="18"/>
          <w:color w:val="auto"/>
        </w:rPr>
        <w:t>certain exceptions to the general principles in Topic 740 and clarifying and amending existing guidance. ASU 2019-12 will be effective for the Company in the first quarter of 2021 with early adoption permitted. The Company is currently assessing the impact of ASU 2019-12 on its consolidated financial statements.</w:t>
      </w:r>
    </w:p>
    <w:p>
      <w:pPr>
        <w:spacing w:after="0" w:line="289" w:lineRule="exact"/>
        <w:rPr>
          <w:sz w:val="20"/>
          <w:szCs w:val="20"/>
          <w:color w:val="auto"/>
        </w:rPr>
      </w:pPr>
    </w:p>
    <w:p>
      <w:pPr>
        <w:ind w:left="760" w:hanging="753"/>
        <w:spacing w:after="0"/>
        <w:tabs>
          <w:tab w:leader="none" w:pos="7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9" w:lineRule="exact"/>
        <w:rPr>
          <w:sz w:val="20"/>
          <w:szCs w:val="20"/>
          <w:color w:val="auto"/>
        </w:rPr>
      </w:pPr>
    </w:p>
    <w:p>
      <w:pPr>
        <w:ind w:firstLine="510"/>
        <w:spacing w:after="0" w:line="267"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3"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8"/>
              <w:spacing w:after="0" w:line="153"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3"/>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4"/>
          </w:tcPr>
          <w:p>
            <w:pPr>
              <w:jc w:val="center"/>
              <w:ind w:right="114"/>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300" w:type="dxa"/>
            <w:vAlign w:val="bottom"/>
          </w:tcPr>
          <w:p>
            <w:pPr>
              <w:ind w:left="2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27,747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27,747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7"/>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5"/>
                <w:szCs w:val="15"/>
                <w:color w:val="auto"/>
              </w:rPr>
              <w:t>(1, 2)</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184,422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6"/>
        </w:trPr>
        <w:tc>
          <w:tcPr>
            <w:tcW w:w="4300" w:type="dxa"/>
            <w:vAlign w:val="bottom"/>
          </w:tcPr>
          <w:p>
            <w:pPr>
              <w:ind w:left="240"/>
              <w:spacing w:after="0"/>
              <w:rPr>
                <w:sz w:val="20"/>
                <w:szCs w:val="20"/>
                <w:color w:val="auto"/>
              </w:rPr>
            </w:pPr>
            <w:r>
              <w:rPr>
                <w:rFonts w:ascii="Arial" w:cs="Arial" w:eastAsia="Arial" w:hAnsi="Arial"/>
                <w:sz w:val="18"/>
                <w:szCs w:val="18"/>
                <w:color w:val="auto"/>
              </w:rPr>
              <w:t xml:space="preserve">U.S. government and agency securities </w:t>
            </w:r>
            <w:r>
              <w:rPr>
                <w:rFonts w:ascii="Arial" w:cs="Arial" w:eastAsia="Arial" w:hAnsi="Arial"/>
                <w:sz w:val="15"/>
                <w:szCs w:val="15"/>
                <w:color w:val="auto"/>
              </w:rPr>
              <w:t>(1, 2)</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7"/>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5"/>
                <w:szCs w:val="15"/>
                <w:color w:val="auto"/>
              </w:rPr>
              <w:t>(1, 2)</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36,145</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r>
      <w:tr>
        <w:trPr>
          <w:trHeight w:val="219"/>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349,241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27,747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321,494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0"/>
        </w:trPr>
        <w:tc>
          <w:tcPr>
            <w:tcW w:w="4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0"/>
              </w:rPr>
              <w:t>December 31, 2019</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3"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8"/>
              <w:spacing w:after="0" w:line="153"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3"/>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4"/>
          </w:tcPr>
          <w:p>
            <w:pPr>
              <w:jc w:val="center"/>
              <w:ind w:right="114"/>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300" w:type="dxa"/>
            <w:vAlign w:val="bottom"/>
          </w:tcPr>
          <w:p>
            <w:pPr>
              <w:ind w:left="2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9,369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7"/>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5"/>
                <w:szCs w:val="15"/>
                <w:color w:val="auto"/>
              </w:rPr>
              <w:t>(1, 2)</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6"/>
        </w:trPr>
        <w:tc>
          <w:tcPr>
            <w:tcW w:w="4300" w:type="dxa"/>
            <w:vAlign w:val="bottom"/>
          </w:tcPr>
          <w:p>
            <w:pPr>
              <w:ind w:left="240"/>
              <w:spacing w:after="0"/>
              <w:rPr>
                <w:sz w:val="20"/>
                <w:szCs w:val="20"/>
                <w:color w:val="auto"/>
              </w:rPr>
            </w:pPr>
            <w:r>
              <w:rPr>
                <w:rFonts w:ascii="Arial" w:cs="Arial" w:eastAsia="Arial" w:hAnsi="Arial"/>
                <w:sz w:val="18"/>
                <w:szCs w:val="18"/>
                <w:color w:val="auto"/>
              </w:rPr>
              <w:t xml:space="preserve">U.S. government and agency securities </w:t>
            </w:r>
            <w:r>
              <w:rPr>
                <w:rFonts w:ascii="Arial" w:cs="Arial" w:eastAsia="Arial" w:hAnsi="Arial"/>
                <w:sz w:val="15"/>
                <w:szCs w:val="15"/>
                <w:color w:val="auto"/>
              </w:rPr>
              <w:t>(2)</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7"/>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5"/>
                <w:szCs w:val="15"/>
                <w:color w:val="auto"/>
              </w:rPr>
              <w:t>(2)</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38,837</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r>
      <w:tr>
        <w:trPr>
          <w:trHeight w:val="219"/>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123,617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9,369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114,248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635</wp:posOffset>
            </wp:positionV>
            <wp:extent cx="302958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29585" cy="25400"/>
                    </a:xfrm>
                    <a:prstGeom prst="rect">
                      <a:avLst/>
                    </a:prstGeom>
                    <a:noFill/>
                  </pic:spPr>
                </pic:pic>
              </a:graphicData>
            </a:graphic>
          </wp:anchor>
        </w:drawing>
      </w:r>
    </w:p>
    <w:p>
      <w:pPr>
        <w:spacing w:after="0" w:line="12"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Included in cash and cash equivalents on the consolidated balance sheets.</w:t>
      </w:r>
    </w:p>
    <w:p>
      <w:pPr>
        <w:spacing w:after="0" w:line="7" w:lineRule="exact"/>
        <w:rPr>
          <w:rFonts w:ascii="Arial" w:cs="Arial" w:eastAsia="Arial" w:hAnsi="Arial"/>
          <w:sz w:val="13"/>
          <w:szCs w:val="13"/>
          <w:color w:val="auto"/>
        </w:rPr>
      </w:pPr>
    </w:p>
    <w:p>
      <w:pPr>
        <w:ind w:left="520" w:hanging="513"/>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Included in marketable securities on the consolidated balance sheets.</w:t>
      </w:r>
    </w:p>
    <w:p>
      <w:pPr>
        <w:spacing w:after="0" w:line="19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Money market funds are measured at fair value on a recurring basis using quoted prices. U.S. government debt securities, U.S. government agency bonds, commercial paper and corporate bonds are measured at fair value, which is derived from independent pricing sources based on quoted prices in active markets for similar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Levels 1, 2 or 3 for any of the periods presented.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60"/>
          </w:cols>
          <w:pgMar w:left="320" w:top="660" w:right="419" w:bottom="1440" w:gutter="0" w:footer="0" w:header="0"/>
        </w:sectPr>
      </w:pPr>
    </w:p>
    <w:bookmarkStart w:id="13" w:name="page14"/>
    <w:bookmarkEnd w:id="13"/>
    <w:p>
      <w:pPr>
        <w:ind w:left="760" w:hanging="753"/>
        <w:spacing w:after="0"/>
        <w:tabs>
          <w:tab w:leader="none" w:pos="7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119" w:lineRule="exact"/>
        <w:rPr>
          <w:sz w:val="20"/>
          <w:szCs w:val="20"/>
          <w:color w:val="auto"/>
        </w:rPr>
      </w:pPr>
    </w:p>
    <w:p>
      <w:pPr>
        <w:ind w:right="400" w:firstLine="510"/>
        <w:spacing w:after="0" w:line="267" w:lineRule="auto"/>
        <w:rPr>
          <w:sz w:val="20"/>
          <w:szCs w:val="20"/>
          <w:color w:val="auto"/>
        </w:rPr>
      </w:pPr>
      <w:r>
        <w:rPr>
          <w:rFonts w:ascii="Arial" w:cs="Arial" w:eastAsia="Arial" w:hAnsi="Arial"/>
          <w:sz w:val="18"/>
          <w:szCs w:val="18"/>
          <w:color w:val="auto"/>
        </w:rPr>
        <w:t>The following tables summarize the estimated value of the Company’s available-for-sale marketable securities and cash equivalents and the gross unrealized gains and losses:</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March 31, 2020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4"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4"/>
              <w:spacing w:after="0" w:line="160"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3"/>
                <w:szCs w:val="13"/>
                <w:color w:val="auto"/>
              </w:rPr>
            </w:pPr>
          </w:p>
        </w:tc>
        <w:tc>
          <w:tcPr>
            <w:tcW w:w="100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gain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48,337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and agency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marketable securities</w:t>
            </w: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and agency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available-for-sale investments</w:t>
            </w: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2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349,205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4"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4"/>
              <w:spacing w:after="0" w:line="160"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3"/>
                <w:szCs w:val="13"/>
                <w:color w:val="auto"/>
              </w:rPr>
            </w:pPr>
          </w:p>
        </w:tc>
        <w:tc>
          <w:tcPr>
            <w:tcW w:w="100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gain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24,446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and agency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marketable securities</w:t>
            </w: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Commercial paper</w:t>
            </w: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123,543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510"/>
        <w:spacing w:after="0" w:line="267" w:lineRule="auto"/>
        <w:rPr>
          <w:sz w:val="20"/>
          <w:szCs w:val="20"/>
          <w:color w:val="auto"/>
        </w:rPr>
      </w:pPr>
      <w:r>
        <w:rPr>
          <w:rFonts w:ascii="Arial" w:cs="Arial" w:eastAsia="Arial" w:hAnsi="Arial"/>
          <w:sz w:val="18"/>
          <w:szCs w:val="18"/>
          <w:color w:val="auto"/>
        </w:rPr>
        <w:t>The amortized cost and estimated fair value of the Company’s available-for-sale marketable securities by contractual maturity are summarized below as of March 31,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2"/>
              <w:spacing w:after="0" w:line="144"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8"/>
              <w:spacing w:after="0" w:line="160"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2"/>
              <w:spacing w:after="0" w:line="160" w:lineRule="exact"/>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w w:val="90"/>
              </w:rPr>
              <w:t>gain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5"/>
          </w:tcPr>
          <w:p>
            <w:pPr>
              <w:jc w:val="right"/>
              <w:ind w:right="840"/>
              <w:spacing w:after="0" w:line="153"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Mature in one year or less</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307,723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307,692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80" w:type="dxa"/>
            <w:vAlign w:val="bottom"/>
            <w:gridSpan w:val="2"/>
          </w:tcPr>
          <w:p>
            <w:pPr>
              <w:ind w:left="580"/>
              <w:spacing w:after="0"/>
              <w:rPr>
                <w:sz w:val="20"/>
                <w:szCs w:val="20"/>
                <w:color w:val="auto"/>
              </w:rPr>
            </w:pPr>
            <w:r>
              <w:rPr>
                <w:rFonts w:ascii="Arial" w:cs="Arial" w:eastAsia="Arial" w:hAnsi="Arial"/>
                <w:sz w:val="18"/>
                <w:szCs w:val="18"/>
                <w:color w:val="auto"/>
              </w:rPr>
              <w:t>Mature after one year through two years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marketable securities</w:t>
            </w:r>
          </w:p>
        </w:tc>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3900" w:type="dxa"/>
            <w:vAlign w:val="bottom"/>
            <w:vMerge w:val="continue"/>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349,205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349,241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654"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b w:val="1"/>
                <w:bCs w:val="1"/>
                <w:color w:val="auto"/>
              </w:rPr>
              <w:t>5.</w:t>
            </w:r>
          </w:p>
        </w:tc>
        <w:tc>
          <w:tcPr>
            <w:tcW w:w="5980" w:type="dxa"/>
            <w:vAlign w:val="bottom"/>
            <w:gridSpan w:val="2"/>
          </w:tcPr>
          <w:p>
            <w:pPr>
              <w:ind w:left="440"/>
              <w:spacing w:after="0"/>
              <w:rPr>
                <w:sz w:val="20"/>
                <w:szCs w:val="20"/>
                <w:color w:val="auto"/>
              </w:rPr>
            </w:pPr>
            <w:r>
              <w:rPr>
                <w:rFonts w:ascii="Arial" w:cs="Arial" w:eastAsia="Arial" w:hAnsi="Arial"/>
                <w:sz w:val="18"/>
                <w:szCs w:val="18"/>
                <w:b w:val="1"/>
                <w:bCs w:val="1"/>
                <w:color w:val="auto"/>
              </w:rPr>
              <w:t>Balance Sheet Components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6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20" w:type="dxa"/>
            <w:vAlign w:val="bottom"/>
          </w:tcPr>
          <w:p>
            <w:pPr>
              <w:spacing w:after="0"/>
              <w:rPr>
                <w:sz w:val="24"/>
                <w:szCs w:val="24"/>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 consists of the following:</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117"/>
              <w:spacing w:after="0" w:line="153"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5"/>
              <w:spacing w:after="0" w:line="153"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right"/>
              <w:ind w:right="695"/>
              <w:spacing w:after="0" w:line="153" w:lineRule="exact"/>
              <w:rPr>
                <w:sz w:val="20"/>
                <w:szCs w:val="20"/>
                <w:color w:val="auto"/>
              </w:rPr>
            </w:pPr>
            <w:r>
              <w:rPr>
                <w:rFonts w:ascii="Arial" w:cs="Arial" w:eastAsia="Arial" w:hAnsi="Arial"/>
                <w:sz w:val="14"/>
                <w:szCs w:val="14"/>
                <w:b w:val="1"/>
                <w:bCs w:val="1"/>
                <w:color w:val="auto"/>
              </w:rPr>
              <w:t>(in thousands)</w:t>
            </w:r>
          </w:p>
        </w:tc>
        <w:tc>
          <w:tcPr>
            <w:tcW w:w="1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9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980" w:type="dxa"/>
            <w:vAlign w:val="bottom"/>
            <w:gridSpan w:val="2"/>
          </w:tcPr>
          <w:p>
            <w:pPr>
              <w:ind w:left="1380"/>
              <w:spacing w:after="0"/>
              <w:rPr>
                <w:sz w:val="20"/>
                <w:szCs w:val="20"/>
                <w:color w:val="auto"/>
              </w:rPr>
            </w:pPr>
            <w:r>
              <w:rPr>
                <w:rFonts w:ascii="Arial" w:cs="Arial" w:eastAsia="Arial" w:hAnsi="Arial"/>
                <w:sz w:val="18"/>
                <w:szCs w:val="18"/>
                <w:color w:val="auto"/>
              </w:rPr>
              <w:t>Leasehold improvements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980" w:type="dxa"/>
            <w:vAlign w:val="bottom"/>
            <w:gridSpan w:val="2"/>
          </w:tcPr>
          <w:p>
            <w:pPr>
              <w:ind w:left="1380"/>
              <w:spacing w:after="0"/>
              <w:rPr>
                <w:sz w:val="20"/>
                <w:szCs w:val="20"/>
                <w:color w:val="auto"/>
              </w:rPr>
            </w:pPr>
            <w:r>
              <w:rPr>
                <w:rFonts w:ascii="Arial" w:cs="Arial" w:eastAsia="Arial" w:hAnsi="Arial"/>
                <w:sz w:val="18"/>
                <w:szCs w:val="18"/>
                <w:color w:val="auto"/>
              </w:rPr>
              <w:t>Furniture and fixtures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12,965</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80" w:type="dxa"/>
            <w:vAlign w:val="bottom"/>
            <w:tcBorders>
              <w:top w:val="single" w:sz="8" w:color="CFF0FC"/>
            </w:tcBorders>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980" w:type="dxa"/>
            <w:vAlign w:val="bottom"/>
            <w:gridSpan w:val="2"/>
          </w:tcPr>
          <w:p>
            <w:pPr>
              <w:ind w:left="1380"/>
              <w:spacing w:after="0"/>
              <w:rPr>
                <w:sz w:val="20"/>
                <w:szCs w:val="20"/>
                <w:color w:val="auto"/>
              </w:rPr>
            </w:pPr>
            <w:r>
              <w:rPr>
                <w:rFonts w:ascii="Arial" w:cs="Arial" w:eastAsia="Arial" w:hAnsi="Arial"/>
                <w:sz w:val="18"/>
                <w:szCs w:val="18"/>
                <w:color w:val="auto"/>
              </w:rPr>
              <w:t>Less: accumulated depreciation and amortization</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(5,559)</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20" w:type="dxa"/>
            <w:vAlign w:val="bottom"/>
          </w:tcPr>
          <w:p>
            <w:pPr>
              <w:spacing w:after="0"/>
              <w:rPr>
                <w:sz w:val="24"/>
                <w:szCs w:val="24"/>
                <w:color w:val="auto"/>
              </w:rPr>
            </w:pPr>
          </w:p>
        </w:tc>
        <w:tc>
          <w:tcPr>
            <w:tcW w:w="10740" w:type="dxa"/>
            <w:vAlign w:val="bottom"/>
            <w:gridSpan w:val="11"/>
          </w:tcPr>
          <w:p>
            <w:pPr>
              <w:ind w:left="200"/>
              <w:spacing w:after="0"/>
              <w:rPr>
                <w:sz w:val="20"/>
                <w:szCs w:val="20"/>
                <w:color w:val="auto"/>
              </w:rPr>
            </w:pPr>
            <w:r>
              <w:rPr>
                <w:rFonts w:ascii="Arial" w:cs="Arial" w:eastAsia="Arial" w:hAnsi="Arial"/>
                <w:sz w:val="18"/>
                <w:szCs w:val="18"/>
                <w:color w:val="auto"/>
                <w:w w:val="89"/>
              </w:rPr>
              <w:t>Depreciation and amortization expense for property and equipment amounted to $0.6 million and $0.5 million for the three months ended March 31,</w:t>
            </w:r>
          </w:p>
        </w:tc>
        <w:tc>
          <w:tcPr>
            <w:tcW w:w="0" w:type="dxa"/>
            <w:vAlign w:val="bottom"/>
          </w:tcPr>
          <w:p>
            <w:pPr>
              <w:spacing w:after="0"/>
              <w:rPr>
                <w:sz w:val="1"/>
                <w:szCs w:val="1"/>
                <w:color w:val="auto"/>
              </w:rPr>
            </w:pPr>
          </w:p>
        </w:tc>
      </w:tr>
      <w:tr>
        <w:trPr>
          <w:trHeight w:val="224"/>
        </w:trPr>
        <w:tc>
          <w:tcPr>
            <w:tcW w:w="6300" w:type="dxa"/>
            <w:vAlign w:val="bottom"/>
            <w:gridSpan w:val="3"/>
          </w:tcPr>
          <w:p>
            <w:pPr>
              <w:spacing w:after="0"/>
              <w:rPr>
                <w:sz w:val="20"/>
                <w:szCs w:val="20"/>
                <w:color w:val="auto"/>
              </w:rPr>
            </w:pPr>
            <w:r>
              <w:rPr>
                <w:rFonts w:ascii="Arial" w:cs="Arial" w:eastAsia="Arial" w:hAnsi="Arial"/>
                <w:sz w:val="18"/>
                <w:szCs w:val="18"/>
                <w:color w:val="auto"/>
              </w:rPr>
              <w:t>2020 and 2019, respectively.</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6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20" w:type="dxa"/>
            <w:vAlign w:val="bottom"/>
          </w:tcPr>
          <w:p>
            <w:pPr>
              <w:spacing w:after="0"/>
              <w:rPr>
                <w:sz w:val="24"/>
                <w:szCs w:val="24"/>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97"/>
              <w:spacing w:after="0" w:line="153"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5"/>
              <w:spacing w:after="0" w:line="153"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right"/>
              <w:ind w:right="695"/>
              <w:spacing w:after="0" w:line="153" w:lineRule="exact"/>
              <w:rPr>
                <w:sz w:val="20"/>
                <w:szCs w:val="20"/>
                <w:color w:val="auto"/>
              </w:rPr>
            </w:pPr>
            <w:r>
              <w:rPr>
                <w:rFonts w:ascii="Arial" w:cs="Arial" w:eastAsia="Arial" w:hAnsi="Arial"/>
                <w:sz w:val="14"/>
                <w:szCs w:val="14"/>
                <w:b w:val="1"/>
                <w:bCs w:val="1"/>
                <w:color w:val="auto"/>
              </w:rPr>
              <w:t>(in thousands)</w:t>
            </w:r>
          </w:p>
        </w:tc>
        <w:tc>
          <w:tcPr>
            <w:tcW w:w="1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9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980" w:type="dxa"/>
            <w:vAlign w:val="bottom"/>
            <w:gridSpan w:val="2"/>
          </w:tcPr>
          <w:p>
            <w:pPr>
              <w:ind w:left="1380"/>
              <w:spacing w:after="0"/>
              <w:rPr>
                <w:sz w:val="20"/>
                <w:szCs w:val="20"/>
                <w:color w:val="auto"/>
              </w:rPr>
            </w:pPr>
            <w:r>
              <w:rPr>
                <w:rFonts w:ascii="Arial" w:cs="Arial" w:eastAsia="Arial" w:hAnsi="Arial"/>
                <w:sz w:val="18"/>
                <w:szCs w:val="18"/>
                <w:color w:val="auto"/>
              </w:rPr>
              <w:t>Accrued research and development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7,195</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current</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980" w:type="dxa"/>
            <w:vAlign w:val="bottom"/>
            <w:gridSpan w:val="2"/>
          </w:tcPr>
          <w:p>
            <w:pPr>
              <w:ind w:left="1380"/>
              <w:spacing w:after="0"/>
              <w:rPr>
                <w:sz w:val="20"/>
                <w:szCs w:val="20"/>
                <w:color w:val="auto"/>
              </w:rPr>
            </w:pPr>
            <w:r>
              <w:rPr>
                <w:rFonts w:ascii="Arial" w:cs="Arial" w:eastAsia="Arial" w:hAnsi="Arial"/>
                <w:sz w:val="18"/>
                <w:szCs w:val="18"/>
                <w:color w:val="auto"/>
              </w:rPr>
              <w:t>Accrued professional services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current</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980" w:type="dxa"/>
            <w:vAlign w:val="bottom"/>
            <w:gridSpan w:val="2"/>
          </w:tcPr>
          <w:p>
            <w:pPr>
              <w:ind w:left="13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7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9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13,950</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14,528</w:t>
            </w:r>
          </w:p>
        </w:tc>
        <w:tc>
          <w:tcPr>
            <w:tcW w:w="80" w:type="dxa"/>
            <w:vAlign w:val="bottom"/>
            <w:shd w:val="clear" w:color="auto" w:fill="CFF0FC"/>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Intangible Assets and Goodwill</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2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w w:val="91"/>
              </w:rPr>
              <w:t>Intangible assets, net consist of the following as of March 31, 2020: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Gross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remaining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useful life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 - RAS</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Programs</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Developed technology - tri-complex platform</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5,946</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60" w:type="dxa"/>
            <w:vAlign w:val="bottom"/>
            <w:vMerge w:val="continue"/>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(1,534)</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CFF0FC"/>
            </w:tcBorders>
            <w:vMerge w:val="restart"/>
          </w:tcPr>
          <w:p>
            <w:pPr>
              <w:jc w:val="right"/>
              <w:ind w:right="51"/>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654" w:right="31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Amortization expense for the three months ended March 31, 2020 and 2019 was $0.3 million and $0.3 million, respectively.</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future amortization expense is as follows:</w:t>
      </w:r>
    </w:p>
    <w:p>
      <w:pPr>
        <w:spacing w:after="0" w:line="316"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r>
      <w:tr>
        <w:trPr>
          <w:trHeight w:val="153"/>
        </w:trPr>
        <w:tc>
          <w:tcPr>
            <w:tcW w:w="3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75"/>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nine months)</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FF0FC"/>
          </w:tcPr>
          <w:p>
            <w:pPr>
              <w:spacing w:after="0"/>
              <w:rPr>
                <w:sz w:val="19"/>
                <w:szCs w:val="19"/>
                <w:color w:val="auto"/>
              </w:rPr>
            </w:pPr>
          </w:p>
        </w:tc>
      </w:tr>
      <w:tr>
        <w:trPr>
          <w:trHeight w:val="226"/>
        </w:trPr>
        <w:tc>
          <w:tcPr>
            <w:tcW w:w="3820" w:type="dxa"/>
            <w:vAlign w:val="bottom"/>
          </w:tcPr>
          <w:p>
            <w:pPr>
              <w:spacing w:after="0"/>
              <w:rPr>
                <w:sz w:val="20"/>
                <w:szCs w:val="20"/>
                <w:color w:val="auto"/>
              </w:rPr>
            </w:pPr>
            <w:r>
              <w:rPr>
                <w:rFonts w:ascii="Arial" w:cs="Arial" w:eastAsia="Arial" w:hAnsi="Arial"/>
                <w:sz w:val="18"/>
                <w:szCs w:val="18"/>
                <w:color w:val="auto"/>
              </w:rPr>
              <w:t>2021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19"/>
                <w:szCs w:val="19"/>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60" w:type="dxa"/>
            <w:vAlign w:val="bottom"/>
            <w:shd w:val="clear" w:color="auto" w:fill="CFF0FC"/>
          </w:tcPr>
          <w:p>
            <w:pPr>
              <w:spacing w:after="0"/>
              <w:rPr>
                <w:sz w:val="19"/>
                <w:szCs w:val="19"/>
                <w:color w:val="auto"/>
              </w:rPr>
            </w:pPr>
          </w:p>
        </w:tc>
      </w:tr>
      <w:tr>
        <w:trPr>
          <w:trHeight w:val="226"/>
        </w:trPr>
        <w:tc>
          <w:tcPr>
            <w:tcW w:w="3820" w:type="dxa"/>
            <w:vAlign w:val="bottom"/>
          </w:tcPr>
          <w:p>
            <w:pPr>
              <w:spacing w:after="0"/>
              <w:rPr>
                <w:sz w:val="20"/>
                <w:szCs w:val="20"/>
                <w:color w:val="auto"/>
              </w:rPr>
            </w:pPr>
            <w:r>
              <w:rPr>
                <w:rFonts w:ascii="Arial" w:cs="Arial" w:eastAsia="Arial" w:hAnsi="Arial"/>
                <w:sz w:val="18"/>
                <w:szCs w:val="18"/>
                <w:color w:val="auto"/>
              </w:rPr>
              <w:t>2023</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19"/>
                <w:szCs w:val="19"/>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60" w:type="dxa"/>
            <w:vAlign w:val="bottom"/>
            <w:shd w:val="clear" w:color="auto" w:fill="CFF0FC"/>
          </w:tcPr>
          <w:p>
            <w:pPr>
              <w:spacing w:after="0"/>
              <w:rPr>
                <w:sz w:val="19"/>
                <w:szCs w:val="19"/>
                <w:color w:val="auto"/>
              </w:rPr>
            </w:pPr>
          </w:p>
        </w:tc>
      </w:tr>
      <w:tr>
        <w:trPr>
          <w:trHeight w:val="226"/>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60" w:type="dxa"/>
            <w:vAlign w:val="bottom"/>
            <w:tcBorders>
              <w:bottom w:val="single" w:sz="8" w:color="CFF0FC"/>
            </w:tcBorders>
          </w:tcPr>
          <w:p>
            <w:pPr>
              <w:spacing w:after="0"/>
              <w:rPr>
                <w:sz w:val="19"/>
                <w:szCs w:val="19"/>
                <w:color w:val="auto"/>
              </w:rPr>
            </w:pPr>
          </w:p>
        </w:tc>
      </w:tr>
      <w:tr>
        <w:trPr>
          <w:trHeight w:val="22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w:t>
            </w:r>
          </w:p>
        </w:tc>
        <w:tc>
          <w:tcPr>
            <w:tcW w:w="6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 of the following as of 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Gross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 - RAS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Programs</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55,800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6"/>
        </w:trPr>
        <w:tc>
          <w:tcPr>
            <w:tcW w:w="5140" w:type="dxa"/>
            <w:vAlign w:val="bottom"/>
            <w:gridSpan w:val="3"/>
          </w:tcPr>
          <w:p>
            <w:pPr>
              <w:ind w:left="580"/>
              <w:spacing w:after="0"/>
              <w:rPr>
                <w:sz w:val="20"/>
                <w:szCs w:val="20"/>
                <w:color w:val="auto"/>
              </w:rPr>
            </w:pPr>
            <w:r>
              <w:rPr>
                <w:rFonts w:ascii="Arial" w:cs="Arial" w:eastAsia="Arial" w:hAnsi="Arial"/>
                <w:sz w:val="18"/>
                <w:szCs w:val="18"/>
                <w:color w:val="auto"/>
              </w:rPr>
              <w:t>Developed technology - tri-complex platform</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(1,267)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6,213</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w w:val="87"/>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4560" w:type="dxa"/>
            <w:vAlign w:val="bottom"/>
            <w:gridSpan w:val="2"/>
            <w:vMerge w:val="continue"/>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(1,267)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62,013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1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140" w:type="dxa"/>
            <w:vAlign w:val="bottom"/>
            <w:gridSpan w:val="3"/>
          </w:tcPr>
          <w:p>
            <w:pPr>
              <w:ind w:left="520"/>
              <w:spacing w:after="0"/>
              <w:rPr>
                <w:sz w:val="20"/>
                <w:szCs w:val="20"/>
                <w:color w:val="auto"/>
              </w:rPr>
            </w:pPr>
            <w:r>
              <w:rPr>
                <w:rFonts w:ascii="Arial" w:cs="Arial" w:eastAsia="Arial" w:hAnsi="Arial"/>
                <w:sz w:val="18"/>
                <w:szCs w:val="18"/>
                <w:color w:val="auto"/>
              </w:rPr>
              <w:t>Goodwill consists of the following: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14,608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w:t>
            </w:r>
          </w:p>
        </w:tc>
        <w:tc>
          <w:tcPr>
            <w:tcW w:w="7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14,608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impairment has been recognized as of March 31, 2020. Goodwill recorded is not deductible for income tax purposes.</w:t>
      </w:r>
    </w:p>
    <w:p>
      <w:pPr>
        <w:spacing w:after="0" w:line="200" w:lineRule="exact"/>
        <w:rPr>
          <w:sz w:val="20"/>
          <w:szCs w:val="20"/>
          <w:color w:val="auto"/>
        </w:rPr>
      </w:pPr>
    </w:p>
    <w:p>
      <w:pPr>
        <w:spacing w:after="0" w:line="333" w:lineRule="exact"/>
        <w:rPr>
          <w:sz w:val="20"/>
          <w:szCs w:val="20"/>
          <w:color w:val="auto"/>
        </w:rPr>
      </w:pPr>
    </w:p>
    <w:p>
      <w:pPr>
        <w:ind w:left="760" w:hanging="753"/>
        <w:spacing w:after="0"/>
        <w:tabs>
          <w:tab w:leader="none" w:pos="7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3" w:lineRule="exact"/>
        <w:rPr>
          <w:sz w:val="20"/>
          <w:szCs w:val="20"/>
          <w:color w:val="auto"/>
        </w:rPr>
      </w:pPr>
    </w:p>
    <w:p>
      <w:pPr>
        <w:ind w:firstLine="510"/>
        <w:spacing w:after="0" w:line="295" w:lineRule="auto"/>
        <w:rPr>
          <w:sz w:val="20"/>
          <w:szCs w:val="20"/>
          <w:color w:val="auto"/>
        </w:rPr>
      </w:pPr>
      <w:r>
        <w:rPr>
          <w:rFonts w:ascii="Arial" w:cs="Arial" w:eastAsia="Arial" w:hAnsi="Arial"/>
          <w:sz w:val="16"/>
          <w:szCs w:val="16"/>
          <w:color w:val="auto"/>
        </w:rPr>
        <w:t>In January 2015, as amended in September 2016, the Company entered into an operating lease for office and laboratory space located in Redwood City, California (Redwood City Lease). As of March 31, 2020 the Redwood City lease had a term through April 2023, with an option to extend the term through January 2028. The landlord provided the Company with a tenant improvements allowance for the space leased for which the Company received $3.4 million, which was recognized as a lease incentive. The lease incentive is amortized as an offset to rent expense over the lease term in the condensed consolidated statements of operations. In conjunction with the lease agreement, the Company paid a security deposit of $0.3 million which is included in other noncurrent assets on the consolidated balance sheets as of March 31, 2020 and December 31, 2019, respectively.</w:t>
      </w:r>
    </w:p>
    <w:p>
      <w:pPr>
        <w:spacing w:after="0" w:line="1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940"/>
          </w:cols>
          <w:pgMar w:left="320" w:top="380" w:right="639" w:bottom="1440" w:gutter="0" w:footer="0" w:header="0"/>
        </w:sectPr>
      </w:pPr>
    </w:p>
    <w:bookmarkStart w:id="16" w:name="page17"/>
    <w:bookmarkEnd w:id="16"/>
    <w:p>
      <w:pPr>
        <w:ind w:right="60" w:firstLine="510"/>
        <w:spacing w:after="0" w:line="267" w:lineRule="auto"/>
        <w:rPr>
          <w:sz w:val="20"/>
          <w:szCs w:val="20"/>
          <w:color w:val="auto"/>
        </w:rPr>
      </w:pPr>
      <w:r>
        <w:rPr>
          <w:rFonts w:ascii="Arial" w:cs="Arial" w:eastAsia="Arial" w:hAnsi="Arial"/>
          <w:sz w:val="17"/>
          <w:szCs w:val="17"/>
          <w:color w:val="auto"/>
        </w:rPr>
        <w:t>As part of the Warp Drive acquisition in October 2018, the Company assumed an operating lease for office and laboratory space located in Cambridge, Massachusetts (Cambridge Lease), which expires in February 2023, with an option to extend the term through February 2028, subject to certain conditions.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 million, which is included in restricted cash on the condensed consolidated balance sheets as of March 31, 2020 and December 31, 2019.</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balance sheet classification of the Company’s lease liabilities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r>
      <w:tr>
        <w:trPr>
          <w:trHeight w:val="153"/>
        </w:trPr>
        <w:tc>
          <w:tcPr>
            <w:tcW w:w="20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7"/>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w w:val="97"/>
              </w:rPr>
              <w:t>Operating lease liabilities:</w:t>
            </w:r>
          </w:p>
        </w:tc>
        <w:tc>
          <w:tcPr>
            <w:tcW w:w="7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020" w:type="dxa"/>
            <w:vAlign w:val="bottom"/>
          </w:tcPr>
          <w:p>
            <w:pPr>
              <w:ind w:left="140"/>
              <w:spacing w:after="0"/>
              <w:rPr>
                <w:sz w:val="20"/>
                <w:szCs w:val="20"/>
                <w:color w:val="auto"/>
              </w:rPr>
            </w:pPr>
            <w:r>
              <w:rPr>
                <w:rFonts w:ascii="Arial" w:cs="Arial" w:eastAsia="Arial" w:hAnsi="Arial"/>
                <w:sz w:val="18"/>
                <w:szCs w:val="18"/>
                <w:color w:val="auto"/>
                <w:w w:val="92"/>
              </w:rPr>
              <w:t>Operating lease liability –</w:t>
            </w:r>
          </w:p>
        </w:tc>
        <w:tc>
          <w:tcPr>
            <w:tcW w:w="7240" w:type="dxa"/>
            <w:vAlign w:val="bottom"/>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19"/>
                <w:szCs w:val="19"/>
                <w:color w:val="auto"/>
              </w:rPr>
            </w:pPr>
          </w:p>
        </w:tc>
      </w:tr>
      <w:tr>
        <w:trPr>
          <w:trHeight w:val="227"/>
        </w:trPr>
        <w:tc>
          <w:tcPr>
            <w:tcW w:w="2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Operating lease liability –</w:t>
            </w:r>
          </w:p>
        </w:tc>
        <w:tc>
          <w:tcPr>
            <w:tcW w:w="7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7,403</w:t>
            </w:r>
          </w:p>
        </w:tc>
        <w:tc>
          <w:tcPr>
            <w:tcW w:w="100" w:type="dxa"/>
            <w:vAlign w:val="bottom"/>
            <w:shd w:val="clear" w:color="auto" w:fill="CFF0FC"/>
          </w:tcPr>
          <w:p>
            <w:pPr>
              <w:spacing w:after="0"/>
              <w:rPr>
                <w:sz w:val="19"/>
                <w:szCs w:val="19"/>
                <w:color w:val="auto"/>
              </w:rPr>
            </w:pPr>
          </w:p>
        </w:tc>
      </w:tr>
      <w:tr>
        <w:trPr>
          <w:trHeight w:val="219"/>
        </w:trPr>
        <w:tc>
          <w:tcPr>
            <w:tcW w:w="92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tcBorders>
              <w:bottom w:val="single" w:sz="8" w:color="CFF0FC"/>
            </w:tcBorders>
          </w:tcPr>
          <w:p>
            <w:pPr>
              <w:spacing w:after="0"/>
              <w:rPr>
                <w:sz w:val="19"/>
                <w:szCs w:val="19"/>
                <w:color w:val="auto"/>
              </w:rPr>
            </w:pPr>
          </w:p>
        </w:tc>
      </w:tr>
      <w:tr>
        <w:trPr>
          <w:trHeight w:val="221"/>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w w:val="97"/>
              </w:rPr>
              <w:t>Financing lease liabilities:</w:t>
            </w:r>
          </w:p>
        </w:tc>
        <w:tc>
          <w:tcPr>
            <w:tcW w:w="7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92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tcPr>
          <w:p>
            <w:pPr>
              <w:spacing w:after="0"/>
              <w:rPr>
                <w:sz w:val="19"/>
                <w:szCs w:val="19"/>
                <w:color w:val="auto"/>
              </w:rPr>
            </w:pPr>
          </w:p>
        </w:tc>
      </w:tr>
      <w:tr>
        <w:trPr>
          <w:trHeight w:val="221"/>
        </w:trPr>
        <w:tc>
          <w:tcPr>
            <w:tcW w:w="9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financing lease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r>
      <w:tr>
        <w:trPr>
          <w:trHeight w:val="219"/>
        </w:trPr>
        <w:tc>
          <w:tcPr>
            <w:tcW w:w="2020" w:type="dxa"/>
            <w:vAlign w:val="bottom"/>
          </w:tcPr>
          <w:p>
            <w:pPr>
              <w:ind w:left="440"/>
              <w:spacing w:after="0"/>
              <w:rPr>
                <w:sz w:val="20"/>
                <w:szCs w:val="20"/>
                <w:color w:val="auto"/>
              </w:rPr>
            </w:pPr>
            <w:r>
              <w:rPr>
                <w:rFonts w:ascii="Arial" w:cs="Arial" w:eastAsia="Arial" w:hAnsi="Arial"/>
                <w:sz w:val="18"/>
                <w:szCs w:val="18"/>
                <w:color w:val="auto"/>
                <w:w w:val="96"/>
              </w:rPr>
              <w:t>Total lease liabilities</w:t>
            </w:r>
          </w:p>
        </w:tc>
        <w:tc>
          <w:tcPr>
            <w:tcW w:w="724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the three months ended March 31, 2020, operating lease cost was $0.4 million, net of sublease income of $0.4 million and tenant improvement allowance credits of $0.1 million. The operating cash flows used for operating leases was $0.8 million for the three months ended March 31, 2020. The short-term lease costs were immaterial for the three months ended March 31, 2020.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the maturities of the Company’s operating lease liabilities were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nine months)</w:t>
            </w:r>
          </w:p>
        </w:tc>
        <w:tc>
          <w:tcPr>
            <w:tcW w:w="41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2021</w:t>
            </w:r>
          </w:p>
        </w:tc>
        <w:tc>
          <w:tcPr>
            <w:tcW w:w="3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33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1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33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80" w:type="dxa"/>
            <w:vAlign w:val="bottom"/>
            <w:vMerge w:val="continue"/>
            <w:shd w:val="clear" w:color="auto" w:fill="CFF0FC"/>
          </w:tcPr>
          <w:p>
            <w:pPr>
              <w:spacing w:after="0"/>
              <w:rPr>
                <w:sz w:val="19"/>
                <w:szCs w:val="19"/>
                <w:color w:val="auto"/>
              </w:rPr>
            </w:pPr>
          </w:p>
        </w:tc>
        <w:tc>
          <w:tcPr>
            <w:tcW w:w="41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uses its incremental borrowing rate. The weighted-average discount rate used to determine the operating lease liability was 5%. As of March 31, 2020, the weighted-average remaining lease term is 3.0 years.</w:t>
      </w:r>
    </w:p>
    <w:p>
      <w:pPr>
        <w:spacing w:after="0" w:line="215" w:lineRule="exact"/>
        <w:rPr>
          <w:sz w:val="20"/>
          <w:szCs w:val="20"/>
          <w:color w:val="auto"/>
        </w:rPr>
      </w:pPr>
    </w:p>
    <w:p>
      <w:pPr>
        <w:ind w:right="360" w:firstLine="510"/>
        <w:spacing w:after="0" w:line="267" w:lineRule="auto"/>
        <w:rPr>
          <w:sz w:val="20"/>
          <w:szCs w:val="20"/>
          <w:color w:val="auto"/>
        </w:rPr>
      </w:pPr>
      <w:r>
        <w:rPr>
          <w:rFonts w:ascii="Arial" w:cs="Arial" w:eastAsia="Arial" w:hAnsi="Arial"/>
          <w:sz w:val="18"/>
          <w:szCs w:val="18"/>
          <w:color w:val="auto"/>
        </w:rPr>
        <w:t>As of December 31, 2019, future minimum payments and receipts under the Company’s operating and capital leases and sublease, under the prior lease standard, ASC 840,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4"/>
              </w:rPr>
              <w:t>Sublease</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79"/>
              </w:rPr>
              <w:t>lease</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commitments</w:t>
            </w:r>
          </w:p>
        </w:tc>
        <w:tc>
          <w:tcPr>
            <w:tcW w:w="16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commitments</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(5,559)</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Included in the amounts above are $0.2 million of capital lease obligations.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Rent expense was $2.0 million for the year ended December 31, 2019, net of sublease income and tenant improvement allowance credits.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3" w:lineRule="exact"/>
        <w:rPr>
          <w:sz w:val="20"/>
          <w:szCs w:val="20"/>
          <w:color w:val="auto"/>
        </w:rPr>
      </w:pPr>
    </w:p>
    <w:p>
      <w:pPr>
        <w:ind w:right="200" w:firstLine="510"/>
        <w:spacing w:after="0" w:line="253" w:lineRule="auto"/>
        <w:rPr>
          <w:sz w:val="20"/>
          <w:szCs w:val="20"/>
          <w:color w:val="auto"/>
        </w:rPr>
      </w:pPr>
      <w:r>
        <w:rPr>
          <w:rFonts w:ascii="Arial" w:cs="Arial" w:eastAsia="Arial" w:hAnsi="Arial"/>
          <w:sz w:val="18"/>
          <w:szCs w:val="18"/>
          <w:color w:val="auto"/>
        </w:rPr>
        <w:t>From time to time, the Company may be involved in litigation related to claims that arise in the ordinary course of its business activities. The Company accrues for these matters when it is probable that losses will be incurred and these losses can be reasonably estimated. As of March 31, 2020, the Company does not believe that any such matters, individually or in the aggregate, will have a material adverse effect on the Company’s financial position, results of operations or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3"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w:t>
      </w:r>
    </w:p>
    <w:p>
      <w:pPr>
        <w:spacing w:after="0" w:line="269" w:lineRule="exact"/>
        <w:rPr>
          <w:sz w:val="20"/>
          <w:szCs w:val="20"/>
          <w:color w:val="auto"/>
        </w:rPr>
      </w:pPr>
    </w:p>
    <w:p>
      <w:pPr>
        <w:ind w:left="760" w:hanging="753"/>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Sanofi Collaboration Agreement</w:t>
      </w:r>
    </w:p>
    <w:p>
      <w:pPr>
        <w:spacing w:after="0" w:line="11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June 2018, the Company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83"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88"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73"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88" w:lineRule="exact"/>
        <w:rPr>
          <w:sz w:val="20"/>
          <w:szCs w:val="20"/>
          <w:color w:val="auto"/>
        </w:rPr>
      </w:pPr>
    </w:p>
    <w:p>
      <w:pPr>
        <w:ind w:right="20" w:firstLine="510"/>
        <w:spacing w:after="0" w:line="265" w:lineRule="auto"/>
        <w:rPr>
          <w:sz w:val="20"/>
          <w:szCs w:val="20"/>
          <w:color w:val="auto"/>
        </w:rPr>
      </w:pPr>
      <w:r>
        <w:rPr>
          <w:rFonts w:ascii="Arial" w:cs="Arial" w:eastAsia="Arial" w:hAnsi="Arial"/>
          <w:sz w:val="17"/>
          <w:szCs w:val="17"/>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 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8" w:name="page19"/>
    <w:bookmarkEnd w:id="18"/>
    <w:p>
      <w:pPr>
        <w:ind w:right="20" w:firstLine="510"/>
        <w:spacing w:after="0" w:line="284" w:lineRule="auto"/>
        <w:rPr>
          <w:sz w:val="20"/>
          <w:szCs w:val="20"/>
          <w:color w:val="auto"/>
        </w:rPr>
      </w:pPr>
      <w:r>
        <w:rPr>
          <w:rFonts w:ascii="Arial" w:cs="Arial" w:eastAsia="Arial" w:hAnsi="Arial"/>
          <w:sz w:val="16"/>
          <w:szCs w:val="16"/>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73"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193"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The Company determined that the transaction price of the Sanofi Agreement was $196.1 million as of March 31, 2020. In order to determine the transaction price, the Company evaluated all the payments to be received during the duration of the contract. The Company determined that the $50.0 million upfront payment and $146.1 million of estimated variable consideration for expense reimbursements from Sanofi for agreed upon research and development services as of March 31, 2020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would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71" w:lineRule="exact"/>
        <w:rPr>
          <w:sz w:val="20"/>
          <w:szCs w:val="20"/>
          <w:color w:val="auto"/>
        </w:rPr>
      </w:pPr>
    </w:p>
    <w:p>
      <w:pPr>
        <w:ind w:right="700" w:firstLine="510"/>
        <w:spacing w:after="0" w:line="267" w:lineRule="auto"/>
        <w:rPr>
          <w:sz w:val="20"/>
          <w:szCs w:val="20"/>
          <w:color w:val="auto"/>
        </w:rPr>
      </w:pPr>
      <w:r>
        <w:rPr>
          <w:rFonts w:ascii="Arial" w:cs="Arial" w:eastAsia="Arial" w:hAnsi="Arial"/>
          <w:sz w:val="18"/>
          <w:szCs w:val="18"/>
          <w:color w:val="auto"/>
        </w:rPr>
        <w:t>During the three months ended March 31, 2020 and 2019, the Company recognized $11.5 million and $13.2 million of collaboration revenue associated with this agreement, respectively.</w:t>
      </w:r>
    </w:p>
    <w:p>
      <w:pPr>
        <w:spacing w:after="0" w:line="179" w:lineRule="exact"/>
        <w:rPr>
          <w:sz w:val="20"/>
          <w:szCs w:val="20"/>
          <w:color w:val="auto"/>
        </w:rPr>
      </w:pPr>
    </w:p>
    <w:p>
      <w:pPr>
        <w:ind w:right="240" w:firstLine="510"/>
        <w:spacing w:after="0" w:line="267" w:lineRule="auto"/>
        <w:rPr>
          <w:sz w:val="20"/>
          <w:szCs w:val="20"/>
          <w:color w:val="auto"/>
        </w:rPr>
      </w:pPr>
      <w:r>
        <w:rPr>
          <w:rFonts w:ascii="Arial" w:cs="Arial" w:eastAsia="Arial" w:hAnsi="Arial"/>
          <w:sz w:val="18"/>
          <w:szCs w:val="18"/>
          <w:color w:val="auto"/>
        </w:rPr>
        <w:t>As of March 31, 2020 and December 31, 2019, $16.4 million and $17.1 million of deferred revenue, related party is classified as current and $12.4 million and $14.7 million is classified as noncurrent.</w:t>
      </w:r>
    </w:p>
    <w:p>
      <w:pPr>
        <w:spacing w:after="0" w:line="280" w:lineRule="exact"/>
        <w:rPr>
          <w:sz w:val="20"/>
          <w:szCs w:val="20"/>
          <w:color w:val="auto"/>
        </w:rPr>
      </w:pPr>
    </w:p>
    <w:p>
      <w:pPr>
        <w:ind w:left="760" w:hanging="753"/>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19" w:lineRule="exact"/>
        <w:rPr>
          <w:sz w:val="20"/>
          <w:szCs w:val="20"/>
          <w:color w:val="auto"/>
        </w:rPr>
      </w:pPr>
    </w:p>
    <w:p>
      <w:pPr>
        <w:ind w:right="40" w:firstLine="510"/>
        <w:spacing w:after="0" w:line="267" w:lineRule="auto"/>
        <w:rPr>
          <w:sz w:val="20"/>
          <w:szCs w:val="20"/>
          <w:color w:val="auto"/>
        </w:rPr>
      </w:pPr>
      <w:r>
        <w:rPr>
          <w:rFonts w:ascii="Arial" w:cs="Arial" w:eastAsia="Arial" w:hAnsi="Arial"/>
          <w:sz w:val="18"/>
          <w:szCs w:val="18"/>
          <w:color w:val="auto"/>
        </w:rPr>
        <w:t>From December 2014 to May 2017, the Company issued a total of 14,430,799 shares of Series A redeemable convertible preferred stock at a price per share of $4.87, for aggregate proceeds of $70.1 million, net of issuance costs.</w:t>
      </w:r>
    </w:p>
    <w:p>
      <w:pPr>
        <w:spacing w:after="0" w:line="179" w:lineRule="exact"/>
        <w:rPr>
          <w:sz w:val="20"/>
          <w:szCs w:val="20"/>
          <w:color w:val="auto"/>
        </w:rPr>
      </w:pPr>
    </w:p>
    <w:p>
      <w:pPr>
        <w:ind w:right="320" w:firstLine="510"/>
        <w:spacing w:after="0" w:line="251" w:lineRule="auto"/>
        <w:rPr>
          <w:sz w:val="20"/>
          <w:szCs w:val="20"/>
          <w:color w:val="auto"/>
        </w:rPr>
      </w:pPr>
      <w:r>
        <w:rPr>
          <w:rFonts w:ascii="Arial" w:cs="Arial" w:eastAsia="Arial" w:hAnsi="Arial"/>
          <w:sz w:val="18"/>
          <w:szCs w:val="18"/>
          <w:color w:val="auto"/>
        </w:rPr>
        <w:t>In March and June 2018, the Company issued a total of 7,731,155 shares of Series B redeemable convertible preferred stock at a price per share of $7.30 for proceeds of $56.2 million, net of issuance costs. In October 2018, the Company issued 6,797,915 shares of Series B redeemable convertible preferred stock in conjunction with acquiring Warp Drive. As part of the Warp Drive acquisition, the Company assumed $2.0 million in convertible notes payable, which was fully converted into 200,493 shares of Series B redeemable convertible preferred stock in October 2018. In November 2018, the Company issued 435,547 shares of Series B redeemable convertible preferred stock at a price per share of $10.03, for proceeds of $4.3 million, net of issuance costs.</w:t>
      </w:r>
    </w:p>
    <w:p>
      <w:pPr>
        <w:spacing w:after="0" w:line="194" w:lineRule="exact"/>
        <w:rPr>
          <w:sz w:val="20"/>
          <w:szCs w:val="20"/>
          <w:color w:val="auto"/>
        </w:rPr>
      </w:pPr>
    </w:p>
    <w:p>
      <w:pPr>
        <w:ind w:right="60" w:firstLine="510"/>
        <w:spacing w:after="0" w:line="267" w:lineRule="auto"/>
        <w:rPr>
          <w:sz w:val="20"/>
          <w:szCs w:val="20"/>
          <w:color w:val="auto"/>
        </w:rPr>
      </w:pPr>
      <w:r>
        <w:rPr>
          <w:rFonts w:ascii="Arial" w:cs="Arial" w:eastAsia="Arial" w:hAnsi="Arial"/>
          <w:sz w:val="18"/>
          <w:szCs w:val="18"/>
          <w:color w:val="auto"/>
        </w:rPr>
        <w:t>In June and July 2019, the Company issued a total 10,004,514 shares of Series C redeemable convertible preferred stock at a price per share of $10.03 for proceeds of $100.0 million, net of issuance costs.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Redeemable convertible preferred stock consists of the following as of December 31, 2019:</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6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Net carrying</w:t>
            </w:r>
          </w:p>
        </w:tc>
        <w:tc>
          <w:tcPr>
            <w:tcW w:w="140" w:type="dxa"/>
            <w:vAlign w:val="bottom"/>
          </w:tcPr>
          <w:p>
            <w:pPr>
              <w:spacing w:after="0"/>
              <w:rPr>
                <w:sz w:val="11"/>
                <w:szCs w:val="11"/>
                <w:color w:val="auto"/>
              </w:rPr>
            </w:pPr>
          </w:p>
        </w:tc>
        <w:tc>
          <w:tcPr>
            <w:tcW w:w="900" w:type="dxa"/>
            <w:vAlign w:val="bottom"/>
          </w:tcPr>
          <w:p>
            <w:pPr>
              <w:jc w:val="center"/>
              <w:ind w:right="79"/>
              <w:spacing w:after="0" w:line="131" w:lineRule="exact"/>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issued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authorized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preference</w:t>
            </w: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(in thousands, except share data)</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70,221,732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14,430,799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Series B</w:t>
            </w:r>
          </w:p>
        </w:tc>
        <w:tc>
          <w:tcPr>
            <w:tcW w:w="1000" w:type="dxa"/>
            <w:vAlign w:val="bottom"/>
          </w:tcPr>
          <w:p>
            <w:pPr>
              <w:jc w:val="right"/>
              <w:spacing w:after="0"/>
              <w:rPr>
                <w:sz w:val="20"/>
                <w:szCs w:val="20"/>
                <w:color w:val="auto"/>
              </w:rPr>
            </w:pPr>
            <w:r>
              <w:rPr>
                <w:rFonts w:ascii="Arial" w:cs="Arial" w:eastAsia="Arial" w:hAnsi="Arial"/>
                <w:sz w:val="18"/>
                <w:szCs w:val="18"/>
                <w:color w:val="auto"/>
              </w:rPr>
              <w:t>74,000,000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15,165,110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48,683,038</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10,004,514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100,028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192,904,770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39,600,423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305,109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firstLine="510"/>
        <w:spacing w:after="0" w:line="267" w:lineRule="auto"/>
        <w:rPr>
          <w:sz w:val="20"/>
          <w:szCs w:val="20"/>
          <w:color w:val="auto"/>
        </w:rPr>
      </w:pPr>
      <w:r>
        <w:rPr>
          <w:rFonts w:ascii="Arial" w:cs="Arial" w:eastAsia="Arial" w:hAnsi="Arial"/>
          <w:sz w:val="18"/>
          <w:szCs w:val="18"/>
          <w:color w:val="auto"/>
        </w:rPr>
        <w:t>Upon the closing of the IPO in February 2020, all shares of redeemable convertible preferred stock then outstanding converted into 39,600,423 shares of common stock. There were no shares of redeemable convertible preferred stock outstanding as of March 31, 2020.</w:t>
      </w:r>
    </w:p>
    <w:p>
      <w:pPr>
        <w:spacing w:after="0" w:line="246"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consolidated balance sheets.</w:t>
      </w:r>
    </w:p>
    <w:p>
      <w:pPr>
        <w:spacing w:after="0" w:line="272" w:lineRule="exact"/>
        <w:rPr>
          <w:sz w:val="20"/>
          <w:szCs w:val="20"/>
          <w:color w:val="auto"/>
        </w:rPr>
      </w:pPr>
    </w:p>
    <w:p>
      <w:pPr>
        <w:ind w:left="760" w:hanging="753"/>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19" w:lineRule="exact"/>
        <w:rPr>
          <w:sz w:val="20"/>
          <w:szCs w:val="20"/>
          <w:color w:val="auto"/>
        </w:rPr>
      </w:pPr>
    </w:p>
    <w:p>
      <w:pPr>
        <w:ind w:firstLine="510"/>
        <w:spacing w:after="0" w:line="295" w:lineRule="auto"/>
        <w:rPr>
          <w:sz w:val="20"/>
          <w:szCs w:val="20"/>
          <w:color w:val="auto"/>
        </w:rPr>
      </w:pPr>
      <w:r>
        <w:rPr>
          <w:rFonts w:ascii="Arial" w:cs="Arial" w:eastAsia="Arial" w:hAnsi="Arial"/>
          <w:sz w:val="16"/>
          <w:szCs w:val="16"/>
          <w:color w:val="auto"/>
        </w:rPr>
        <w:t>As of March 31, 2020 and December 31, 2019, the Company’s certificate of incorporation authorized the Company to issue 300,000,000 shares and 249,000,000 shares of common stock, respectively, at a par value of $0.0001 per share.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March 31, 2020, no dividends have been declared to date.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pacing w:after="0" w:line="31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53"/>
        </w:trPr>
        <w:tc>
          <w:tcPr>
            <w:tcW w:w="54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6"/>
              <w:spacing w:after="0" w:line="153"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39,600,423</w:t>
            </w:r>
          </w:p>
        </w:tc>
        <w:tc>
          <w:tcPr>
            <w:tcW w:w="80" w:type="dxa"/>
            <w:vAlign w:val="bottom"/>
            <w:shd w:val="clear" w:color="auto" w:fill="CFF0FC"/>
          </w:tcPr>
          <w:p>
            <w:pPr>
              <w:spacing w:after="0"/>
              <w:rPr>
                <w:sz w:val="19"/>
                <w:szCs w:val="19"/>
                <w:color w:val="auto"/>
              </w:rPr>
            </w:pPr>
          </w:p>
        </w:tc>
      </w:tr>
      <w:tr>
        <w:trPr>
          <w:trHeight w:val="226"/>
        </w:trPr>
        <w:tc>
          <w:tcPr>
            <w:tcW w:w="544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5,568,324</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4,918,299</w:t>
            </w:r>
          </w:p>
        </w:tc>
        <w:tc>
          <w:tcPr>
            <w:tcW w:w="80" w:type="dxa"/>
            <w:vAlign w:val="bottom"/>
          </w:tcPr>
          <w:p>
            <w:pPr>
              <w:spacing w:after="0"/>
              <w:rPr>
                <w:sz w:val="19"/>
                <w:szCs w:val="19"/>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Available for future issuance under the 2020 Incentive Award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5,110,075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803,652</w:t>
            </w:r>
          </w:p>
        </w:tc>
        <w:tc>
          <w:tcPr>
            <w:tcW w:w="80" w:type="dxa"/>
            <w:vAlign w:val="bottom"/>
            <w:shd w:val="clear" w:color="auto" w:fill="CFF0FC"/>
          </w:tcPr>
          <w:p>
            <w:pPr>
              <w:spacing w:after="0"/>
              <w:rPr>
                <w:sz w:val="19"/>
                <w:szCs w:val="19"/>
                <w:color w:val="auto"/>
              </w:rPr>
            </w:pPr>
          </w:p>
        </w:tc>
      </w:tr>
      <w:tr>
        <w:trPr>
          <w:trHeight w:val="226"/>
        </w:trPr>
        <w:tc>
          <w:tcPr>
            <w:tcW w:w="5440" w:type="dxa"/>
            <w:vAlign w:val="bottom"/>
          </w:tcPr>
          <w:p>
            <w:pPr>
              <w:spacing w:after="0"/>
              <w:rPr>
                <w:sz w:val="20"/>
                <w:szCs w:val="20"/>
                <w:color w:val="auto"/>
              </w:rPr>
            </w:pPr>
            <w:r>
              <w:rPr>
                <w:rFonts w:ascii="Arial" w:cs="Arial" w:eastAsia="Arial" w:hAnsi="Arial"/>
                <w:sz w:val="18"/>
                <w:szCs w:val="18"/>
                <w:color w:val="auto"/>
                <w:w w:val="97"/>
              </w:rPr>
              <w:t>Available for issuance under the 2020 Employee Stock 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528,959</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11,207,358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45,322,374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760" w:hanging="753"/>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3" w:lineRule="exact"/>
        <w:rPr>
          <w:sz w:val="20"/>
          <w:szCs w:val="20"/>
          <w:color w:val="auto"/>
        </w:rPr>
      </w:pPr>
    </w:p>
    <w:p>
      <w:pPr>
        <w:ind w:right="140" w:firstLine="510"/>
        <w:spacing w:after="0" w:line="252" w:lineRule="auto"/>
        <w:rPr>
          <w:sz w:val="20"/>
          <w:szCs w:val="20"/>
          <w:color w:val="auto"/>
        </w:rPr>
      </w:pPr>
      <w:r>
        <w:rPr>
          <w:rFonts w:ascii="Arial" w:cs="Arial" w:eastAsia="Arial" w:hAnsi="Arial"/>
          <w:sz w:val="18"/>
          <w:szCs w:val="18"/>
          <w:color w:val="auto"/>
        </w:rPr>
        <w:t>In February 2020, the Company adopted the 2020 Equity Incentive Plan, or the 2020 Plan. The 2020 Plan became effective on February 11,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Under the 2020 Plan, the Company generally grants stock-based awards with service-based vesting conditions only. Options granted typically vest over a four-year period, but may be granted with different vesting terms.</w:t>
      </w:r>
    </w:p>
    <w:p>
      <w:pPr>
        <w:spacing w:after="0" w:line="86"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2014 Equity Incentive Plan, or the 2014 Plan. However, the 2014 Plan will continue to govern the terms and conditions of the outstanding awards granted under it. Shares of common stock subject to awards granted under the 2014 Plan that are forfeited or lapse unexercised and which following the effective date of the 2020 Plan are not issued under the 2014 Plan will be available for issuance under the 2020 Plan.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there were 5,110,075 shares of common stock reserved for issuance pursuant to the 2020 Plan.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1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December 2014, the Company adopted the 2014 Plan which provided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granted stock-based awards with service-based vesting conditions only. Options granted typically vest over a four-year period but may be granted with different vesting terms.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option activity under both the 2020 Plan and the 2014 Plan:</w:t>
      </w: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5240" w:type="dxa"/>
            <w:vAlign w:val="bottom"/>
          </w:tcPr>
          <w:p>
            <w:pPr>
              <w:spacing w:after="0"/>
              <w:rPr>
                <w:sz w:val="12"/>
                <w:szCs w:val="12"/>
                <w:color w:val="auto"/>
              </w:rPr>
            </w:pPr>
          </w:p>
        </w:tc>
        <w:tc>
          <w:tcPr>
            <w:tcW w:w="11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40" w:type="dxa"/>
            <w:vAlign w:val="bottom"/>
          </w:tcPr>
          <w:p>
            <w:pPr>
              <w:spacing w:after="0"/>
              <w:rPr>
                <w:sz w:val="12"/>
                <w:szCs w:val="12"/>
                <w:color w:val="auto"/>
              </w:rPr>
            </w:pPr>
          </w:p>
        </w:tc>
        <w:tc>
          <w:tcPr>
            <w:tcW w:w="11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underlying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exercise 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years)</w:t>
            </w:r>
          </w:p>
        </w:tc>
        <w:tc>
          <w:tcPr>
            <w:tcW w:w="22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4,918,299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661,122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5,568,324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as of March 31, 2020</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8.85</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92,572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5,568,324</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gridSpan w:val="2"/>
            <w:vMerge w:val="continue"/>
          </w:tcPr>
          <w:p>
            <w:pPr>
              <w:spacing w:after="0"/>
              <w:rPr>
                <w:sz w:val="21"/>
                <w:szCs w:val="21"/>
                <w:color w:val="auto"/>
              </w:rPr>
            </w:pPr>
          </w:p>
        </w:tc>
        <w:tc>
          <w:tcPr>
            <w:tcW w:w="94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Options vested and exercisable as of March 31,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1,582,478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2.33</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7.98</w:t>
            </w:r>
          </w:p>
        </w:tc>
        <w:tc>
          <w:tcPr>
            <w:tcW w:w="360" w:type="dxa"/>
            <w:vAlign w:val="bottom"/>
            <w:tcBorders>
              <w:bottom w:val="single" w:sz="8" w:color="CFF0FC"/>
            </w:tcBorders>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30,990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right="120" w:firstLine="510"/>
        <w:spacing w:after="0" w:line="267" w:lineRule="auto"/>
        <w:rPr>
          <w:sz w:val="20"/>
          <w:szCs w:val="20"/>
          <w:color w:val="auto"/>
        </w:rPr>
      </w:pPr>
      <w:r>
        <w:rPr>
          <w:rFonts w:ascii="Arial" w:cs="Arial" w:eastAsia="Arial" w:hAnsi="Arial"/>
          <w:sz w:val="18"/>
          <w:szCs w:val="18"/>
          <w:color w:val="auto"/>
        </w:rPr>
        <w:t>As of March 31, 2020, there was $22.2 million of unrecognized stock-based compensation expense related to unvested stock options that is expected to be recognized over a weighted-average period of 3.0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9" w:lineRule="exact"/>
        <w:rPr>
          <w:sz w:val="20"/>
          <w:szCs w:val="20"/>
          <w:color w:val="auto"/>
        </w:rPr>
      </w:pPr>
    </w:p>
    <w:p>
      <w:pPr>
        <w:ind w:right="120" w:firstLine="510"/>
        <w:spacing w:after="0" w:line="252" w:lineRule="auto"/>
        <w:rPr>
          <w:sz w:val="20"/>
          <w:szCs w:val="20"/>
          <w:color w:val="auto"/>
        </w:rPr>
      </w:pPr>
      <w:r>
        <w:rPr>
          <w:rFonts w:ascii="Arial" w:cs="Arial" w:eastAsia="Arial" w:hAnsi="Arial"/>
          <w:sz w:val="18"/>
          <w:szCs w:val="18"/>
          <w:color w:val="auto"/>
        </w:rPr>
        <w:t>In February 2020, the Company adopted the 2020 Employee Stock Purchase Plan, or the 2020 ESPP. Under the 2020 ESPP, employees have the ability to purchase shares of our common stock through payroll deductions at a discount during a series of offering periods of 24 months, each comprised of four six-month purchase periods. The purchase price will be the lower of 85% of the closing trading price per share of the Company’s common stock on the first day of an offering period in which an employee is enrolled or 85% of the closing trading price per share on the purchase date, which will occur on the last trading day of each purchase period.</w:t>
      </w:r>
    </w:p>
    <w:p>
      <w:pPr>
        <w:spacing w:after="0" w:line="193" w:lineRule="exact"/>
        <w:rPr>
          <w:sz w:val="20"/>
          <w:szCs w:val="20"/>
          <w:color w:val="auto"/>
        </w:rPr>
      </w:pPr>
    </w:p>
    <w:p>
      <w:pPr>
        <w:ind w:right="80" w:firstLine="510"/>
        <w:spacing w:after="0" w:line="267" w:lineRule="auto"/>
        <w:rPr>
          <w:sz w:val="20"/>
          <w:szCs w:val="20"/>
          <w:color w:val="auto"/>
        </w:rPr>
      </w:pPr>
      <w:r>
        <w:rPr>
          <w:rFonts w:ascii="Arial" w:cs="Arial" w:eastAsia="Arial" w:hAnsi="Arial"/>
          <w:sz w:val="18"/>
          <w:szCs w:val="18"/>
          <w:color w:val="auto"/>
        </w:rPr>
        <w:t>The Company has reserved for issuance 528,959 shares of common stock pursuant to the 2020 ESPP. As of March 31, 2020, no offering periods have commenced under the 2020 ESPP.</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expense by function was as follows:</w:t>
      </w:r>
    </w:p>
    <w:p>
      <w:pPr>
        <w:spacing w:after="0" w:line="31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53"/>
        </w:trPr>
        <w:tc>
          <w:tcPr>
            <w:tcW w:w="3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6"/>
              <w:spacing w:after="0" w:line="153"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3"/>
        </w:trPr>
        <w:tc>
          <w:tcPr>
            <w:tcW w:w="3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3"/>
          </w:tcPr>
          <w:p>
            <w:pPr>
              <w:jc w:val="right"/>
              <w:ind w:right="40"/>
              <w:spacing w:after="0" w:line="153"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9"/>
                <w:szCs w:val="19"/>
                <w:color w:val="auto"/>
              </w:rPr>
            </w:pPr>
          </w:p>
        </w:tc>
      </w:tr>
      <w:tr>
        <w:trPr>
          <w:trHeight w:val="226"/>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tcPr>
          <w:p>
            <w:pPr>
              <w:spacing w:after="0"/>
              <w:rPr>
                <w:sz w:val="19"/>
                <w:szCs w:val="19"/>
                <w:color w:val="auto"/>
              </w:rPr>
            </w:pPr>
          </w:p>
        </w:tc>
      </w:tr>
      <w:tr>
        <w:trPr>
          <w:trHeight w:val="22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1,567</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FF0FC"/>
          </w:tcPr>
          <w:p>
            <w:pPr>
              <w:spacing w:after="0"/>
              <w:rPr>
                <w:sz w:val="19"/>
                <w:szCs w:val="19"/>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8" w:lineRule="exact"/>
        <w:rPr>
          <w:sz w:val="20"/>
          <w:szCs w:val="20"/>
          <w:color w:val="auto"/>
        </w:rPr>
      </w:pPr>
    </w:p>
    <w:p>
      <w:pPr>
        <w:ind w:right="60" w:firstLine="510"/>
        <w:spacing w:after="0" w:line="267" w:lineRule="auto"/>
        <w:rPr>
          <w:sz w:val="20"/>
          <w:szCs w:val="20"/>
          <w:color w:val="auto"/>
        </w:rPr>
      </w:pPr>
      <w:r>
        <w:rPr>
          <w:rFonts w:ascii="Arial" w:cs="Arial" w:eastAsia="Arial" w:hAnsi="Arial"/>
          <w:sz w:val="18"/>
          <w:szCs w:val="18"/>
          <w:color w:val="auto"/>
        </w:rPr>
        <w:t>Stock-based compensation related to options granted to non-employees was $0.2 million and $0.1 million for the three months ended March 31, 2020 and 2019, respectively.</w:t>
      </w:r>
    </w:p>
    <w:p>
      <w:pPr>
        <w:spacing w:after="0" w:line="179" w:lineRule="exact"/>
        <w:rPr>
          <w:sz w:val="20"/>
          <w:szCs w:val="20"/>
          <w:color w:val="auto"/>
        </w:rPr>
      </w:pPr>
    </w:p>
    <w:p>
      <w:pPr>
        <w:ind w:right="20" w:firstLine="510"/>
        <w:spacing w:after="0" w:line="251" w:lineRule="auto"/>
        <w:rPr>
          <w:sz w:val="20"/>
          <w:szCs w:val="20"/>
          <w:color w:val="auto"/>
        </w:rPr>
      </w:pPr>
      <w:r>
        <w:rPr>
          <w:rFonts w:ascii="Arial" w:cs="Arial" w:eastAsia="Arial" w:hAnsi="Arial"/>
          <w:sz w:val="18"/>
          <w:szCs w:val="18"/>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March 31, 2020 and December 31, 2019, there were 292,380 and 349,501 shares, respectively, and $0.3 million and $0.3 million, respectively, recorded in other noncurrent liabilities, related to early exercised shares that were subject to repurchase.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21" w:name="page22"/>
    <w:bookmarkEnd w:id="21"/>
    <w:p>
      <w:pPr>
        <w:ind w:left="760" w:hanging="753"/>
        <w:spacing w:after="0"/>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557"/>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gridSpan w:val="4"/>
          </w:tcPr>
          <w:p>
            <w:pPr>
              <w:jc w:val="right"/>
              <w:ind w:right="173"/>
              <w:spacing w:after="0" w:line="153"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(19,519)</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dividends-</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undeclared and cumulative</w:t>
            </w:r>
          </w:p>
        </w:tc>
        <w:tc>
          <w:tcPr>
            <w:tcW w:w="2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(2,219)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40" w:type="dxa"/>
            <w:vAlign w:val="bottom"/>
            <w:vMerge w:val="continue"/>
          </w:tcPr>
          <w:p>
            <w:pPr>
              <w:spacing w:after="0"/>
              <w:rPr>
                <w:sz w:val="19"/>
                <w:szCs w:val="19"/>
                <w:color w:val="auto"/>
              </w:rPr>
            </w:pPr>
          </w:p>
        </w:tc>
        <w:tc>
          <w:tcPr>
            <w:tcW w:w="2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(21,738)</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8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32,227,701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3,212,427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Weighted-average unvested restricted shares and</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subject to repurchase</w:t>
            </w:r>
          </w:p>
        </w:tc>
        <w:tc>
          <w:tcPr>
            <w:tcW w:w="2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(318,986)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(568,778)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40" w:type="dxa"/>
            <w:vAlign w:val="bottom"/>
          </w:tcPr>
          <w:p>
            <w:pPr>
              <w:spacing w:after="0"/>
              <w:rPr>
                <w:sz w:val="20"/>
                <w:szCs w:val="20"/>
                <w:color w:val="auto"/>
              </w:rPr>
            </w:pPr>
            <w:r>
              <w:rPr>
                <w:rFonts w:ascii="Arial" w:cs="Arial" w:eastAsia="Arial" w:hAnsi="Arial"/>
                <w:sz w:val="18"/>
                <w:szCs w:val="18"/>
                <w:color w:val="auto"/>
                <w:w w:val="99"/>
              </w:rPr>
              <w:t>Weighted-average shares used to compute net loss per share</w:t>
            </w:r>
          </w:p>
        </w:tc>
        <w:tc>
          <w:tcPr>
            <w:tcW w:w="2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attributable to common stockholders-basic and diluted</w:t>
            </w:r>
          </w:p>
        </w:tc>
        <w:tc>
          <w:tcPr>
            <w:tcW w:w="28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29,297,698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2,643,649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stockholders-basic</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2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(0.74)</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2800" w:type="dxa"/>
            <w:vAlign w:val="bottom"/>
            <w:tcBorders>
              <w:top w:val="single" w:sz="8" w:color="CFF0FC"/>
              <w:bottom w:val="single" w:sz="8" w:color="CFF0FC"/>
            </w:tcBorders>
            <w:vMerge w:val="restart"/>
          </w:tcPr>
          <w:p>
            <w:pPr>
              <w:jc w:val="right"/>
              <w:ind w:right="1931"/>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654" w:right="319" w:bottom="1440" w:gutter="0" w:footer="0" w:header="0"/>
        </w:sectPr>
      </w:pPr>
    </w:p>
    <w:bookmarkStart w:id="22" w:name="page23"/>
    <w:bookmarkEnd w:id="22"/>
    <w:p>
      <w:pPr>
        <w:ind w:right="180" w:firstLine="510"/>
        <w:spacing w:after="0" w:line="267"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60" w:type="dxa"/>
            <w:vAlign w:val="bottom"/>
          </w:tcPr>
          <w:p>
            <w:pPr>
              <w:spacing w:after="0"/>
              <w:rPr>
                <w:sz w:val="14"/>
                <w:szCs w:val="14"/>
                <w:color w:val="auto"/>
              </w:rPr>
            </w:pPr>
          </w:p>
        </w:tc>
        <w:tc>
          <w:tcPr>
            <w:tcW w:w="314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53"/>
        </w:trPr>
        <w:tc>
          <w:tcPr>
            <w:tcW w:w="696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ind w:left="540"/>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95"/>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25,595,909</w:t>
            </w:r>
          </w:p>
        </w:tc>
        <w:tc>
          <w:tcPr>
            <w:tcW w:w="100" w:type="dxa"/>
            <w:vAlign w:val="bottom"/>
            <w:shd w:val="clear" w:color="auto" w:fill="CFF0FC"/>
          </w:tcPr>
          <w:p>
            <w:pPr>
              <w:spacing w:after="0"/>
              <w:rPr>
                <w:sz w:val="19"/>
                <w:szCs w:val="19"/>
                <w:color w:val="auto"/>
              </w:rPr>
            </w:pPr>
          </w:p>
        </w:tc>
      </w:tr>
      <w:tr>
        <w:trPr>
          <w:trHeight w:val="226"/>
        </w:trPr>
        <w:tc>
          <w:tcPr>
            <w:tcW w:w="69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5,568,324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2,825,454</w:t>
            </w:r>
          </w:p>
        </w:tc>
        <w:tc>
          <w:tcPr>
            <w:tcW w:w="100" w:type="dxa"/>
            <w:vAlign w:val="bottom"/>
          </w:tcPr>
          <w:p>
            <w:pPr>
              <w:spacing w:after="0"/>
              <w:rPr>
                <w:sz w:val="19"/>
                <w:szCs w:val="19"/>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Options early exercised subject to future vesting</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292,380</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540,755</w:t>
            </w:r>
          </w:p>
        </w:tc>
        <w:tc>
          <w:tcPr>
            <w:tcW w:w="100" w:type="dxa"/>
            <w:vAlign w:val="bottom"/>
            <w:shd w:val="clear" w:color="auto" w:fill="CFF0FC"/>
          </w:tcPr>
          <w:p>
            <w:pPr>
              <w:spacing w:after="0"/>
              <w:rPr>
                <w:sz w:val="19"/>
                <w:szCs w:val="19"/>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5,860,704</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28,962,118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760" w:hanging="753"/>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Relationships</w:t>
      </w:r>
    </w:p>
    <w:p>
      <w:pPr>
        <w:spacing w:after="0" w:line="225"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88"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In connection with the Company’s obligations and responsibilities under the Sanofi Agreement, in April 2019, the Company entered into a Clinical Supply Agreement with Genzyme Corporation, or Genzyme, an affiliate of Sanofi, and a Quality Agreement with Sanofi-Aventis Recherche &amp; Developpement, an affiliate of Sanofi. The Quality Agreement was amended in December 2019. Sanofi was a related party at the time both agreements were entered into. The Clinical Supply Agreement governs how the Company will oversee the manufacture and supply of any SHP2 inhibitors requested by Genzyme for use in its clinical development activities under the Sanofi Agreement and provides that Genzyme will compensate the Company for the costs to manufacture any such product plus a 10% fee. The Quality Agreement requires that the production of RMC-4630 meets certain quality standards and puts certain conditions on the Company’s arrangements with subcontractors. The Quality Agreement does not contemplate that any consideration be paid separate from the Sanofi Agreement.</w:t>
      </w:r>
    </w:p>
    <w:p>
      <w:pPr>
        <w:spacing w:after="0" w:line="287" w:lineRule="exact"/>
        <w:rPr>
          <w:sz w:val="20"/>
          <w:szCs w:val="20"/>
          <w:color w:val="auto"/>
        </w:rPr>
      </w:pPr>
    </w:p>
    <w:p>
      <w:pPr>
        <w:ind w:left="760" w:hanging="753"/>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In April 2020, the Company amended its Redwood City Lease to lease an additional 19,483 square feet of office, laboratory and research and development space located at 300 Saginaw Drive, Redwood City, California (the 300 Building) beginning on December 15, 2020 and ending December 31, 2030. Under the amendment, the Company’s existing lease term for 700 Saginaw Drive, Redwood City, California (the 700 Building) was extended until December 31, 2030.</w:t>
      </w:r>
    </w:p>
    <w:p>
      <w:pPr>
        <w:spacing w:after="0" w:line="193"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The annual base rent for the lease of the 300 Building is $1.2 million until December 31, 2021, after which the annual base rent will increase by approximately 3.5% in each subsequent year of the lease term. The annual base rent for the lease of the 700 Building remains unchanged through April 30, 2023, and the annual base rent for the lease of the 700 Building is $2.8 million for the 12 month period ending April 30, 2024, after which the annual base rent increases by approximately 3.5% in each subsequent year of the lease term.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the related notes included elsewhere in this Quarterly Report on Form 10-Q. In addition to historical financial information, this discussion contains forward-looking statements based upon current expectations that involve risks and uncertainties. As a result of many factors, including those factors set forth in the “Risk Factors” section of this report, our actual results could differ materially from the results described or implied by the forward-looking statements contained in the following discussion and analysis.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 xml:space="preserve">We are a clinical-stage precision oncology company focused on developing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w:t>
      </w:r>
    </w:p>
    <w:p>
      <w:pPr>
        <w:spacing w:after="0" w:line="180"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Our most advanced product candidate, RMC-4630, is a potent and selective inhibitor of SHP2,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We previously reported preliminary data from 63 patients who had enrolled in our Phase 1 study and received RMC-4630 as a monotherapy as of November 6, 2019 and from 8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3"/>
          <w:szCs w:val="13"/>
          <w:color w:val="auto"/>
        </w:rPr>
        <w:t>G12C</w:t>
      </w:r>
      <w:r>
        <w:rPr>
          <w:rFonts w:ascii="Arial" w:cs="Arial" w:eastAsia="Arial" w:hAnsi="Arial"/>
          <w:sz w:val="16"/>
          <w:szCs w:val="16"/>
          <w:color w:val="auto"/>
        </w:rPr>
        <w:t>, KRAS</w:t>
      </w:r>
      <w:r>
        <w:rPr>
          <w:rFonts w:ascii="Arial" w:cs="Arial" w:eastAsia="Arial" w:hAnsi="Arial"/>
          <w:sz w:val="13"/>
          <w:szCs w:val="13"/>
          <w:color w:val="auto"/>
        </w:rPr>
        <w:t>G13C</w:t>
      </w:r>
      <w:r>
        <w:rPr>
          <w:rFonts w:ascii="Arial" w:cs="Arial" w:eastAsia="Arial" w:hAnsi="Arial"/>
          <w:sz w:val="16"/>
          <w:szCs w:val="16"/>
          <w:color w:val="auto"/>
        </w:rPr>
        <w:t>, KRAS</w:t>
      </w:r>
      <w:r>
        <w:rPr>
          <w:rFonts w:ascii="Arial" w:cs="Arial" w:eastAsia="Arial" w:hAnsi="Arial"/>
          <w:sz w:val="13"/>
          <w:szCs w:val="13"/>
          <w:color w:val="auto"/>
        </w:rPr>
        <w:t>G12D</w:t>
      </w:r>
      <w:r>
        <w:rPr>
          <w:rFonts w:ascii="Arial" w:cs="Arial" w:eastAsia="Arial" w:hAnsi="Arial"/>
          <w:sz w:val="16"/>
          <w:szCs w:val="16"/>
          <w:color w:val="auto"/>
        </w:rPr>
        <w:t xml:space="preserve"> and NRAS</w:t>
      </w:r>
      <w:r>
        <w:rPr>
          <w:rFonts w:ascii="Arial" w:cs="Arial" w:eastAsia="Arial" w:hAnsi="Arial"/>
          <w:sz w:val="13"/>
          <w:szCs w:val="13"/>
          <w:color w:val="auto"/>
        </w:rPr>
        <w:t>G12C</w:t>
      </w:r>
      <w:r>
        <w:rPr>
          <w:rFonts w:ascii="Arial" w:cs="Arial" w:eastAsia="Arial" w:hAnsi="Arial"/>
          <w:sz w:val="16"/>
          <w:szCs w:val="16"/>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72"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In addition, we have two preclinical programs targeting other key nodes in the RAS and mTOR signaling pathways. Our program targeting SOS1, a protein that plays a key role in converting RAS(OFF) to RAS(ON) in cells, is currently in lead optimization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93"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We have incurred net losses in each year since inception in 2014. Our net losses were $19.5 million and $10.1 million for the three months ended March 31, 2020 and 2019, respectively. As of March 31, 2020, we had an accumulated deficit of $176.9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We expect our expenses will increase in connection with our ongoing activities, as we:</w:t>
      </w:r>
    </w:p>
    <w:p>
      <w:pPr>
        <w:spacing w:after="0" w:line="73" w:lineRule="exact"/>
        <w:rPr>
          <w:sz w:val="20"/>
          <w:szCs w:val="20"/>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platform research and drug discovery efforts to identify product candidates;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product candidates through preclinical programs and clinical trials;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regulatory approval of product candidates;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as a public company following the completion of our initial public offering, or IPO, in February 2020;</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know-how;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personnel to support our development programs and secure additional facilities to support our operations.</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Collaboration Agreement with Sanofi</w:t>
      </w:r>
    </w:p>
    <w:p>
      <w:pPr>
        <w:spacing w:after="0" w:line="119"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86" w:lineRule="exact"/>
        <w:rPr>
          <w:sz w:val="20"/>
          <w:szCs w:val="20"/>
          <w:color w:val="auto"/>
        </w:rPr>
      </w:pPr>
    </w:p>
    <w:p>
      <w:pPr>
        <w:ind w:firstLine="510"/>
        <w:spacing w:after="0" w:line="281" w:lineRule="auto"/>
        <w:rPr>
          <w:sz w:val="20"/>
          <w:szCs w:val="20"/>
          <w:color w:val="auto"/>
        </w:rPr>
      </w:pPr>
      <w:r>
        <w:rPr>
          <w:rFonts w:ascii="Arial" w:cs="Arial" w:eastAsia="Arial" w:hAnsi="Arial"/>
          <w:sz w:val="16"/>
          <w:szCs w:val="16"/>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72" w:lineRule="exact"/>
        <w:rPr>
          <w:sz w:val="20"/>
          <w:szCs w:val="20"/>
          <w:color w:val="auto"/>
        </w:rPr>
      </w:pPr>
    </w:p>
    <w:p>
      <w:pPr>
        <w:ind w:right="160" w:firstLine="510"/>
        <w:spacing w:after="0" w:line="267"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79"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73" w:lineRule="exact"/>
        <w:rPr>
          <w:sz w:val="20"/>
          <w:szCs w:val="20"/>
          <w:color w:val="auto"/>
        </w:rPr>
      </w:pPr>
    </w:p>
    <w:p>
      <w:pPr>
        <w:ind w:firstLine="510"/>
        <w:spacing w:after="0" w:line="267"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5" w:name="page26"/>
    <w:bookmarkEnd w:id="25"/>
    <w:p>
      <w:pPr>
        <w:ind w:firstLine="510"/>
        <w:spacing w:after="0" w:line="282" w:lineRule="auto"/>
        <w:rPr>
          <w:sz w:val="20"/>
          <w:szCs w:val="20"/>
          <w:color w:val="auto"/>
        </w:rPr>
      </w:pPr>
      <w:r>
        <w:rPr>
          <w:rFonts w:ascii="Arial" w:cs="Arial" w:eastAsia="Arial" w:hAnsi="Arial"/>
          <w:sz w:val="16"/>
          <w:szCs w:val="16"/>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72" w:lineRule="exact"/>
        <w:rPr>
          <w:sz w:val="20"/>
          <w:szCs w:val="20"/>
          <w:color w:val="auto"/>
        </w:rPr>
      </w:pPr>
    </w:p>
    <w:p>
      <w:pPr>
        <w:ind w:right="20" w:firstLine="510"/>
        <w:spacing w:after="0" w:line="267" w:lineRule="auto"/>
        <w:rPr>
          <w:sz w:val="20"/>
          <w:szCs w:val="20"/>
          <w:color w:val="auto"/>
        </w:rPr>
      </w:pPr>
      <w:r>
        <w:rPr>
          <w:rFonts w:ascii="Arial" w:cs="Arial" w:eastAsia="Arial" w:hAnsi="Arial"/>
          <w:sz w:val="18"/>
          <w:szCs w:val="18"/>
          <w:color w:val="auto"/>
        </w:rPr>
        <w:t>Through March 31, 2020, we have received an aggregate of $101.4 million from Sanofi, including the upfront payment and research and development expense reimbursements.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Warp Drive</w:t>
      </w:r>
    </w:p>
    <w:p>
      <w:pPr>
        <w:spacing w:after="0" w:line="119"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October 2018, we acquired all outstanding shares of Warp Drive Bio, Inc., or Warp Drive. In connection with the acquisition, we issued 6,797,915 shares of our Series B preferred stock and $0.9 million in other consideration, for total consideration valued at $69.0 million. The operating results associated with Warp Drive programs are reflected in our consolidated financial statements beginning on the closing date of the transaction.</w:t>
      </w:r>
    </w:p>
    <w:p>
      <w:pPr>
        <w:spacing w:after="0" w:line="171" w:lineRule="exact"/>
        <w:rPr>
          <w:sz w:val="20"/>
          <w:szCs w:val="20"/>
          <w:color w:val="auto"/>
        </w:rPr>
      </w:pPr>
    </w:p>
    <w:p>
      <w:pPr>
        <w:ind w:right="220" w:firstLine="510"/>
        <w:spacing w:after="0" w:line="295" w:lineRule="auto"/>
        <w:rPr>
          <w:sz w:val="20"/>
          <w:szCs w:val="20"/>
          <w:color w:val="auto"/>
        </w:rPr>
      </w:pPr>
      <w:r>
        <w:rPr>
          <w:rFonts w:ascii="Arial" w:cs="Arial" w:eastAsia="Arial" w:hAnsi="Arial"/>
          <w:sz w:val="16"/>
          <w:szCs w:val="16"/>
          <w:color w:val="auto"/>
        </w:rPr>
        <w:t>In connection with the Warp Drive acquisition, we recorded $55.8 million of in-process research and development, or IPR&amp;D, and $13.6 million of developed technology related to the tri-complex and genome mining platforms. Warp Drive’s RAS programs were accounted for as an IPR&amp;D asset. The IPR&amp;D asset is considered to be an indefinite-lived asset until the completion or abandonment of the associated research and development efforts. Warp Drive’s tri-complex development platform was accounted for as developed technology and is being amortized over seven years.</w:t>
      </w:r>
    </w:p>
    <w:p>
      <w:pPr>
        <w:spacing w:after="0" w:line="1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addition, we recorded $14.6 million in goodwill associated with the Warp Drive acquisition, which largely relates to the establishment of a deferred tax liability for the non-deductible IPR&amp;D intangible assets acquired. Goodwill will not be amortized. Goodwill and IPR&amp;D will be tested at least annually for impairment. No impairment has been recognized as of March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3"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Collaboration revenue, related party, consists of revenue under the Sanofi Agreement for our SHP2 program. We entered into the Sanofi Agreement in June 2018 and Sanofi subsequently became a related party in October 2018 as it was a stockholder of Warp Drive to which we issued equity in connection with the acquisition. We received a $50.0 million upfront payment from Sanofi in July 2018, receive reimbursement for research and development services, and are entitled to future potential development and regulatory milestones.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3" w:lineRule="exact"/>
        <w:rPr>
          <w:sz w:val="20"/>
          <w:szCs w:val="20"/>
          <w:color w:val="auto"/>
        </w:rPr>
      </w:pPr>
    </w:p>
    <w:p>
      <w:pPr>
        <w:ind w:right="60" w:firstLine="510"/>
        <w:spacing w:after="0" w:line="295" w:lineRule="auto"/>
        <w:rPr>
          <w:sz w:val="20"/>
          <w:szCs w:val="20"/>
          <w:color w:val="auto"/>
        </w:rPr>
      </w:pPr>
      <w:r>
        <w:rPr>
          <w:rFonts w:ascii="Arial" w:cs="Arial" w:eastAsia="Arial" w:hAnsi="Arial"/>
          <w:sz w:val="16"/>
          <w:szCs w:val="16"/>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w:t>
      </w:r>
    </w:p>
    <w:p>
      <w:pPr>
        <w:spacing w:after="0" w:line="55" w:lineRule="exact"/>
        <w:rPr>
          <w:sz w:val="20"/>
          <w:szCs w:val="20"/>
          <w:color w:val="auto"/>
        </w:rPr>
      </w:pPr>
    </w:p>
    <w:p>
      <w:pPr>
        <w:ind w:left="1020" w:right="760" w:hanging="507"/>
        <w:spacing w:after="0" w:line="26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investigative clinical trial sites that conduct research and development activities on our behalf, and consultants;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discovery programs, preclinical and clinical trials;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and</w:t>
      </w:r>
    </w:p>
    <w:p>
      <w:pPr>
        <w:spacing w:after="0" w:line="112"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facilities and other expenses, which include allocated expenses for rent and maintenance of facilities, depreciation and amortization expense, information technology and other supplies.</w:t>
      </w:r>
    </w:p>
    <w:p>
      <w:pPr>
        <w:spacing w:after="0" w:line="179" w:lineRule="exact"/>
        <w:rPr>
          <w:sz w:val="20"/>
          <w:szCs w:val="20"/>
          <w:color w:val="auto"/>
        </w:rPr>
      </w:pPr>
    </w:p>
    <w:p>
      <w:pPr>
        <w:ind w:right="60" w:firstLine="510"/>
        <w:spacing w:after="0" w:line="295" w:lineRule="auto"/>
        <w:rPr>
          <w:sz w:val="20"/>
          <w:szCs w:val="20"/>
          <w:color w:val="auto"/>
        </w:rPr>
      </w:pPr>
      <w:r>
        <w:rPr>
          <w:rFonts w:ascii="Arial" w:cs="Arial" w:eastAsia="Arial" w:hAnsi="Arial"/>
          <w:sz w:val="16"/>
          <w:szCs w:val="16"/>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16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Under the Sanofi Agreement, all of our RMC-4630 research and development expenses incurred from June 2018 to December 2018 have been reimbursed by Sanofi. All RMC-4630 development expenses and 80% of RMC-4630 research expenses in 2019 and 2020 are reimbursable by Sanofi. These reimbursements from Sanofi are recorded as collaboration revenue. We are responsible for early non-registrational clinical trials and Sanofi is responsible for conducting registrational clinical trials.</w:t>
      </w:r>
    </w:p>
    <w:p>
      <w:pPr>
        <w:spacing w:after="0" w:line="193" w:lineRule="exact"/>
        <w:rPr>
          <w:sz w:val="20"/>
          <w:szCs w:val="20"/>
          <w:color w:val="auto"/>
        </w:rPr>
      </w:pPr>
    </w:p>
    <w:p>
      <w:pPr>
        <w:ind w:right="180" w:firstLine="510"/>
        <w:spacing w:after="0" w:line="251"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3"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General and administrative expenses consist primarily of personnel-related costs, consultants and professional services expenses, including legal, audit, accounting and human resources services, insurance,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Select Market, additional insurance expenses, investor relations activities and other administrative and professional services.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our cash equivalents and marketable securities.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and other expense primarily consists of interest related to our capital lease and interest on other outstanding obligations.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13" w:lineRule="exact"/>
        <w:rPr>
          <w:sz w:val="20"/>
          <w:szCs w:val="20"/>
          <w:color w:val="auto"/>
        </w:rPr>
      </w:pPr>
    </w:p>
    <w:p>
      <w:pPr>
        <w:ind w:right="100" w:firstLine="510"/>
        <w:spacing w:after="0" w:line="267" w:lineRule="auto"/>
        <w:rPr>
          <w:sz w:val="20"/>
          <w:szCs w:val="20"/>
          <w:color w:val="auto"/>
        </w:rPr>
      </w:pPr>
      <w:r>
        <w:rPr>
          <w:rFonts w:ascii="Arial" w:cs="Arial" w:eastAsia="Arial" w:hAnsi="Arial"/>
          <w:sz w:val="18"/>
          <w:szCs w:val="18"/>
          <w:color w:val="auto"/>
        </w:rPr>
        <w:t>Benefit from income taxes relates to net changes in the deferred tax liability associated with our Warp Drive acquisition resulting from changes in the effective state tax rate and changes in our valuation allowance.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 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40"/>
              <w:spacing w:after="0"/>
              <w:rPr>
                <w:sz w:val="20"/>
                <w:szCs w:val="20"/>
                <w:color w:val="auto"/>
              </w:rPr>
            </w:pPr>
            <w:r>
              <w:rPr>
                <w:rFonts w:ascii="Arial" w:cs="Arial" w:eastAsia="Arial" w:hAnsi="Arial"/>
                <w:sz w:val="18"/>
                <w:szCs w:val="18"/>
                <w:color w:val="auto"/>
              </w:rPr>
              <w:t>Collaboration revenue, related party</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11,546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26"/>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27,457</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32,628</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(21,082)</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and other expense</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other income (expense), net</w:t>
            </w:r>
          </w:p>
        </w:tc>
        <w:tc>
          <w:tcPr>
            <w:tcW w:w="1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(20,194)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(10,131)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from income taxes</w:t>
            </w:r>
          </w:p>
        </w:tc>
        <w:tc>
          <w:tcPr>
            <w:tcW w:w="1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(10,131)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3"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Collaboration revenue, related party consists of revenue under the Sanofi Agreement. Collaboration revenue, related party decreased by $1.6 million, or 12%, during the three months ended March 31, 2020 compared to the same period in 2019. The decrease in collaboration revenue, related party during the three months ended March 31, 2020 was primarily due to lower research and development costs incurred by us for our SHP2 program under the Sanofi Agreement resulting from lower manufacturing costs. During the three months ended March 31, 2019, we incurred upfront manufacturing costs related to the supply of RMC-4630 for our clinical trials.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654"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3" w:lineRule="exact"/>
        <w:rPr>
          <w:sz w:val="20"/>
          <w:szCs w:val="20"/>
          <w:color w:val="auto"/>
        </w:rPr>
      </w:pPr>
    </w:p>
    <w:p>
      <w:pPr>
        <w:ind w:right="40" w:firstLine="510"/>
        <w:spacing w:after="0" w:line="266" w:lineRule="auto"/>
        <w:rPr>
          <w:sz w:val="20"/>
          <w:szCs w:val="20"/>
          <w:color w:val="auto"/>
        </w:rPr>
      </w:pPr>
      <w:r>
        <w:rPr>
          <w:rFonts w:ascii="Arial" w:cs="Arial" w:eastAsia="Arial" w:hAnsi="Arial"/>
          <w:sz w:val="17"/>
          <w:szCs w:val="17"/>
          <w:color w:val="auto"/>
        </w:rPr>
        <w:t>Research and development expenses increased by $6.3 million, or 30%, during the three months ended March 31, 2020 compared to the same period in 2019. The increase in research and development expenses during the three months ended March 31, 2020 was primarily due to a $5.3 million increase in third party costs for our RAS portfolio, primarily driven by higher chemistry contract research organizations, pharmacology and manufacturing costs; a $1.7 million increase in third party costs for our SOS1 program, which commenced in 2019; a $1.0 million in third party expenses for our 4EBP1 program, which included increased manufacturing and preliminary safety assessment costs; a $0.8 million increase in salaries and other employee-related expenses due to increased headcount to support our research and development programs; offset by a decrease of $2.0 million in third-party expenses for our SHP2 program resulting from lower manufacturing costs as we incurred upfront manufacturing costs related to the supply of RMC-4630 for our clinical trials during the three months ended March 31,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3" w:lineRule="exact"/>
        <w:rPr>
          <w:sz w:val="20"/>
          <w:szCs w:val="20"/>
          <w:color w:val="auto"/>
        </w:rPr>
      </w:pPr>
    </w:p>
    <w:p>
      <w:pPr>
        <w:jc w:val="both"/>
        <w:ind w:firstLine="510"/>
        <w:spacing w:after="0" w:line="295" w:lineRule="auto"/>
        <w:rPr>
          <w:sz w:val="20"/>
          <w:szCs w:val="20"/>
          <w:color w:val="auto"/>
        </w:rPr>
      </w:pPr>
      <w:r>
        <w:rPr>
          <w:rFonts w:ascii="Arial" w:cs="Arial" w:eastAsia="Arial" w:hAnsi="Arial"/>
          <w:sz w:val="16"/>
          <w:szCs w:val="16"/>
          <w:color w:val="auto"/>
        </w:rPr>
        <w:t>General and administrative expenses increased by $2.8 million, or 114%, during the three months ended March 31, 2020 compared to the same period in 2019. The increase in general and administrative expenses during the three months ended March 31, 2020 was primarily due to increases of $1.1 million in legal and accounting expenses and $0.4 million in insurance costs as a result of becoming a public company; an increase of $0.4 million in salaries and other employee-related expenses due to increased headcount; and an increase of $0.5 million in stock-based compensation expense.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Interest income increased by $0.6 million during the three months ended March 31, 2020 compared to the same period in 2019. The increase was primarily due to interest income earned from higher average investment balances resulting from the net proceeds from our Series C preferred stock financing in 2019 and IPO in February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and other expense was less than $0.1 million for the three months ended March 31, 2020 and 2019.</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1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Benefit from income taxes was $0.7 million for the three months ended March 31, 2020 and relates to a reduction in the effective state tax rate and the resulting impact on the deferred tax liabilities from the Warp Drive acquisition. There was no benefit from income taxes for the three months ended March 31, 2019.</w:t>
      </w:r>
    </w:p>
    <w:p>
      <w:pPr>
        <w:spacing w:after="0" w:line="81" w:lineRule="exact"/>
        <w:rPr>
          <w:sz w:val="20"/>
          <w:szCs w:val="20"/>
          <w:color w:val="auto"/>
        </w:rPr>
      </w:pPr>
    </w:p>
    <w:p>
      <w:pPr>
        <w:ind w:right="140" w:firstLine="510"/>
        <w:spacing w:after="0" w:line="253" w:lineRule="auto"/>
        <w:rPr>
          <w:sz w:val="20"/>
          <w:szCs w:val="20"/>
          <w:color w:val="auto"/>
        </w:rPr>
      </w:pPr>
      <w:r>
        <w:rPr>
          <w:rFonts w:ascii="Arial" w:cs="Arial" w:eastAsia="Arial" w:hAnsi="Arial"/>
          <w:sz w:val="18"/>
          <w:szCs w:val="18"/>
          <w:color w:val="auto"/>
        </w:rPr>
        <w:t>On March 27, 2020, the United States enacted the Coronavirus Aid, Relief, and Economic Security (CARES) Act as a result of the Coronavirus pandemic, which contains among other things, numerous income tax provisions. Some of these tax provisions are expected to be effective retroactively for years ending before the date of enactment. The company has evaluated the current legislation and at this time, does not anticipate the CARES Act to have a material impact on its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3" w:lineRule="exact"/>
        <w:rPr>
          <w:sz w:val="20"/>
          <w:szCs w:val="20"/>
          <w:color w:val="auto"/>
        </w:rPr>
      </w:pPr>
    </w:p>
    <w:p>
      <w:pPr>
        <w:ind w:right="480" w:firstLine="510"/>
        <w:spacing w:after="0" w:line="330" w:lineRule="auto"/>
        <w:rPr>
          <w:sz w:val="20"/>
          <w:szCs w:val="20"/>
          <w:color w:val="auto"/>
        </w:rPr>
      </w:pPr>
      <w:r>
        <w:rPr>
          <w:rFonts w:ascii="Arial" w:cs="Arial" w:eastAsia="Arial" w:hAnsi="Arial"/>
          <w:sz w:val="16"/>
          <w:szCs w:val="16"/>
          <w:color w:val="auto"/>
        </w:rPr>
        <w:t>On February 18, 2020, we closed our IPO and issued 16,100,000 shares of our common stock at a price to the public of $17.00 per share for net proceeds of approximately $250.7 million, after deducting underwriting discounts and commissions of $19.2 million and expenses of $3.8 million.</w:t>
      </w:r>
    </w:p>
    <w:p>
      <w:pPr>
        <w:spacing w:after="0" w:line="27" w:lineRule="exact"/>
        <w:rPr>
          <w:sz w:val="20"/>
          <w:szCs w:val="20"/>
          <w:color w:val="auto"/>
        </w:rPr>
      </w:pPr>
    </w:p>
    <w:p>
      <w:pPr>
        <w:ind w:right="120" w:firstLine="510"/>
        <w:spacing w:after="0" w:line="267" w:lineRule="auto"/>
        <w:rPr>
          <w:sz w:val="20"/>
          <w:szCs w:val="20"/>
          <w:color w:val="auto"/>
        </w:rPr>
      </w:pPr>
      <w:r>
        <w:rPr>
          <w:rFonts w:ascii="Arial" w:cs="Arial" w:eastAsia="Arial" w:hAnsi="Arial"/>
          <w:sz w:val="18"/>
          <w:szCs w:val="18"/>
          <w:color w:val="auto"/>
        </w:rPr>
        <w:t>Our operations have been financed primarily by our IPO, net proceeds of $230.6 million from the issuance of our preferred stock and $101.4 million received under the Sanofi Agreement for upfront payments and for research and development cost reimbursement.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we had $347.9 million in cash, cash equivalents and marketable securities.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29" w:name="page30"/>
    <w:bookmarkEnd w:id="29"/>
    <w:p>
      <w:pPr>
        <w:ind w:firstLine="510"/>
        <w:spacing w:after="0" w:line="253" w:lineRule="auto"/>
        <w:rPr>
          <w:sz w:val="20"/>
          <w:szCs w:val="20"/>
          <w:color w:val="auto"/>
        </w:rPr>
      </w:pPr>
      <w:r>
        <w:rPr>
          <w:rFonts w:ascii="Arial" w:cs="Arial" w:eastAsia="Arial" w:hAnsi="Arial"/>
          <w:sz w:val="18"/>
          <w:szCs w:val="18"/>
          <w:color w:val="auto"/>
        </w:rPr>
        <w:t>As of March 31, 2020, we had an accumulated deficit of $176.9 million. Our primary use of cash is to fund operating expenses, which consist primarily of research and development expenditures related to our product candidates and our discovery programs, and to a lesser extent, general and administrative expenditures. We expect our expenses to continue to increase in connection with our ongoing activities, in particular as we continue to advance our product candidates and our discovery programs and operate as a public company.</w:t>
      </w:r>
    </w:p>
    <w:p>
      <w:pPr>
        <w:spacing w:after="0" w:line="193" w:lineRule="exact"/>
        <w:rPr>
          <w:sz w:val="20"/>
          <w:szCs w:val="20"/>
          <w:color w:val="auto"/>
        </w:rPr>
      </w:pPr>
    </w:p>
    <w:p>
      <w:pPr>
        <w:ind w:right="20" w:firstLine="510"/>
        <w:spacing w:after="0" w:line="267" w:lineRule="auto"/>
        <w:rPr>
          <w:sz w:val="20"/>
          <w:szCs w:val="20"/>
          <w:color w:val="auto"/>
        </w:rPr>
      </w:pPr>
      <w:r>
        <w:rPr>
          <w:rFonts w:ascii="Arial" w:cs="Arial" w:eastAsia="Arial" w:hAnsi="Arial"/>
          <w:sz w:val="18"/>
          <w:szCs w:val="18"/>
          <w:color w:val="auto"/>
        </w:rPr>
        <w:t>We believe that our existing cash, cash equivalents and marketable securities enable us to fund our planned operations for at least 12 months following the date of this report.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amount of our future funding requirements depend on many factors, including:</w:t>
      </w:r>
    </w:p>
    <w:p>
      <w:pPr>
        <w:spacing w:after="0" w:line="113" w:lineRule="exact"/>
        <w:rPr>
          <w:sz w:val="20"/>
          <w:szCs w:val="20"/>
          <w:color w:val="auto"/>
        </w:rPr>
      </w:pPr>
    </w:p>
    <w:p>
      <w:pPr>
        <w:ind w:left="1020" w:right="40" w:hanging="507"/>
        <w:spacing w:after="0" w:line="26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product candidates we develop if clinical trials are successful;</w:t>
      </w:r>
    </w:p>
    <w:p>
      <w:pPr>
        <w:spacing w:after="0" w:line="124" w:lineRule="exact"/>
        <w:rPr>
          <w:rFonts w:ascii="Arial" w:cs="Arial" w:eastAsia="Arial" w:hAnsi="Arial"/>
          <w:sz w:val="17"/>
          <w:szCs w:val="17"/>
          <w:color w:val="auto"/>
        </w:rPr>
      </w:pPr>
    </w:p>
    <w:p>
      <w:pPr>
        <w:ind w:left="1020" w:right="100" w:hanging="507"/>
        <w:spacing w:after="0" w:line="26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72"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the Sanofi Agreement, each of which would trigger additional payments to us;</w:t>
      </w:r>
    </w:p>
    <w:p>
      <w:pPr>
        <w:spacing w:after="0" w:line="72" w:lineRule="exact"/>
        <w:rPr>
          <w:rFonts w:ascii="Arial" w:cs="Arial" w:eastAsia="Arial" w:hAnsi="Arial"/>
          <w:sz w:val="18"/>
          <w:szCs w:val="18"/>
          <w:color w:val="auto"/>
        </w:rPr>
      </w:pPr>
    </w:p>
    <w:p>
      <w:pPr>
        <w:jc w:val="both"/>
        <w:ind w:left="1020" w:right="100" w:hanging="507"/>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81" w:lineRule="exact"/>
        <w:rPr>
          <w:rFonts w:ascii="Arial" w:cs="Arial" w:eastAsia="Arial" w:hAnsi="Arial"/>
          <w:sz w:val="18"/>
          <w:szCs w:val="18"/>
          <w:color w:val="auto"/>
        </w:rPr>
      </w:pPr>
    </w:p>
    <w:p>
      <w:pPr>
        <w:ind w:left="1020" w:right="140" w:hanging="507"/>
        <w:spacing w:after="0" w:line="26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2"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219" w:lineRule="exact"/>
        <w:rPr>
          <w:sz w:val="20"/>
          <w:szCs w:val="20"/>
          <w:color w:val="auto"/>
        </w:rPr>
      </w:pPr>
    </w:p>
    <w:p>
      <w:pPr>
        <w:ind w:right="120" w:firstLine="510"/>
        <w:spacing w:after="0" w:line="265" w:lineRule="auto"/>
        <w:rPr>
          <w:sz w:val="20"/>
          <w:szCs w:val="20"/>
          <w:color w:val="auto"/>
        </w:rPr>
      </w:pPr>
      <w:r>
        <w:rPr>
          <w:rFonts w:ascii="Arial" w:cs="Arial" w:eastAsia="Arial" w:hAnsi="Arial"/>
          <w:sz w:val="17"/>
          <w:szCs w:val="17"/>
          <w:color w:val="auto"/>
        </w:rPr>
        <w:t>We expect to need to obtain substantial additional funding in the future for our research and development activities and continuing operations. Sanofi reimburses us for almost all of our research and all of our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0" w:name="page31"/>
    <w:bookmarkEnd w:id="30"/>
    <w:p>
      <w:pPr>
        <w:ind w:right="400"/>
        <w:spacing w:after="0" w:line="267" w:lineRule="auto"/>
        <w:rPr>
          <w:sz w:val="20"/>
          <w:szCs w:val="20"/>
          <w:color w:val="auto"/>
        </w:rPr>
      </w:pPr>
      <w:r>
        <w:rPr>
          <w:rFonts w:ascii="Arial" w:cs="Arial" w:eastAsia="Arial" w:hAnsi="Arial"/>
          <w:sz w:val="18"/>
          <w:szCs w:val="18"/>
          <w:color w:val="auto"/>
        </w:rPr>
        <w:t>additional debt, making capital expenditures or declaring dividends. If we are unable to raise capital, we may need to delay, reduce or terminate planned activities to reduce costs. Doing so will likely harm our ability to execute our business plans.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31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53"/>
        </w:trPr>
        <w:tc>
          <w:tcPr>
            <w:tcW w:w="4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5"/>
              <w:spacing w:after="0" w:line="153"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3"/>
        </w:trPr>
        <w:tc>
          <w:tcPr>
            <w:tcW w:w="4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4"/>
          </w:tcPr>
          <w:p>
            <w:pPr>
              <w:jc w:val="right"/>
              <w:ind w:right="40"/>
              <w:spacing w:after="0" w:line="153"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(used in) provided by:</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43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(28,018)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(12,605)</w:t>
            </w:r>
          </w:p>
        </w:tc>
      </w:tr>
      <w:tr>
        <w:trPr>
          <w:trHeight w:val="227"/>
        </w:trPr>
        <w:tc>
          <w:tcPr>
            <w:tcW w:w="4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(59,716)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w:t>
            </w:r>
          </w:p>
        </w:tc>
        <w:tc>
          <w:tcPr>
            <w:tcW w:w="80" w:type="dxa"/>
            <w:vAlign w:val="bottom"/>
            <w:shd w:val="clear" w:color="auto" w:fill="CFF0FC"/>
          </w:tcPr>
          <w:p>
            <w:pPr>
              <w:spacing w:after="0"/>
              <w:rPr>
                <w:sz w:val="19"/>
                <w:szCs w:val="19"/>
                <w:color w:val="auto"/>
              </w:rPr>
            </w:pPr>
          </w:p>
        </w:tc>
      </w:tr>
      <w:tr>
        <w:trPr>
          <w:trHeight w:val="226"/>
        </w:trPr>
        <w:tc>
          <w:tcPr>
            <w:tcW w:w="4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253,744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tcPr>
          <w:p>
            <w:pPr>
              <w:spacing w:after="0"/>
              <w:rPr>
                <w:sz w:val="19"/>
                <w:szCs w:val="19"/>
                <w:color w:val="auto"/>
              </w:rPr>
            </w:pPr>
          </w:p>
        </w:tc>
      </w:tr>
      <w:tr>
        <w:trPr>
          <w:trHeight w:val="22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166,010</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(6,830)</w:t>
            </w: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3" w:lineRule="exact"/>
        <w:rPr>
          <w:sz w:val="20"/>
          <w:szCs w:val="20"/>
          <w:color w:val="auto"/>
        </w:rPr>
      </w:pPr>
    </w:p>
    <w:p>
      <w:pPr>
        <w:ind w:right="100" w:firstLine="510"/>
        <w:spacing w:after="0" w:line="251" w:lineRule="auto"/>
        <w:rPr>
          <w:sz w:val="20"/>
          <w:szCs w:val="20"/>
          <w:color w:val="auto"/>
        </w:rPr>
      </w:pPr>
      <w:r>
        <w:rPr>
          <w:rFonts w:ascii="Arial" w:cs="Arial" w:eastAsia="Arial" w:hAnsi="Arial"/>
          <w:sz w:val="18"/>
          <w:szCs w:val="18"/>
          <w:color w:val="auto"/>
        </w:rPr>
        <w:t>During the three months ended March 31, 2020, cash used in operating activities of $28.0 million was attributable to a net loss of $19.5 million and a net change of $11.5 million in our operating assets and liabilities, partially offset by a net change of $3.0 million in non-cash charges. The non-cash charges consisted of depreciation and amortization of $1.4 million and stock-based compensation expense of $1.6 million. The change in operating assets and liabilities was primarily due to a $3.2 million increase in prepaid expenses and other current assets primarily resulting from the timing of prepayments made for research and development activities, a $3.0 million decrease in deferred revenue associated with the Sanofi Agreement, and a $4.0 million decrease in accounts payable and accrued liabilities.</w:t>
      </w:r>
    </w:p>
    <w:p>
      <w:pPr>
        <w:spacing w:after="0" w:line="19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During the three months ended March 31, 2019, cash provided by operating activities of $12.6 million was attributable to a net loss of $10.1 million and a net change of $4.3 million in our operating assets and liabilities, partially offset by a net change of $1.8 million in non-cash charges. The non-cash charges consisted of depreciation and amortization of $0.8 million, stock-based compensation expense of $0.4 million, and a loss on disposal of property and equipment of $0.6 million. The change in operating assets and liabilities was primarily due to a $3.5 million decrease in deferred revenue associated with the Sanofi Agreement and a $0.6 million increase in receivables from a related party resulting from the Sanofi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13" w:lineRule="exact"/>
        <w:rPr>
          <w:sz w:val="20"/>
          <w:szCs w:val="20"/>
          <w:color w:val="auto"/>
        </w:rPr>
      </w:pPr>
    </w:p>
    <w:p>
      <w:pPr>
        <w:ind w:right="460" w:firstLine="510"/>
        <w:spacing w:after="0" w:line="257" w:lineRule="auto"/>
        <w:rPr>
          <w:sz w:val="20"/>
          <w:szCs w:val="20"/>
          <w:color w:val="auto"/>
        </w:rPr>
      </w:pPr>
      <w:r>
        <w:rPr>
          <w:rFonts w:ascii="Arial" w:cs="Arial" w:eastAsia="Arial" w:hAnsi="Arial"/>
          <w:sz w:val="18"/>
          <w:szCs w:val="18"/>
          <w:color w:val="auto"/>
        </w:rPr>
        <w:t>During the three months ended March 31, 2020, cash provided by investing activities of $59.7 million, was primarily comprised of purchases of marketable securities of $100.0 million and purchases of property and equipment of $0.6 million, partially offset by cash provided by maturities of marketable securities of $40.9 million.</w:t>
      </w:r>
    </w:p>
    <w:p>
      <w:pPr>
        <w:spacing w:after="0" w:line="188" w:lineRule="exact"/>
        <w:rPr>
          <w:sz w:val="20"/>
          <w:szCs w:val="20"/>
          <w:color w:val="auto"/>
        </w:rPr>
      </w:pPr>
    </w:p>
    <w:p>
      <w:pPr>
        <w:ind w:firstLine="510"/>
        <w:spacing w:after="0" w:line="267" w:lineRule="auto"/>
        <w:rPr>
          <w:sz w:val="20"/>
          <w:szCs w:val="20"/>
          <w:color w:val="auto"/>
        </w:rPr>
      </w:pPr>
      <w:r>
        <w:rPr>
          <w:rFonts w:ascii="Arial" w:cs="Arial" w:eastAsia="Arial" w:hAnsi="Arial"/>
          <w:sz w:val="18"/>
          <w:szCs w:val="18"/>
          <w:color w:val="auto"/>
        </w:rPr>
        <w:t>During the three months ended March 31, 2019 cash provided by investing activities of $5.8 million was primarily comprised of proceeds from sale of held-for-sale assets of $6.0 million, partially offset by purchases of property and equipment of $0.3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3" w:lineRule="exact"/>
        <w:rPr>
          <w:sz w:val="20"/>
          <w:szCs w:val="20"/>
          <w:color w:val="auto"/>
        </w:rPr>
      </w:pPr>
    </w:p>
    <w:p>
      <w:pPr>
        <w:ind w:right="280" w:firstLine="510"/>
        <w:spacing w:after="0" w:line="267" w:lineRule="auto"/>
        <w:rPr>
          <w:sz w:val="20"/>
          <w:szCs w:val="20"/>
          <w:color w:val="auto"/>
        </w:rPr>
      </w:pPr>
      <w:r>
        <w:rPr>
          <w:rFonts w:ascii="Arial" w:cs="Arial" w:eastAsia="Arial" w:hAnsi="Arial"/>
          <w:sz w:val="18"/>
          <w:szCs w:val="18"/>
          <w:color w:val="auto"/>
        </w:rPr>
        <w:t>During the three months ended March 31, 2020, cash provided by financing activities of $253.7 million was comprised primarily of proceeds from issuance of common stock, net of offering costs related to our IPO in February 2020.</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1" w:name="page32"/>
    <w:bookmarkEnd w:id="31"/>
    <w:p>
      <w:pPr>
        <w:ind w:right="100" w:firstLine="510"/>
        <w:spacing w:after="0" w:line="267" w:lineRule="auto"/>
        <w:rPr>
          <w:sz w:val="20"/>
          <w:szCs w:val="20"/>
          <w:color w:val="auto"/>
        </w:rPr>
      </w:pPr>
      <w:r>
        <w:rPr>
          <w:rFonts w:ascii="Arial" w:cs="Arial" w:eastAsia="Arial" w:hAnsi="Arial"/>
          <w:sz w:val="18"/>
          <w:szCs w:val="18"/>
          <w:color w:val="auto"/>
        </w:rPr>
        <w:t>During the three months ended March 31, 2019, cash provided by financing activities was comprised of proceeds from the issuance of common stock upon the exercise of stock options.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commitments and contractual obligations as of March 31,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1"/>
                <w:szCs w:val="11"/>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1-3 years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88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obligations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contractual obligations reflect our minimum payments due for office and laboratory space leases in Redwood City, California and Cambridge, Massachusetts, which are our operating leases, and our equipment leases, which are our capital leases. Our primary Redwood City lease commenced in January 2015 and as of March 31, 2020, ended in April 2023. As part of the Warp Drive acquisition, we assumed Warp Drive’s office and laboratory space lease in Cambridge, which ends in February 2023. In March 2019, we fully subleased the Cambridge lease to Casma Therapeutics, Inc., or Casma, on financial terms substantially the same as the original lease. The amounts reflected in the table above include our lease payments for the Cambridge lease, but do not reflect any offset for the sublease payments we are entitled to receive from Casma. The sublease by Casma and related sublease payments by Casma to us are fully guaranteed by Third Rock Ventures, LLC.</w:t>
      </w:r>
    </w:p>
    <w:p>
      <w:pPr>
        <w:spacing w:after="0" w:line="130" w:lineRule="exact"/>
        <w:rPr>
          <w:sz w:val="20"/>
          <w:szCs w:val="20"/>
          <w:color w:val="auto"/>
        </w:rPr>
      </w:pPr>
    </w:p>
    <w:p>
      <w:pPr>
        <w:ind w:right="400" w:firstLine="510"/>
        <w:spacing w:after="0" w:line="285" w:lineRule="auto"/>
        <w:rPr>
          <w:sz w:val="20"/>
          <w:szCs w:val="20"/>
          <w:color w:val="auto"/>
        </w:rPr>
      </w:pPr>
      <w:r>
        <w:rPr>
          <w:rFonts w:ascii="Arial" w:cs="Arial" w:eastAsia="Arial" w:hAnsi="Arial"/>
          <w:sz w:val="16"/>
          <w:szCs w:val="16"/>
          <w:color w:val="auto"/>
        </w:rPr>
        <w:t>In April 2020, we amended our Redwood City Lease to lease an additional 19,483 square feet of office, laboratory and research and development space located at 300 Saginaw Drive, Redwood City, California, or the 300 Building, beginning on December 15, 2020 and ending December 31,</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2030. Under the amendment, our existing lease term for the premises located at 700 Saginaw Drive, Redwood City, California, or the 700 Building, was extended until December 31, 2030. The annual base rent for the lease of the 300 Building is approximately $1.2 million until December 31, 2021, after which the annual base rent will increase by approximately 3.5% in each subsequent year of the lease term. The annual base rent for the lease of the 700</w:t>
      </w:r>
    </w:p>
    <w:p>
      <w:pPr>
        <w:ind w:right="240"/>
        <w:spacing w:after="0" w:line="297" w:lineRule="auto"/>
        <w:rPr>
          <w:sz w:val="20"/>
          <w:szCs w:val="20"/>
          <w:color w:val="auto"/>
        </w:rPr>
      </w:pPr>
      <w:r>
        <w:rPr>
          <w:rFonts w:ascii="Arial" w:cs="Arial" w:eastAsia="Arial" w:hAnsi="Arial"/>
          <w:sz w:val="16"/>
          <w:szCs w:val="16"/>
          <w:color w:val="auto"/>
        </w:rPr>
        <w:t>Building remains unchanged through April 30, 2023, and annual base rent for the lease of the 700 Building is approximately $2.8 million for the 12 month period ending April 30, 2024, after which the annual base rent increases by approximately 3.5% in each subsequent year of the lease term. These lease payments are not included in the above commitments and contractual obligations table as the lease amendment occurred after March 31, 2020.</w:t>
      </w:r>
    </w:p>
    <w:p>
      <w:pPr>
        <w:spacing w:after="0" w:line="159" w:lineRule="exact"/>
        <w:rPr>
          <w:sz w:val="20"/>
          <w:szCs w:val="20"/>
          <w:color w:val="auto"/>
        </w:rPr>
      </w:pPr>
    </w:p>
    <w:p>
      <w:pPr>
        <w:ind w:right="20" w:firstLine="510"/>
        <w:spacing w:after="0" w:line="304" w:lineRule="auto"/>
        <w:rPr>
          <w:sz w:val="20"/>
          <w:szCs w:val="20"/>
          <w:color w:val="auto"/>
        </w:rPr>
      </w:pPr>
      <w:r>
        <w:rPr>
          <w:rFonts w:ascii="Arial" w:cs="Arial" w:eastAsia="Arial" w:hAnsi="Arial"/>
          <w:sz w:val="16"/>
          <w:szCs w:val="16"/>
          <w:color w:val="auto"/>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 These payments are not included in this table of contractual obligations.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19"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w:t>
      </w:r>
    </w:p>
    <w:p>
      <w:pPr>
        <w:spacing w:after="0" w:line="119"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2" w:name="page33"/>
    <w:bookmarkEnd w:id="32"/>
    <w:p>
      <w:pPr>
        <w:ind w:right="300"/>
        <w:spacing w:after="0" w:line="295" w:lineRule="auto"/>
        <w:rPr>
          <w:sz w:val="20"/>
          <w:szCs w:val="20"/>
          <w:color w:val="auto"/>
        </w:rPr>
      </w:pPr>
      <w:r>
        <w:rPr>
          <w:rFonts w:ascii="Arial" w:cs="Arial" w:eastAsia="Arial" w:hAnsi="Arial"/>
          <w:sz w:val="16"/>
          <w:szCs w:val="16"/>
          <w:color w:val="auto"/>
        </w:rPr>
        <w:t>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5" w:lineRule="exact"/>
        <w:rPr>
          <w:sz w:val="20"/>
          <w:szCs w:val="20"/>
          <w:color w:val="auto"/>
        </w:rPr>
      </w:pPr>
    </w:p>
    <w:p>
      <w:pPr>
        <w:jc w:val="both"/>
        <w:ind w:right="40" w:firstLine="494"/>
        <w:spacing w:after="0" w:line="279" w:lineRule="auto"/>
        <w:rPr>
          <w:sz w:val="20"/>
          <w:szCs w:val="20"/>
          <w:color w:val="auto"/>
        </w:rPr>
      </w:pPr>
      <w:r>
        <w:rPr>
          <w:rFonts w:ascii="Arial" w:cs="Arial" w:eastAsia="Arial" w:hAnsi="Arial"/>
          <w:sz w:val="17"/>
          <w:szCs w:val="17"/>
          <w:color w:val="auto"/>
        </w:rPr>
        <w:t>For a discussion of our critical accounting estimates, see Part II, Item 7. Management’s Discussion and Analysis of Financial Condition and Results of Operations in our 2019 Annual Report on Form 10-K for the year ended December 31, 2019, as filed with the SEC on March 30, 2020, or our 2019 Form 10-K. There have been no material changes to these critical accounting policies and estimates since our 2019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19" w:lineRule="exact"/>
        <w:rPr>
          <w:sz w:val="20"/>
          <w:szCs w:val="20"/>
          <w:color w:val="auto"/>
        </w:rPr>
      </w:pPr>
    </w:p>
    <w:p>
      <w:pPr>
        <w:ind w:right="180" w:firstLine="510"/>
        <w:spacing w:after="0" w:line="267"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early adopted ASC 606 as the JOBS Act does not preclude an EGC from adopting a new or revised accounting standard earlier than the time that such standard applies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For a complete description of our significant accounting policies, see “Note 2. Summary of significant accounting policies” in the “Notes to Unaudited Condensed Consolidated Financial Statements” contained in Part I, Item 1 of this report and Note 2. Summary of significant accounting policies in the “Notes to Consolidated Financial Statements” contained in Part II, Item 8 of our 2019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260" w:firstLine="510"/>
        <w:spacing w:after="0" w:line="267" w:lineRule="auto"/>
        <w:rPr>
          <w:sz w:val="20"/>
          <w:szCs w:val="20"/>
          <w:color w:val="auto"/>
        </w:rPr>
      </w:pPr>
      <w:r>
        <w:rPr>
          <w:rFonts w:ascii="Arial" w:cs="Arial" w:eastAsia="Arial" w:hAnsi="Arial"/>
          <w:sz w:val="18"/>
          <w:szCs w:val="18"/>
          <w:color w:val="auto"/>
        </w:rPr>
        <w:t>For a description of the expected impact of recently adopted accounted pronouncements, see Note 2. Summary of significant accounting policies in the “Notes to Unaudited Condensed Consolidated Financial Statements” contained in Part I, Item 1 of this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3"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w:t>
      </w:r>
    </w:p>
    <w:p>
      <w:pPr>
        <w:spacing w:after="0" w:line="19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held cash, cash equivalents and marketable securities of $347.9 million and $122.8 million as of March 31, 2020 and December 31, 2019, respectively,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and marketable securities, an immediate one percent change in interest rates would not have a material effect on the fair value of our cash equivalents and marketable securities.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3"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3" w:lineRule="exact"/>
        <w:rPr>
          <w:sz w:val="20"/>
          <w:szCs w:val="20"/>
          <w:color w:val="auto"/>
        </w:rPr>
      </w:pPr>
    </w:p>
    <w:p>
      <w:pPr>
        <w:ind w:right="80" w:firstLine="510"/>
        <w:spacing w:after="0" w:line="251" w:lineRule="auto"/>
        <w:rPr>
          <w:sz w:val="20"/>
          <w:szCs w:val="20"/>
          <w:color w:val="auto"/>
        </w:rPr>
      </w:pPr>
      <w:r>
        <w:rPr>
          <w:rFonts w:ascii="Arial" w:cs="Arial" w:eastAsia="Arial" w:hAnsi="Arial"/>
          <w:sz w:val="18"/>
          <w:szCs w:val="18"/>
          <w:color w:val="auto"/>
        </w:rPr>
        <w:t>Our management, with the participation of our President and Chief Executive Officer and Chairman and our Vice President, Finance and Principal Accounting Officer, our principal executive officer and principal financial officer, respectively, have evaluated our disclosure controls and procedures (as defined in Rules 13a-15(e) and 15d-15(e) under the Securities Exchange Act of 1934, as amended) prior to the filing of this Quarterly Report on Form 10-Q. Based on that evaluation, our President and Chief Executive Officer and Chairman and our Vice President, Finance and Principal Accounting Officer have concluded that, as of the end of the period covered by this Quarterly Report on Form 10-Q, our disclosure controls and procedures were, in design and operation, effective to the reasonable assurance level.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3"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 13a-15(d) and 15d-15(d) of the Exchange Act that occurred during the three months ended March 31, 2020 that have materially affected, or are reasonably likely to materially affect, our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Over Financial Reporting</w:t>
      </w:r>
    </w:p>
    <w:p>
      <w:pPr>
        <w:spacing w:after="0" w:line="113"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54"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On February 7, 2020, former employees, Hirdesh Uppal and Catriona Carey, filed lawsuits against us in the Superior Court of the State of California, San Mateo County. Following their termination in March 2019, the plaintiffs alleged wrongful termination in violation of public policy, retaliatory termination in violation of the California labor code and defamation. The plaintiffs were seeking compensatory and punitive damages, general emotional distress damages, prejudgment interest, cost of the lawsuit and attorneys’ fees. We carefully evaluated the plaintiffs’ claims and believed that we had substantial and meritorious defenses to those claims. In March 2020, we settled all claims asserted by Catriona Carey and in May 2020, we settled all claims asserted by Hirdesh Uppal. This matter did not have a material adverse effect on our financial position, results of operations or cash flows.</w:t>
      </w:r>
    </w:p>
    <w:p>
      <w:pPr>
        <w:spacing w:after="0" w:line="168"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In addition, from time to time, we may become involved in other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i w:val="1"/>
          <w:iCs w:val="1"/>
          <w:color w:val="auto"/>
        </w:rPr>
        <w:t>Our business involves risks, some of which are described below. You should carefully consider these risks, as well as the other information in this Quarterly Report on Form 10-Q,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cash flows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1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183" w:lineRule="exact"/>
        <w:rPr>
          <w:sz w:val="20"/>
          <w:szCs w:val="20"/>
          <w:color w:val="auto"/>
        </w:rPr>
      </w:pPr>
    </w:p>
    <w:p>
      <w:pPr>
        <w:ind w:right="60" w:firstLine="510"/>
        <w:spacing w:after="0" w:line="265" w:lineRule="auto"/>
        <w:rPr>
          <w:sz w:val="20"/>
          <w:szCs w:val="20"/>
          <w:color w:val="auto"/>
        </w:rPr>
      </w:pPr>
      <w:r>
        <w:rPr>
          <w:rFonts w:ascii="Arial" w:cs="Arial" w:eastAsia="Arial" w:hAnsi="Arial"/>
          <w:sz w:val="17"/>
          <w:szCs w:val="17"/>
          <w:color w:val="auto"/>
        </w:rPr>
        <w:t>Since inception, we have incurred significant net losses. Our net losses were $47.7 million, $41.8 million, and $31.1 million for the years ended December 31, 2019, 2018 and 2017, respectively Our net loss was $19.5 million for the three months ended March 31, 2020. As of March 31, 2020, we had an accumulated deficit of $176.9 million. We have funded our operations to date primarily with proceeds from the sale of common stock and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3"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87" w:lineRule="exact"/>
        <w:rPr>
          <w:sz w:val="20"/>
          <w:szCs w:val="20"/>
          <w:color w:val="auto"/>
        </w:rPr>
      </w:pPr>
    </w:p>
    <w:p>
      <w:pPr>
        <w:ind w:left="1020" w:hanging="507"/>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completing clinical and preclinical development of product candidates and programs and identifying and developing new product candidates;</w:t>
      </w:r>
    </w:p>
    <w:p>
      <w:pPr>
        <w:spacing w:after="0" w:line="135" w:lineRule="exact"/>
        <w:rPr>
          <w:rFonts w:ascii="Arial" w:cs="Arial" w:eastAsia="Arial" w:hAnsi="Arial"/>
          <w:sz w:val="16"/>
          <w:szCs w:val="16"/>
          <w:color w:val="auto"/>
        </w:rPr>
      </w:pPr>
    </w:p>
    <w:p>
      <w:pPr>
        <w:ind w:left="1020" w:hanging="50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develop;</w:t>
      </w:r>
    </w:p>
    <w:p>
      <w:pPr>
        <w:spacing w:after="0" w:line="112" w:lineRule="exact"/>
        <w:rPr>
          <w:rFonts w:ascii="Arial" w:cs="Arial" w:eastAsia="Arial" w:hAnsi="Arial"/>
          <w:sz w:val="18"/>
          <w:szCs w:val="18"/>
          <w:color w:val="auto"/>
        </w:rPr>
      </w:pPr>
    </w:p>
    <w:p>
      <w:pPr>
        <w:ind w:left="1020" w:right="12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product candidates that we develop;</w:t>
      </w:r>
    </w:p>
    <w:p>
      <w:pPr>
        <w:spacing w:after="0" w:line="112" w:lineRule="exact"/>
        <w:rPr>
          <w:rFonts w:ascii="Arial" w:cs="Arial" w:eastAsia="Arial" w:hAnsi="Arial"/>
          <w:sz w:val="18"/>
          <w:szCs w:val="18"/>
          <w:color w:val="auto"/>
        </w:rPr>
      </w:pPr>
    </w:p>
    <w:p>
      <w:pPr>
        <w:ind w:left="1020" w:right="80" w:hanging="507"/>
        <w:spacing w:after="0" w:line="330"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7" w:lineRule="exact"/>
        <w:rPr>
          <w:rFonts w:ascii="Arial" w:cs="Arial" w:eastAsia="Arial" w:hAnsi="Arial"/>
          <w:sz w:val="16"/>
          <w:szCs w:val="16"/>
          <w:color w:val="auto"/>
        </w:rPr>
      </w:pPr>
    </w:p>
    <w:p>
      <w:pPr>
        <w:ind w:left="1020" w:hanging="50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that we develop as viable treatment options;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2" w:lineRule="exact"/>
        <w:rPr>
          <w:rFonts w:ascii="Arial" w:cs="Arial" w:eastAsia="Arial" w:hAnsi="Arial"/>
          <w:sz w:val="18"/>
          <w:szCs w:val="18"/>
          <w:color w:val="auto"/>
        </w:rPr>
      </w:pPr>
    </w:p>
    <w:p>
      <w:pPr>
        <w:ind w:left="1020" w:right="14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35" w:lineRule="exact"/>
        <w:rPr>
          <w:rFonts w:ascii="Arial" w:cs="Arial" w:eastAsia="Arial" w:hAnsi="Arial"/>
          <w:sz w:val="16"/>
          <w:szCs w:val="16"/>
          <w:color w:val="auto"/>
        </w:rPr>
      </w:pPr>
    </w:p>
    <w:p>
      <w:pPr>
        <w:ind w:left="1020" w:hanging="50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9" w:lineRule="exact"/>
        <w:rPr>
          <w:sz w:val="20"/>
          <w:szCs w:val="20"/>
          <w:color w:val="auto"/>
        </w:rPr>
      </w:pPr>
    </w:p>
    <w:p>
      <w:pPr>
        <w:ind w:right="180" w:firstLine="510"/>
        <w:spacing w:after="0" w:line="252"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9" w:lineRule="exact"/>
        <w:rPr>
          <w:sz w:val="20"/>
          <w:szCs w:val="20"/>
          <w:color w:val="auto"/>
        </w:rPr>
      </w:pPr>
    </w:p>
    <w:p>
      <w:pPr>
        <w:ind w:right="160"/>
        <w:spacing w:after="0" w:line="397"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ind w:firstLine="510"/>
        <w:spacing w:after="0" w:line="283" w:lineRule="auto"/>
        <w:rPr>
          <w:sz w:val="20"/>
          <w:szCs w:val="20"/>
          <w:color w:val="auto"/>
        </w:rPr>
      </w:pPr>
      <w:r>
        <w:rPr>
          <w:rFonts w:ascii="Arial" w:cs="Arial" w:eastAsia="Arial" w:hAnsi="Arial"/>
          <w:sz w:val="16"/>
          <w:szCs w:val="16"/>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 Preclinical studies and clinical trials and additional research and development activities will require substantial funds to complete. As of March 31, 2020, we had cash, cash equivalents and marketable securities of $347.9 million. In February 2020, we raised $250.7 million upon the completion of our initial public offering, or IPO, net of underwriting discounts and commissions and offering expenses.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60"/>
          </w:cols>
          <w:pgMar w:left="320" w:top="660" w:right="41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color w:val="auto"/>
        </w:rPr>
        <w:t>The timing and amount of our future capital requirements depend on many factors, including:</w:t>
      </w:r>
    </w:p>
    <w:p>
      <w:pPr>
        <w:spacing w:after="0" w:line="113" w:lineRule="exact"/>
        <w:rPr>
          <w:sz w:val="20"/>
          <w:szCs w:val="20"/>
          <w:color w:val="auto"/>
        </w:rPr>
      </w:pPr>
    </w:p>
    <w:p>
      <w:pPr>
        <w:ind w:left="102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product candidates we develop if clinical trials are successful;</w:t>
      </w:r>
    </w:p>
    <w:p>
      <w:pPr>
        <w:spacing w:after="0" w:line="124" w:lineRule="exact"/>
        <w:rPr>
          <w:rFonts w:ascii="Arial" w:cs="Arial" w:eastAsia="Arial" w:hAnsi="Arial"/>
          <w:sz w:val="17"/>
          <w:szCs w:val="17"/>
          <w:color w:val="auto"/>
        </w:rPr>
      </w:pPr>
    </w:p>
    <w:p>
      <w:pPr>
        <w:ind w:left="1020" w:right="6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72" w:lineRule="exact"/>
        <w:rPr>
          <w:rFonts w:ascii="Arial" w:cs="Arial" w:eastAsia="Arial" w:hAnsi="Arial"/>
          <w:sz w:val="18"/>
          <w:szCs w:val="18"/>
          <w:color w:val="auto"/>
        </w:rPr>
      </w:pPr>
    </w:p>
    <w:p>
      <w:pPr>
        <w:ind w:left="102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the Sanofi Agreement, each of which would trigger additional payments to us;</w:t>
      </w:r>
    </w:p>
    <w:p>
      <w:pPr>
        <w:spacing w:after="0" w:line="72" w:lineRule="exact"/>
        <w:rPr>
          <w:rFonts w:ascii="Arial" w:cs="Arial" w:eastAsia="Arial" w:hAnsi="Arial"/>
          <w:sz w:val="18"/>
          <w:szCs w:val="18"/>
          <w:color w:val="auto"/>
        </w:rPr>
      </w:pPr>
    </w:p>
    <w:p>
      <w:pPr>
        <w:jc w:val="both"/>
        <w:ind w:left="1020" w:right="60" w:hanging="507"/>
        <w:spacing w:after="0" w:line="25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81" w:lineRule="exact"/>
        <w:rPr>
          <w:rFonts w:ascii="Arial" w:cs="Arial" w:eastAsia="Arial" w:hAnsi="Arial"/>
          <w:sz w:val="18"/>
          <w:szCs w:val="18"/>
          <w:color w:val="auto"/>
        </w:rPr>
      </w:pPr>
    </w:p>
    <w:p>
      <w:pPr>
        <w:ind w:left="1020" w:right="10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2" w:lineRule="exact"/>
        <w:rPr>
          <w:rFonts w:ascii="Arial" w:cs="Arial" w:eastAsia="Arial" w:hAnsi="Arial"/>
          <w:sz w:val="18"/>
          <w:szCs w:val="18"/>
          <w:color w:val="auto"/>
        </w:rPr>
      </w:pPr>
    </w:p>
    <w:p>
      <w:pPr>
        <w:ind w:left="1020" w:right="18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219" w:lineRule="exact"/>
        <w:rPr>
          <w:sz w:val="20"/>
          <w:szCs w:val="20"/>
          <w:color w:val="auto"/>
        </w:rPr>
      </w:pPr>
    </w:p>
    <w:p>
      <w:pPr>
        <w:ind w:right="120" w:firstLine="510"/>
        <w:spacing w:after="0" w:line="251" w:lineRule="auto"/>
        <w:rPr>
          <w:sz w:val="20"/>
          <w:szCs w:val="20"/>
          <w:color w:val="auto"/>
        </w:rPr>
      </w:pPr>
      <w:r>
        <w:rPr>
          <w:rFonts w:ascii="Arial" w:cs="Arial" w:eastAsia="Arial" w:hAnsi="Arial"/>
          <w:sz w:val="18"/>
          <w:szCs w:val="18"/>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We believe that our existing cash, cash equivalents and marketable securities enable us to fund our planned operations for at least 12 months following the date of this report.</w:t>
      </w:r>
    </w:p>
    <w:p>
      <w:pPr>
        <w:spacing w:after="0" w:line="19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81" w:lineRule="exact"/>
        <w:rPr>
          <w:sz w:val="20"/>
          <w:szCs w:val="20"/>
          <w:color w:val="auto"/>
        </w:rPr>
      </w:pPr>
    </w:p>
    <w:p>
      <w:pPr>
        <w:ind w:left="1020" w:right="120" w:hanging="507"/>
        <w:spacing w:after="0" w:line="26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72" w:lineRule="exact"/>
        <w:rPr>
          <w:rFonts w:ascii="Arial" w:cs="Arial" w:eastAsia="Arial" w:hAnsi="Arial"/>
          <w:sz w:val="18"/>
          <w:szCs w:val="18"/>
          <w:color w:val="auto"/>
        </w:rPr>
      </w:pPr>
    </w:p>
    <w:p>
      <w:pPr>
        <w:jc w:val="both"/>
        <w:ind w:left="1020" w:right="420" w:hanging="507"/>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36"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To date, we have primarily financed our operations through the sale of preferred stock and common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would receive any distribution of our corporate assets. Attempting to secure additional financing may also divert our management from our day-to-day activities, which may adversely affect our ability to develop our product candidates.</w:t>
      </w:r>
    </w:p>
    <w:p>
      <w:pPr>
        <w:spacing w:after="0" w:line="279" w:lineRule="exact"/>
        <w:rPr>
          <w:sz w:val="20"/>
          <w:szCs w:val="20"/>
          <w:color w:val="auto"/>
        </w:rPr>
      </w:pPr>
    </w:p>
    <w:p>
      <w:pPr>
        <w:ind w:right="680"/>
        <w:spacing w:after="0" w:line="26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73" w:lineRule="exact"/>
        <w:rPr>
          <w:sz w:val="20"/>
          <w:szCs w:val="20"/>
          <w:color w:val="auto"/>
        </w:rPr>
      </w:pPr>
    </w:p>
    <w:p>
      <w:pPr>
        <w:ind w:right="780" w:firstLine="510"/>
        <w:spacing w:after="0" w:line="297"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49" w:lineRule="exact"/>
        <w:rPr>
          <w:sz w:val="20"/>
          <w:szCs w:val="20"/>
          <w:color w:val="auto"/>
        </w:rPr>
      </w:pPr>
    </w:p>
    <w:p>
      <w:pPr>
        <w:ind w:left="1020" w:right="320" w:hanging="507"/>
        <w:spacing w:after="0" w:line="26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2" w:lineRule="exact"/>
        <w:rPr>
          <w:rFonts w:ascii="Arial" w:cs="Arial" w:eastAsia="Arial" w:hAnsi="Arial"/>
          <w:sz w:val="18"/>
          <w:szCs w:val="18"/>
          <w:color w:val="auto"/>
        </w:rPr>
      </w:pPr>
    </w:p>
    <w:p>
      <w:pPr>
        <w:ind w:left="1020" w:right="660" w:hanging="507"/>
        <w:spacing w:after="0" w:line="297"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49" w:lineRule="exact"/>
        <w:rPr>
          <w:rFonts w:ascii="Arial" w:cs="Arial" w:eastAsia="Arial" w:hAnsi="Arial"/>
          <w:sz w:val="17"/>
          <w:szCs w:val="17"/>
          <w:color w:val="auto"/>
        </w:rPr>
      </w:pPr>
    </w:p>
    <w:p>
      <w:pPr>
        <w:ind w:left="1020" w:right="20" w:hanging="507"/>
        <w:spacing w:after="0" w:line="26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productions, and the terms of any agreements we enter into with third-party suppliers;</w:t>
      </w:r>
    </w:p>
    <w:p>
      <w:pPr>
        <w:spacing w:after="0" w:line="72" w:lineRule="exact"/>
        <w:rPr>
          <w:rFonts w:ascii="Arial" w:cs="Arial" w:eastAsia="Arial" w:hAnsi="Arial"/>
          <w:sz w:val="18"/>
          <w:szCs w:val="18"/>
          <w:color w:val="auto"/>
        </w:rPr>
      </w:pPr>
    </w:p>
    <w:p>
      <w:pPr>
        <w:ind w:left="1020" w:right="200" w:hanging="507"/>
        <w:spacing w:after="0" w:line="26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current or future collaboration or license agreement, including the Sanofi Agreement;</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coverage and reimbursement policies with respect to any future approved products, and potential future drugs that compete with our products;</w:t>
      </w:r>
    </w:p>
    <w:p>
      <w:pPr>
        <w:spacing w:after="0" w:line="135" w:lineRule="exact"/>
        <w:rPr>
          <w:rFonts w:ascii="Arial" w:cs="Arial" w:eastAsia="Arial" w:hAnsi="Arial"/>
          <w:sz w:val="16"/>
          <w:szCs w:val="16"/>
          <w:color w:val="auto"/>
        </w:rPr>
      </w:pPr>
    </w:p>
    <w:p>
      <w:pPr>
        <w:ind w:left="1020" w:right="160" w:hanging="507"/>
        <w:spacing w:after="0" w:line="26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2" w:lineRule="exact"/>
        <w:rPr>
          <w:rFonts w:ascii="Arial" w:cs="Arial" w:eastAsia="Arial" w:hAnsi="Arial"/>
          <w:sz w:val="18"/>
          <w:szCs w:val="18"/>
          <w:color w:val="auto"/>
        </w:rPr>
      </w:pPr>
    </w:p>
    <w:p>
      <w:pPr>
        <w:ind w:left="1020" w:right="280" w:hanging="507"/>
        <w:spacing w:after="0" w:line="330"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134"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38" w:name="page39"/>
    <w:bookmarkEnd w:id="38"/>
    <w:p>
      <w:pPr>
        <w:ind w:right="160" w:firstLine="510"/>
        <w:spacing w:after="0" w:line="295"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1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47" w:lineRule="exact"/>
        <w:rPr>
          <w:sz w:val="20"/>
          <w:szCs w:val="20"/>
          <w:color w:val="auto"/>
        </w:rPr>
      </w:pPr>
    </w:p>
    <w:p>
      <w:pPr>
        <w:jc w:val="both"/>
        <w:ind w:right="180" w:firstLine="510"/>
        <w:spacing w:after="0" w:line="257" w:lineRule="auto"/>
        <w:rPr>
          <w:sz w:val="20"/>
          <w:szCs w:val="20"/>
          <w:color w:val="auto"/>
        </w:rPr>
      </w:pPr>
      <w:r>
        <w:rPr>
          <w:rFonts w:ascii="Arial" w:cs="Arial" w:eastAsia="Arial" w:hAnsi="Arial"/>
          <w:sz w:val="18"/>
          <w:szCs w:val="18"/>
          <w:color w:val="auto"/>
        </w:rPr>
        <w:t>We are early in our development efforts, and we have only recently initiated our first clinical trials for our most advanced product candidate, RMC-4630. Our other programs are in the preclinical stage. We have invested substantially all of our efforts and financial resources in the identification of targets and preclinical development of small molecules to treat cancer.</w:t>
      </w:r>
    </w:p>
    <w:p>
      <w:pPr>
        <w:spacing w:after="0" w:line="188"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68"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8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13" w:lineRule="exact"/>
        <w:rPr>
          <w:sz w:val="20"/>
          <w:szCs w:val="20"/>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111" w:lineRule="exact"/>
        <w:rPr>
          <w:rFonts w:ascii="Arial" w:cs="Arial" w:eastAsia="Arial" w:hAnsi="Arial"/>
          <w:sz w:val="18"/>
          <w:szCs w:val="18"/>
          <w:color w:val="auto"/>
        </w:rPr>
      </w:pPr>
    </w:p>
    <w:p>
      <w:pPr>
        <w:ind w:left="1020" w:right="640" w:hanging="507"/>
        <w:spacing w:after="0" w:line="26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particularly where competitors may also be recruiting patients with KRAS</w:t>
      </w:r>
      <w:r>
        <w:rPr>
          <w:rFonts w:ascii="Arial" w:cs="Arial" w:eastAsia="Arial" w:hAnsi="Arial"/>
          <w:sz w:val="15"/>
          <w:szCs w:val="15"/>
          <w:color w:val="auto"/>
        </w:rPr>
        <w:t>G12C</w:t>
      </w:r>
      <w:r>
        <w:rPr>
          <w:rFonts w:ascii="Arial" w:cs="Arial" w:eastAsia="Arial" w:hAnsi="Arial"/>
          <w:sz w:val="18"/>
          <w:szCs w:val="18"/>
          <w:color w:val="auto"/>
        </w:rPr>
        <w:t xml:space="preserve"> mutations;</w:t>
      </w:r>
    </w:p>
    <w:p>
      <w:pPr>
        <w:spacing w:after="0" w:line="71" w:lineRule="exact"/>
        <w:rPr>
          <w:rFonts w:ascii="Arial" w:cs="Arial" w:eastAsia="Arial" w:hAnsi="Arial"/>
          <w:sz w:val="18"/>
          <w:szCs w:val="18"/>
          <w:color w:val="auto"/>
        </w:rPr>
      </w:pPr>
    </w:p>
    <w:p>
      <w:pPr>
        <w:ind w:left="1020" w:hanging="507"/>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product candidates in the intended populations;</w:t>
      </w:r>
    </w:p>
    <w:p>
      <w:pPr>
        <w:spacing w:after="0" w:line="135" w:lineRule="exact"/>
        <w:rPr>
          <w:rFonts w:ascii="Arial" w:cs="Arial" w:eastAsia="Arial" w:hAnsi="Arial"/>
          <w:sz w:val="16"/>
          <w:szCs w:val="16"/>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9" w:name="page40"/>
    <w:bookmarkEnd w:id="39"/>
    <w:p>
      <w:pPr>
        <w:ind w:left="1020" w:right="180" w:hanging="507"/>
        <w:spacing w:after="0" w:line="26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one of our product candidates is approved;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our portfolio of intellectual property rights, including patents, trade secrets and know-how;</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product candidates;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acceptance of the product candidate’s benefits and uses, if approved, by patients, the medical community and third-party payors;</w:t>
      </w:r>
    </w:p>
    <w:p>
      <w:pPr>
        <w:spacing w:after="0" w:line="124" w:lineRule="exact"/>
        <w:rPr>
          <w:rFonts w:ascii="Arial" w:cs="Arial" w:eastAsia="Arial" w:hAnsi="Arial"/>
          <w:sz w:val="17"/>
          <w:szCs w:val="17"/>
          <w:color w:val="auto"/>
        </w:rPr>
      </w:pPr>
    </w:p>
    <w:p>
      <w:pPr>
        <w:ind w:left="1020" w:right="660" w:hanging="507"/>
        <w:spacing w:after="0" w:line="26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following approval;</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1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29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81"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86"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57" w:lineRule="exact"/>
        <w:rPr>
          <w:sz w:val="20"/>
          <w:szCs w:val="20"/>
          <w:color w:val="auto"/>
        </w:rPr>
      </w:pPr>
    </w:p>
    <w:p>
      <w:pPr>
        <w:ind w:left="1020" w:hanging="50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35" w:lineRule="exact"/>
        <w:rPr>
          <w:rFonts w:ascii="Arial" w:cs="Arial" w:eastAsia="Arial" w:hAnsi="Arial"/>
          <w:sz w:val="16"/>
          <w:szCs w:val="16"/>
          <w:color w:val="auto"/>
        </w:rPr>
      </w:pPr>
    </w:p>
    <w:p>
      <w:pPr>
        <w:ind w:left="1020" w:right="180" w:hanging="507"/>
        <w:spacing w:after="0" w:line="26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 and</w:t>
      </w:r>
    </w:p>
    <w:p>
      <w:pPr>
        <w:spacing w:after="0" w:line="72" w:lineRule="exact"/>
        <w:rPr>
          <w:rFonts w:ascii="Arial" w:cs="Arial" w:eastAsia="Arial" w:hAnsi="Arial"/>
          <w:sz w:val="18"/>
          <w:szCs w:val="18"/>
          <w:color w:val="auto"/>
        </w:rPr>
      </w:pPr>
    </w:p>
    <w:p>
      <w:pPr>
        <w:ind w:left="1020" w:right="80" w:hanging="507"/>
        <w:spacing w:after="0" w:line="25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due to the COVID-19 pandemic, including the implementation of a temporary work from home policy following the California state order for all residents to remain at home, except as needed for essential activities, or reduced workforce resulting from illness, or delays at our third-party contract research organizations throughout the world, due to similar restrictions imposed by governments or reduced workforce resulting from illness.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40" w:name="page41"/>
    <w:bookmarkEnd w:id="40"/>
    <w:p>
      <w:pPr>
        <w:ind w:right="260" w:firstLine="510"/>
        <w:spacing w:after="0" w:line="253"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30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p>
    <w:p>
      <w:pPr>
        <w:spacing w:after="0" w:line="87"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We enlist various technologies and capabilities that give us chemical access to challenging sites on target proteins that generally are not accessible using conventional small molecule drug discovery approaches. For each target, we consider the specific structural, 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more than 500 daltons) “Beyond Rule of 5”, or BRo5, compounds that by definition do not satisfy these criteria. For example, our mTORC1 program and our RAS(ON) program each include pursuit of BRo5 compounds.</w:t>
      </w:r>
    </w:p>
    <w:p>
      <w:pPr>
        <w:spacing w:after="0" w:line="186"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small molecule drugs rather than larger molecules, contributing to the difficulty and uncertainty of development of BRo5 compounds.</w:t>
      </w:r>
    </w:p>
    <w:p>
      <w:pPr>
        <w:spacing w:after="0" w:line="193"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p>
    <w:p>
      <w:pPr>
        <w:spacing w:after="0" w:line="76" w:lineRule="exact"/>
        <w:rPr>
          <w:sz w:val="20"/>
          <w:szCs w:val="20"/>
          <w:color w:val="auto"/>
        </w:rPr>
      </w:pPr>
    </w:p>
    <w:p>
      <w:pPr>
        <w:ind w:left="1020" w:right="32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BRo5 small molecules may present difficult synthetic chemistry and manufacturing challenges, including with any scale-up of our product candidates in sufficient quality and quantity;</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BRo5 small molecules may be challenging to purify, including with any scale-up of our product candidates in sufficient quality and quantity;</w:t>
      </w:r>
    </w:p>
    <w:p>
      <w:pPr>
        <w:spacing w:after="0" w:line="135" w:lineRule="exact"/>
        <w:rPr>
          <w:rFonts w:ascii="Arial" w:cs="Arial" w:eastAsia="Arial" w:hAnsi="Arial"/>
          <w:sz w:val="16"/>
          <w:szCs w:val="16"/>
          <w:color w:val="auto"/>
        </w:rPr>
      </w:pPr>
    </w:p>
    <w:p>
      <w:pPr>
        <w:ind w:left="1020" w:hanging="50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BRo5 small molecules may present solubility challenges in the development of any such small molecules;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BRo5 small molecules may present oral absorption challenges due to low passive permeability;</w:t>
      </w:r>
    </w:p>
    <w:p>
      <w:pPr>
        <w:spacing w:after="0" w:line="112"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BRo5 small molecules may present cell permeability challenges, especially with regards to lipophilicity, hydrogen bond donor and rotatable bond count, and high topological polar surface area;</w:t>
      </w:r>
    </w:p>
    <w:p>
      <w:pPr>
        <w:spacing w:after="0" w:line="72" w:lineRule="exact"/>
        <w:rPr>
          <w:rFonts w:ascii="Arial" w:cs="Arial" w:eastAsia="Arial" w:hAnsi="Arial"/>
          <w:sz w:val="18"/>
          <w:szCs w:val="18"/>
          <w:color w:val="auto"/>
        </w:rPr>
      </w:pPr>
    </w:p>
    <w:p>
      <w:pPr>
        <w:ind w:left="1020" w:right="58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BRo5 small molecules we seek to develop may not achieve acceptable oral bioavailability for development and may result in poor pharmaceutical properties for formulation development;</w:t>
      </w:r>
    </w:p>
    <w:p>
      <w:pPr>
        <w:spacing w:after="0" w:line="72" w:lineRule="exact"/>
        <w:rPr>
          <w:rFonts w:ascii="Arial" w:cs="Arial" w:eastAsia="Arial" w:hAnsi="Arial"/>
          <w:sz w:val="18"/>
          <w:szCs w:val="18"/>
          <w:color w:val="auto"/>
        </w:rPr>
      </w:pPr>
    </w:p>
    <w:p>
      <w:pPr>
        <w:ind w:left="1020" w:right="60" w:hanging="507"/>
        <w:spacing w:after="0" w:line="25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BRo5 small molecules we seek to develop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our product candidate from the cell. As the site of action of our product candidates, for example the RAS protein, is inside the cell, expulsion by these transporter proteins may decrease the effective concentration in the cell sufficiently to reduce target inhibition and thereby render a RAS-dependent tumor less susceptible to the inhibitory activity of the product candidate;</w:t>
      </w:r>
    </w:p>
    <w:p>
      <w:pPr>
        <w:spacing w:after="0" w:line="87" w:lineRule="exact"/>
        <w:rPr>
          <w:rFonts w:ascii="Arial" w:cs="Arial" w:eastAsia="Arial" w:hAnsi="Arial"/>
          <w:sz w:val="18"/>
          <w:szCs w:val="18"/>
          <w:color w:val="auto"/>
        </w:rPr>
      </w:pPr>
    </w:p>
    <w:p>
      <w:pPr>
        <w:ind w:left="1020" w:right="80" w:hanging="507"/>
        <w:spacing w:after="0" w:line="297"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BRo5 small molecules may present central nervous system, or CNS, penetration challenges due to low passive permeability and/or interaction with efflux transporters at the blood brain barrier and this could limit sensitivity of CNS tumors to our product candidates;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41" w:name="page42"/>
    <w:bookmarkEnd w:id="41"/>
    <w:p>
      <w:pPr>
        <w:ind w:left="1020" w:right="260" w:hanging="507"/>
        <w:spacing w:after="0" w:line="26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BRo5 small molecules may present formulation vehicle challenges for administration, such as intravenous and subcutaneous administration, due to aspects such as solubility and hydrophobicity;</w:t>
      </w:r>
    </w:p>
    <w:p>
      <w:pPr>
        <w:spacing w:after="0" w:line="72" w:lineRule="exact"/>
        <w:rPr>
          <w:rFonts w:ascii="Arial" w:cs="Arial" w:eastAsia="Arial" w:hAnsi="Arial"/>
          <w:sz w:val="18"/>
          <w:szCs w:val="18"/>
          <w:color w:val="auto"/>
        </w:rPr>
      </w:pPr>
    </w:p>
    <w:p>
      <w:pPr>
        <w:ind w:left="1020" w:right="60" w:hanging="507"/>
        <w:spacing w:after="0" w:line="297"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BRo5 small molecules may present stability and shelf-life limitations due to the incorporation of labile functionality in our scaffolds, including for example in the development of RMC-5552 which currently requires a cold chain storage of zero degrees Celsius; and</w:t>
      </w:r>
    </w:p>
    <w:p>
      <w:pPr>
        <w:spacing w:after="0" w:line="49" w:lineRule="exact"/>
        <w:rPr>
          <w:rFonts w:ascii="Arial" w:cs="Arial" w:eastAsia="Arial" w:hAnsi="Arial"/>
          <w:sz w:val="17"/>
          <w:szCs w:val="17"/>
          <w:color w:val="auto"/>
        </w:rPr>
      </w:pPr>
    </w:p>
    <w:p>
      <w:pPr>
        <w:ind w:left="1020" w:right="40" w:hanging="507"/>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w:t>
      </w:r>
    </w:p>
    <w:p>
      <w:pPr>
        <w:spacing w:after="0" w:line="188"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In particular, competitors may develop and commercialize a product that competes with a product candidate we may develop from our RAS(ON) program as some of our competitors in this area are pursuing conventional small molecules directed to other forms of RAS, such as RAS(OFF), and are further along in development than we currently are. Any such setbacks in our research and development of a BRo5 small molecule could have a material adverse effect on our business and operating results.</w:t>
      </w:r>
    </w:p>
    <w:p>
      <w:pPr>
        <w:spacing w:after="0" w:line="290" w:lineRule="exact"/>
        <w:rPr>
          <w:sz w:val="20"/>
          <w:szCs w:val="20"/>
          <w:color w:val="auto"/>
        </w:rPr>
      </w:pPr>
    </w:p>
    <w:p>
      <w:pPr>
        <w:ind w:right="120"/>
        <w:spacing w:after="0" w:line="330" w:lineRule="auto"/>
        <w:rPr>
          <w:sz w:val="20"/>
          <w:szCs w:val="20"/>
          <w:color w:val="auto"/>
        </w:rPr>
      </w:pPr>
      <w:r>
        <w:rPr>
          <w:rFonts w:ascii="Arial" w:cs="Arial" w:eastAsia="Arial" w:hAnsi="Arial"/>
          <w:sz w:val="16"/>
          <w:szCs w:val="16"/>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27" w:lineRule="exact"/>
        <w:rPr>
          <w:sz w:val="20"/>
          <w:szCs w:val="20"/>
          <w:color w:val="auto"/>
        </w:rPr>
      </w:pPr>
    </w:p>
    <w:p>
      <w:pPr>
        <w:ind w:right="280" w:firstLine="510"/>
        <w:spacing w:after="0" w:line="270" w:lineRule="auto"/>
        <w:rPr>
          <w:sz w:val="20"/>
          <w:szCs w:val="20"/>
          <w:color w:val="auto"/>
        </w:rPr>
      </w:pPr>
      <w:r>
        <w:rPr>
          <w:rFonts w:ascii="Arial" w:cs="Arial" w:eastAsia="Arial" w:hAnsi="Arial"/>
          <w:sz w:val="17"/>
          <w:szCs w:val="17"/>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13" w:lineRule="exact"/>
        <w:rPr>
          <w:sz w:val="20"/>
          <w:szCs w:val="20"/>
          <w:color w:val="auto"/>
        </w:rPr>
      </w:pPr>
    </w:p>
    <w:p>
      <w:pPr>
        <w:ind w:left="1020" w:hanging="507"/>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24" w:lineRule="exact"/>
        <w:rPr>
          <w:rFonts w:ascii="Arial" w:cs="Arial" w:eastAsia="Arial" w:hAnsi="Arial"/>
          <w:sz w:val="17"/>
          <w:szCs w:val="17"/>
          <w:color w:val="auto"/>
        </w:rPr>
      </w:pPr>
    </w:p>
    <w:p>
      <w:pPr>
        <w:ind w:left="1020" w:hanging="507"/>
        <w:spacing w:after="0" w:line="26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or effective for its proposed indication or indications;</w:t>
      </w:r>
    </w:p>
    <w:p>
      <w:pPr>
        <w:spacing w:after="0" w:line="72" w:lineRule="exact"/>
        <w:rPr>
          <w:rFonts w:ascii="Arial" w:cs="Arial" w:eastAsia="Arial" w:hAnsi="Arial"/>
          <w:sz w:val="18"/>
          <w:szCs w:val="18"/>
          <w:color w:val="auto"/>
        </w:rPr>
      </w:pPr>
    </w:p>
    <w:p>
      <w:pPr>
        <w:ind w:left="1020" w:right="200" w:hanging="507"/>
        <w:spacing w:after="0" w:line="26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2" w:lineRule="exact"/>
        <w:rPr>
          <w:rFonts w:ascii="Arial" w:cs="Arial" w:eastAsia="Arial" w:hAnsi="Arial"/>
          <w:sz w:val="18"/>
          <w:szCs w:val="18"/>
          <w:color w:val="auto"/>
        </w:rPr>
      </w:pPr>
    </w:p>
    <w:p>
      <w:pPr>
        <w:ind w:left="1020" w:right="160" w:hanging="507"/>
        <w:spacing w:after="0" w:line="26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preclinical studies;</w:t>
      </w:r>
    </w:p>
    <w:p>
      <w:pPr>
        <w:spacing w:after="0" w:line="72" w:lineRule="exact"/>
        <w:rPr>
          <w:rFonts w:ascii="Arial" w:cs="Arial" w:eastAsia="Arial" w:hAnsi="Arial"/>
          <w:sz w:val="18"/>
          <w:szCs w:val="18"/>
          <w:color w:val="auto"/>
        </w:rPr>
      </w:pPr>
    </w:p>
    <w:p>
      <w:pPr>
        <w:ind w:left="1020" w:right="80" w:hanging="507"/>
        <w:spacing w:after="0" w:line="26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72" w:lineRule="exact"/>
        <w:rPr>
          <w:rFonts w:ascii="Arial" w:cs="Arial" w:eastAsia="Arial" w:hAnsi="Arial"/>
          <w:sz w:val="18"/>
          <w:szCs w:val="18"/>
          <w:color w:val="auto"/>
        </w:rPr>
      </w:pPr>
    </w:p>
    <w:p>
      <w:pPr>
        <w:ind w:left="1020" w:right="200" w:hanging="507"/>
        <w:spacing w:after="0" w:line="26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72"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9"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2" w:name="page43"/>
    <w:bookmarkEnd w:id="42"/>
    <w:p>
      <w:pPr>
        <w:ind w:right="360" w:firstLine="510"/>
        <w:spacing w:after="0" w:line="252"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3"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49" w:lineRule="exact"/>
        <w:rPr>
          <w:sz w:val="20"/>
          <w:szCs w:val="20"/>
          <w:color w:val="auto"/>
        </w:rPr>
      </w:pPr>
    </w:p>
    <w:p>
      <w:pPr>
        <w:ind w:firstLine="510"/>
        <w:spacing w:after="0" w:line="304" w:lineRule="auto"/>
        <w:rPr>
          <w:sz w:val="20"/>
          <w:szCs w:val="20"/>
          <w:color w:val="auto"/>
        </w:rPr>
      </w:pPr>
      <w:r>
        <w:rPr>
          <w:rFonts w:ascii="Arial" w:cs="Arial" w:eastAsia="Arial" w:hAnsi="Arial"/>
          <w:sz w:val="16"/>
          <w:szCs w:val="16"/>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54" w:lineRule="exact"/>
        <w:rPr>
          <w:sz w:val="20"/>
          <w:szCs w:val="20"/>
          <w:color w:val="auto"/>
        </w:rPr>
      </w:pPr>
    </w:p>
    <w:p>
      <w:pPr>
        <w:jc w:val="both"/>
        <w:ind w:right="180" w:firstLine="510"/>
        <w:spacing w:after="0" w:line="257"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81" w:lineRule="exact"/>
        <w:rPr>
          <w:sz w:val="20"/>
          <w:szCs w:val="20"/>
          <w:color w:val="auto"/>
        </w:rPr>
      </w:pPr>
    </w:p>
    <w:p>
      <w:pPr>
        <w:ind w:left="1020" w:right="80" w:hanging="507"/>
        <w:spacing w:after="0" w:line="26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72" w:lineRule="exact"/>
        <w:rPr>
          <w:rFonts w:ascii="Arial" w:cs="Arial" w:eastAsia="Arial" w:hAnsi="Arial"/>
          <w:sz w:val="18"/>
          <w:szCs w:val="18"/>
          <w:color w:val="auto"/>
        </w:rPr>
      </w:pPr>
    </w:p>
    <w:p>
      <w:pPr>
        <w:ind w:left="1020" w:right="380" w:hanging="507"/>
        <w:spacing w:after="0" w:line="26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12" w:lineRule="exact"/>
        <w:rPr>
          <w:rFonts w:ascii="Arial" w:cs="Arial" w:eastAsia="Arial" w:hAnsi="Arial"/>
          <w:sz w:val="18"/>
          <w:szCs w:val="18"/>
          <w:color w:val="auto"/>
        </w:rPr>
      </w:pPr>
    </w:p>
    <w:p>
      <w:pPr>
        <w:ind w:left="1020" w:right="60" w:hanging="507"/>
        <w:spacing w:after="0" w:line="25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with mutations in the signaling pathways our therapies are designed to target, or enrollment in these clinical trials may be slower than we anticipate or participants may drop out of these clinical trials or fail to return for post-treatment follow-up at a higher rate than we anticipate;</w:t>
      </w:r>
    </w:p>
    <w:p>
      <w:pPr>
        <w:spacing w:after="0" w:line="81" w:lineRule="exact"/>
        <w:rPr>
          <w:rFonts w:ascii="Arial" w:cs="Arial" w:eastAsia="Arial" w:hAnsi="Arial"/>
          <w:sz w:val="18"/>
          <w:szCs w:val="18"/>
          <w:color w:val="auto"/>
        </w:rPr>
      </w:pPr>
    </w:p>
    <w:p>
      <w:pPr>
        <w:jc w:val="both"/>
        <w:ind w:left="1020" w:hanging="507"/>
        <w:spacing w:after="0" w:line="330"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7" w:lineRule="exact"/>
        <w:rPr>
          <w:rFonts w:ascii="Arial" w:cs="Arial" w:eastAsia="Arial" w:hAnsi="Arial"/>
          <w:sz w:val="16"/>
          <w:szCs w:val="16"/>
          <w:color w:val="auto"/>
        </w:rPr>
      </w:pPr>
    </w:p>
    <w:p>
      <w:pPr>
        <w:ind w:left="1020" w:right="160" w:hanging="507"/>
        <w:spacing w:after="0" w:line="26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collaborators may delay the development process by waiting to take action or focusing on other priorities.</w:t>
      </w:r>
    </w:p>
    <w:p>
      <w:pPr>
        <w:spacing w:after="0" w:line="219"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71"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3" w:name="page44"/>
    <w:bookmarkEnd w:id="43"/>
    <w:p>
      <w:pPr>
        <w:ind w:right="20" w:firstLine="510"/>
        <w:spacing w:after="0" w:line="285" w:lineRule="auto"/>
        <w:rPr>
          <w:sz w:val="20"/>
          <w:szCs w:val="20"/>
          <w:color w:val="auto"/>
        </w:rPr>
      </w:pPr>
      <w:r>
        <w:rPr>
          <w:rFonts w:ascii="Arial" w:cs="Arial" w:eastAsia="Arial" w:hAnsi="Arial"/>
          <w:sz w:val="16"/>
          <w:szCs w:val="16"/>
          <w:color w:val="auto"/>
        </w:rPr>
        <w:t>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71" w:lineRule="exact"/>
        <w:rPr>
          <w:sz w:val="20"/>
          <w:szCs w:val="20"/>
          <w:color w:val="auto"/>
        </w:rPr>
      </w:pPr>
    </w:p>
    <w:p>
      <w:pPr>
        <w:jc w:val="both"/>
        <w:ind w:right="40" w:firstLine="510"/>
        <w:spacing w:after="0" w:line="257" w:lineRule="auto"/>
        <w:rPr>
          <w:sz w:val="20"/>
          <w:szCs w:val="20"/>
          <w:color w:val="auto"/>
        </w:rPr>
      </w:pPr>
      <w:r>
        <w:rPr>
          <w:rFonts w:ascii="Arial" w:cs="Arial" w:eastAsia="Arial" w:hAnsi="Arial"/>
          <w:sz w:val="18"/>
          <w:szCs w:val="18"/>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188" w:lineRule="exact"/>
        <w:rPr>
          <w:sz w:val="20"/>
          <w:szCs w:val="20"/>
          <w:color w:val="auto"/>
        </w:rPr>
      </w:pPr>
    </w:p>
    <w:p>
      <w:pPr>
        <w:jc w:val="both"/>
        <w:ind w:right="220" w:firstLine="510"/>
        <w:spacing w:after="0" w:line="257"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29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8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w:t>
      </w:r>
    </w:p>
    <w:p>
      <w:pPr>
        <w:spacing w:after="0" w:line="113"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13" w:lineRule="exact"/>
        <w:rPr>
          <w:sz w:val="20"/>
          <w:szCs w:val="20"/>
          <w:color w:val="auto"/>
        </w:rPr>
      </w:pPr>
    </w:p>
    <w:p>
      <w:pPr>
        <w:ind w:firstLine="510"/>
        <w:spacing w:after="0" w:line="282" w:lineRule="auto"/>
        <w:rPr>
          <w:sz w:val="20"/>
          <w:szCs w:val="20"/>
          <w:color w:val="auto"/>
        </w:rPr>
      </w:pPr>
      <w:r>
        <w:rPr>
          <w:rFonts w:ascii="Arial" w:cs="Arial" w:eastAsia="Arial" w:hAnsi="Arial"/>
          <w:sz w:val="16"/>
          <w:szCs w:val="16"/>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For example, we have reported interim Phase 1 clinical data for RMC-4630 as a single agent. As of the cutoff date, of November 6, 2019, 63 patients had received treatment: 49 patients on a daily dosing schedule with a median exposure to study drug of only 1.8 months, and 14 patients on an intermittent dosing schedule, with median exposure to study drug of only 1.6 months. We have also reported interim Phase 1b/2 clinical data for RMC-4630 in combination with the MEK inhibitor cobimetinib. As of the cutoff date of November 14, 2019, these data included eight patients with median exposure to study drug of only 1.4 months. Our clinical trial program is ongoing, and the final results may be materially different from what we previously reported.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4" w:name="page45"/>
    <w:bookmarkEnd w:id="44"/>
    <w:p>
      <w:pPr>
        <w:ind w:right="100"/>
        <w:spacing w:after="0" w:line="267" w:lineRule="auto"/>
        <w:rPr>
          <w:sz w:val="20"/>
          <w:szCs w:val="20"/>
          <w:color w:val="auto"/>
        </w:rPr>
      </w:pPr>
      <w:r>
        <w:rPr>
          <w:rFonts w:ascii="Arial" w:cs="Arial" w:eastAsia="Arial" w:hAnsi="Arial"/>
          <w:sz w:val="18"/>
          <w:szCs w:val="18"/>
          <w:color w:val="auto"/>
        </w:rPr>
        <w:t>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encounter difficulties enrolling patients in our clinical trials, our clinical development activities could be delayed or otherwise be adversely affected.</w:t>
      </w:r>
    </w:p>
    <w:p>
      <w:pPr>
        <w:spacing w:after="0" w:line="15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81" w:lineRule="exact"/>
        <w:rPr>
          <w:sz w:val="20"/>
          <w:szCs w:val="20"/>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enroll a sufficient number of patients with mutations in the signaling pathways our therapies are designed to target;</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2" w:lineRule="exact"/>
        <w:rPr>
          <w:rFonts w:ascii="Arial" w:cs="Arial" w:eastAsia="Arial" w:hAnsi="Arial"/>
          <w:sz w:val="18"/>
          <w:szCs w:val="18"/>
          <w:color w:val="auto"/>
        </w:rPr>
      </w:pPr>
    </w:p>
    <w:p>
      <w:pPr>
        <w:ind w:left="1020" w:right="700" w:hanging="507"/>
        <w:spacing w:after="0" w:line="26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72" w:lineRule="exact"/>
        <w:rPr>
          <w:rFonts w:ascii="Arial" w:cs="Arial" w:eastAsia="Arial" w:hAnsi="Arial"/>
          <w:sz w:val="18"/>
          <w:szCs w:val="18"/>
          <w:color w:val="auto"/>
        </w:rPr>
      </w:pPr>
    </w:p>
    <w:p>
      <w:pPr>
        <w:ind w:left="1020" w:right="420" w:hanging="507"/>
        <w:spacing w:after="0" w:line="26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on the trial through the completion of evaluation;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our clinical trial investigators to enroll patients in cases of outbreak of disease, including COVID-19, or other natural disasters.</w:t>
      </w:r>
    </w:p>
    <w:p>
      <w:pPr>
        <w:spacing w:after="0" w:line="242" w:lineRule="exact"/>
        <w:rPr>
          <w:sz w:val="20"/>
          <w:szCs w:val="20"/>
          <w:color w:val="auto"/>
        </w:rPr>
      </w:pPr>
    </w:p>
    <w:p>
      <w:pPr>
        <w:ind w:right="100" w:firstLine="510"/>
        <w:spacing w:after="0" w:line="266"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14"/>
          <w:szCs w:val="14"/>
          <w:color w:val="auto"/>
        </w:rPr>
        <w:t>G12C</w:t>
      </w:r>
      <w:r>
        <w:rPr>
          <w:rFonts w:ascii="Arial" w:cs="Arial" w:eastAsia="Arial" w:hAnsi="Arial"/>
          <w:sz w:val="17"/>
          <w:szCs w:val="17"/>
          <w:color w:val="auto"/>
        </w:rPr>
        <w:t xml:space="preserve"> mutations)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trials.</w:t>
      </w:r>
    </w:p>
    <w:p>
      <w:pPr>
        <w:spacing w:after="0" w:line="18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services, we would likely experience delays in advancing these trials. Currently, we expect no material impact on the clinical supply of RMC-4630.</w:t>
      </w:r>
    </w:p>
    <w:p>
      <w:pPr>
        <w:spacing w:after="0" w:line="231" w:lineRule="exact"/>
        <w:rPr>
          <w:sz w:val="20"/>
          <w:szCs w:val="20"/>
          <w:color w:val="auto"/>
        </w:rPr>
      </w:pPr>
    </w:p>
    <w:p>
      <w:pPr>
        <w:ind w:right="240" w:firstLine="510"/>
        <w:spacing w:after="0" w:line="26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286"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8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p>
    <w:p>
      <w:pPr>
        <w:spacing w:after="0" w:line="17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RMC-4630-01 study is evaluating the safety, pharmacokinetics and pharmacodynamic effects of RMC-4630 as a single agent under daily and intermittent schedules. For those receiving RMC-4630 on the intermittent dosing schedule, there was one treatment-related serious adverse event, or SAE, (grade 3 abdominal distention) as of the cutoff date of November 6, 2019. No treatment-related grade 4 or grade 5 adverse events, or AEs, had been reported as of the cutoff date. The most common treatment-related AEs for the intermittent dosing group were anemia (35.7%), fatigue (35.7%), thrombocytopenia (35.7%) and edema (28.6%). For those receiving RMC-4630 on the daily schedule, three SAEs were deemed possibly or probably related to the treatment (dehydration, anasarca (generalized edema) and thrombocytopenia), and an additional three SAEs (extensive metastases of tumor in the lungs with grade 4 respiratory failure, fever and radiologic evidence of infectious pneumonia with grade 4 respiratory failure and a single reading of grade 3 prologation of QTc) were reported in which the investigator was unable to rule out an association with the treatment. The most common treatment-related AEs for the daily dosing group were thrombocytopenia (28.6%), diarrhea (24.5%) and anemia (22.4%).</w:t>
      </w:r>
    </w:p>
    <w:p>
      <w:pPr>
        <w:spacing w:after="0" w:line="17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RMC-4630-02 study is evaluating the safety, tolerability and pharmacokinetics of RMC-4630 and cobimetinib using intermittent dosing of RMC-4630 with daily dosing of cobimetinib. Alternative dosing schedules using intermittent dosing of one or both RMC-4630 and cobimetinib are also under evaluation. Adverse events were consistent with the expected mechanistic effects of both SHP2 inhibition and MEK inhibition. No SAEs or grade 4 or 5 AEs were reported in the RMC-4360-02 study as of the cutoff date of November 14, 2019. The most common AEs related to RMC-4630 were diarrhea (25.0%) and edema (25.0%). The most common AE related to cobimetinib was edema (25.0%).</w:t>
      </w:r>
    </w:p>
    <w:p>
      <w:pPr>
        <w:spacing w:after="0" w:line="18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180"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Furthermore, certain of our product candidates, such as RMC-4630, are currently being, and may in the future be, co-administered with approved or experimental therapies, such as Roche’s cobimetinib, Amgen’s AMG 510, or Lilly’s LY-3214996. These combinations may have additional side effects. The uncertainty resulting from the use of our product candidates in combination with other therapies may make it difficult to accurately predict side effects in future clinical trials.</w:t>
      </w:r>
    </w:p>
    <w:p>
      <w:pPr>
        <w:spacing w:after="0" w:line="193" w:lineRule="exact"/>
        <w:rPr>
          <w:sz w:val="20"/>
          <w:szCs w:val="20"/>
          <w:color w:val="auto"/>
        </w:rPr>
      </w:pPr>
    </w:p>
    <w:p>
      <w:pPr>
        <w:ind w:right="520" w:firstLine="510"/>
        <w:spacing w:after="0" w:line="26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73" w:lineRule="exact"/>
        <w:rPr>
          <w:sz w:val="20"/>
          <w:szCs w:val="20"/>
          <w:color w:val="auto"/>
        </w:rPr>
      </w:pPr>
    </w:p>
    <w:p>
      <w:pPr>
        <w:ind w:left="1020" w:hanging="50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2" w:lineRule="exact"/>
        <w:rPr>
          <w:rFonts w:ascii="Arial" w:cs="Arial" w:eastAsia="Arial" w:hAnsi="Arial"/>
          <w:sz w:val="18"/>
          <w:szCs w:val="18"/>
          <w:color w:val="auto"/>
        </w:rPr>
      </w:pPr>
    </w:p>
    <w:p>
      <w:pPr>
        <w:ind w:left="1020" w:right="560" w:hanging="507"/>
        <w:spacing w:after="0" w:line="26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2" w:lineRule="exact"/>
        <w:rPr>
          <w:rFonts w:ascii="Arial" w:cs="Arial" w:eastAsia="Arial" w:hAnsi="Arial"/>
          <w:sz w:val="18"/>
          <w:szCs w:val="18"/>
          <w:color w:val="auto"/>
        </w:rPr>
      </w:pPr>
    </w:p>
    <w:p>
      <w:pPr>
        <w:ind w:left="1020" w:right="320" w:hanging="507"/>
        <w:spacing w:after="0" w:line="26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46" w:name="page47"/>
    <w:bookmarkEnd w:id="46"/>
    <w:p>
      <w:pPr>
        <w:ind w:left="1020" w:hanging="50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81" w:lineRule="exact"/>
        <w:rPr>
          <w:sz w:val="20"/>
          <w:szCs w:val="20"/>
          <w:color w:val="auto"/>
        </w:rPr>
      </w:pPr>
    </w:p>
    <w:p>
      <w:pPr>
        <w:ind w:right="40" w:firstLine="510"/>
        <w:spacing w:after="0" w:line="265" w:lineRule="auto"/>
        <w:rPr>
          <w:sz w:val="20"/>
          <w:szCs w:val="20"/>
          <w:color w:val="auto"/>
        </w:rPr>
      </w:pPr>
      <w:r>
        <w:rPr>
          <w:rFonts w:ascii="Arial" w:cs="Arial" w:eastAsia="Arial" w:hAnsi="Arial"/>
          <w:sz w:val="17"/>
          <w:szCs w:val="17"/>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1" w:lineRule="exact"/>
        <w:rPr>
          <w:sz w:val="20"/>
          <w:szCs w:val="20"/>
          <w:color w:val="auto"/>
        </w:rPr>
      </w:pPr>
    </w:p>
    <w:p>
      <w:pPr>
        <w:ind w:right="640" w:firstLine="510"/>
        <w:spacing w:after="0" w:line="330" w:lineRule="auto"/>
        <w:rPr>
          <w:sz w:val="20"/>
          <w:szCs w:val="20"/>
          <w:color w:val="auto"/>
        </w:rPr>
      </w:pPr>
      <w:r>
        <w:rPr>
          <w:rFonts w:ascii="Arial" w:cs="Arial" w:eastAsia="Arial" w:hAnsi="Arial"/>
          <w:sz w:val="16"/>
          <w:szCs w:val="16"/>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24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73"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47" w:name="page48"/>
    <w:bookmarkEnd w:id="47"/>
    <w:p>
      <w:pPr>
        <w:ind w:right="60" w:firstLine="510"/>
        <w:spacing w:after="0" w:line="291"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events in the field of oncology could damage public perception of our current or future product candidates and negatively affect our business.</w:t>
      </w:r>
    </w:p>
    <w:p>
      <w:pPr>
        <w:spacing w:after="0" w:line="159"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19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p>
    <w:p>
      <w:pPr>
        <w:spacing w:after="0" w:line="295"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81" w:lineRule="exact"/>
        <w:rPr>
          <w:sz w:val="20"/>
          <w:szCs w:val="20"/>
          <w:color w:val="auto"/>
        </w:rPr>
      </w:pPr>
    </w:p>
    <w:p>
      <w:pPr>
        <w:ind w:right="60" w:firstLine="510"/>
        <w:spacing w:after="0" w:line="283"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66" w:lineRule="exact"/>
        <w:rPr>
          <w:sz w:val="20"/>
          <w:szCs w:val="20"/>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2"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filed or suspension or revocation of license approvals;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9" w:lineRule="exact"/>
        <w:rPr>
          <w:sz w:val="20"/>
          <w:szCs w:val="20"/>
          <w:color w:val="auto"/>
        </w:rPr>
      </w:pPr>
    </w:p>
    <w:p>
      <w:pPr>
        <w:ind w:right="160" w:firstLine="510"/>
        <w:spacing w:after="0" w:line="252"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8" w:name="page49"/>
    <w:bookmarkEnd w:id="48"/>
    <w:p>
      <w:pPr>
        <w:ind w:right="80"/>
        <w:spacing w:after="0" w:line="267"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73" w:lineRule="exact"/>
        <w:rPr>
          <w:sz w:val="20"/>
          <w:szCs w:val="20"/>
          <w:color w:val="auto"/>
        </w:rPr>
      </w:pPr>
    </w:p>
    <w:p>
      <w:pPr>
        <w:ind w:right="40" w:firstLine="510"/>
        <w:spacing w:after="0" w:line="251"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87" w:lineRule="exact"/>
        <w:rPr>
          <w:sz w:val="20"/>
          <w:szCs w:val="20"/>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2" w:lineRule="exact"/>
        <w:rPr>
          <w:rFonts w:ascii="Arial" w:cs="Arial" w:eastAsia="Arial" w:hAnsi="Arial"/>
          <w:sz w:val="18"/>
          <w:szCs w:val="18"/>
          <w:color w:val="auto"/>
        </w:rPr>
      </w:pPr>
    </w:p>
    <w:p>
      <w:pPr>
        <w:ind w:left="1020" w:right="100" w:hanging="507"/>
        <w:spacing w:after="0" w:line="26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26"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73"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84"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300"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b w:val="1"/>
          <w:bCs w:val="1"/>
          <w:i w:val="1"/>
          <w:iCs w:val="1"/>
          <w:color w:val="auto"/>
        </w:rPr>
        <w:t>We are developing RMC-4630 in combination with Roche’s cobimetinib, and may in the future, develop RMC-4630 and other product candidates in combination with other therapies, such as Amgen’s AMG 510, which exposes us to additional risks.</w:t>
      </w:r>
    </w:p>
    <w:p>
      <w:pPr>
        <w:spacing w:after="0" w:line="73" w:lineRule="exact"/>
        <w:rPr>
          <w:sz w:val="20"/>
          <w:szCs w:val="20"/>
          <w:color w:val="auto"/>
        </w:rPr>
      </w:pPr>
    </w:p>
    <w:p>
      <w:pPr>
        <w:ind w:right="180" w:firstLine="510"/>
        <w:spacing w:after="0" w:line="286" w:lineRule="auto"/>
        <w:rPr>
          <w:sz w:val="20"/>
          <w:szCs w:val="20"/>
          <w:color w:val="auto"/>
        </w:rPr>
      </w:pPr>
      <w:r>
        <w:rPr>
          <w:rFonts w:ascii="Arial" w:cs="Arial" w:eastAsia="Arial" w:hAnsi="Arial"/>
          <w:sz w:val="16"/>
          <w:szCs w:val="16"/>
          <w:color w:val="auto"/>
        </w:rPr>
        <w:t>We are developing RMC-4630 in combination with Roche’s cobimetinib, and may in the future, develop RMC-4630 and other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71"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may also evaluate RMC-4630 or any other current or future product candidates in combination with one or more other cancer therapies, such as AMG 510 or Lilly’s LY-3214996, that have not yet been approved for marketing by the FDA or similar regulatory authorities outside of the United States or with approved cancer therapies at an unapproved dose and/or schedule, and/or with approved cancer therapies in unapproved indications. We will not be able to market and sell RMC-4630 or any product candidate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we develop in combination with any such cancer therapies outside existing approved labels that do not ultimately obtain marketing approval.</w:t>
      </w:r>
    </w:p>
    <w:p>
      <w:pPr>
        <w:spacing w:after="0" w:line="219"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188"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any such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286"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73" w:lineRule="exact"/>
        <w:rPr>
          <w:sz w:val="20"/>
          <w:szCs w:val="20"/>
          <w:color w:val="auto"/>
        </w:rPr>
      </w:pPr>
    </w:p>
    <w:p>
      <w:pPr>
        <w:ind w:right="100" w:firstLine="510"/>
        <w:spacing w:after="0" w:line="264"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90" w:lineRule="exact"/>
        <w:rPr>
          <w:sz w:val="20"/>
          <w:szCs w:val="20"/>
          <w:color w:val="auto"/>
        </w:rPr>
      </w:pPr>
    </w:p>
    <w:p>
      <w:pPr>
        <w:ind w:right="60" w:firstLine="510"/>
        <w:spacing w:after="0" w:line="250" w:lineRule="auto"/>
        <w:rPr>
          <w:sz w:val="20"/>
          <w:szCs w:val="20"/>
          <w:color w:val="auto"/>
        </w:rPr>
      </w:pPr>
      <w:r>
        <w:rPr>
          <w:rFonts w:ascii="Arial" w:cs="Arial" w:eastAsia="Arial" w:hAnsi="Arial"/>
          <w:sz w:val="18"/>
          <w:szCs w:val="18"/>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Jacobio Pharmaceuticals Co. Ltd., and Relay Therapeutics Inc. There are several RAS pathway mutations programs, including those directed at KRAS</w:t>
      </w:r>
      <w:r>
        <w:rPr>
          <w:rFonts w:ascii="Arial" w:cs="Arial" w:eastAsia="Arial" w:hAnsi="Arial"/>
          <w:sz w:val="15"/>
          <w:szCs w:val="15"/>
          <w:color w:val="auto"/>
        </w:rPr>
        <w:t>G12C</w:t>
      </w:r>
      <w:r>
        <w:rPr>
          <w:rFonts w:ascii="Arial" w:cs="Arial" w:eastAsia="Arial" w:hAnsi="Arial"/>
          <w:sz w:val="18"/>
          <w:szCs w:val="18"/>
          <w:color w:val="auto"/>
        </w:rPr>
        <w:t>(OFF) and KRAS</w:t>
      </w:r>
      <w:r>
        <w:rPr>
          <w:rFonts w:ascii="Arial" w:cs="Arial" w:eastAsia="Arial" w:hAnsi="Arial"/>
          <w:sz w:val="15"/>
          <w:szCs w:val="15"/>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5"/>
          <w:szCs w:val="15"/>
          <w:color w:val="auto"/>
        </w:rPr>
        <w:t>G12C</w:t>
      </w:r>
      <w:r>
        <w:rPr>
          <w:rFonts w:ascii="Arial" w:cs="Arial" w:eastAsia="Arial" w:hAnsi="Arial"/>
          <w:sz w:val="18"/>
          <w:szCs w:val="18"/>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w:t>
      </w:r>
    </w:p>
    <w:p>
      <w:pPr>
        <w:spacing w:after="0" w:line="197" w:lineRule="exact"/>
        <w:rPr>
          <w:sz w:val="20"/>
          <w:szCs w:val="20"/>
          <w:color w:val="auto"/>
        </w:rPr>
      </w:pPr>
    </w:p>
    <w:p>
      <w:pPr>
        <w:ind w:right="40" w:firstLine="510"/>
        <w:spacing w:after="0" w:line="25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spacing w:after="0" w:line="19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sectPr>
      </w:pPr>
    </w:p>
    <w:bookmarkStart w:id="50" w:name="page51"/>
    <w:bookmarkEnd w:id="50"/>
    <w:p>
      <w:pPr>
        <w:ind w:right="580"/>
        <w:spacing w:after="0" w:line="26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73"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19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18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64"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88" w:lineRule="exact"/>
        <w:rPr>
          <w:sz w:val="20"/>
          <w:szCs w:val="20"/>
          <w:color w:val="auto"/>
        </w:rPr>
      </w:pPr>
    </w:p>
    <w:p>
      <w:pPr>
        <w:ind w:firstLine="510"/>
        <w:spacing w:after="0" w:line="264" w:lineRule="auto"/>
        <w:rPr>
          <w:sz w:val="20"/>
          <w:szCs w:val="20"/>
          <w:color w:val="auto"/>
        </w:rPr>
      </w:pPr>
      <w:r>
        <w:rPr>
          <w:rFonts w:ascii="Arial" w:cs="Arial" w:eastAsia="Arial" w:hAnsi="Arial"/>
          <w:sz w:val="17"/>
          <w:szCs w:val="17"/>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select or capitalize on the most scientifically, clinically and commercially promising or profitable mutant RAS(ON) target.</w:t>
      </w:r>
    </w:p>
    <w:p>
      <w:pPr>
        <w:spacing w:after="0" w:line="124"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targets—KRAS</w:t>
      </w:r>
      <w:r>
        <w:rPr>
          <w:rFonts w:ascii="Arial" w:cs="Arial" w:eastAsia="Arial" w:hAnsi="Arial"/>
          <w:sz w:val="14"/>
          <w:szCs w:val="14"/>
          <w:color w:val="auto"/>
        </w:rPr>
        <w:t>G12C</w:t>
      </w:r>
      <w:r>
        <w:rPr>
          <w:rFonts w:ascii="Arial" w:cs="Arial" w:eastAsia="Arial" w:hAnsi="Arial"/>
          <w:sz w:val="17"/>
          <w:szCs w:val="17"/>
          <w:color w:val="auto"/>
        </w:rPr>
        <w:t>, KRAS</w:t>
      </w:r>
      <w:r>
        <w:rPr>
          <w:rFonts w:ascii="Arial" w:cs="Arial" w:eastAsia="Arial" w:hAnsi="Arial"/>
          <w:sz w:val="14"/>
          <w:szCs w:val="14"/>
          <w:color w:val="auto"/>
        </w:rPr>
        <w:t>G13C</w:t>
      </w:r>
      <w:r>
        <w:rPr>
          <w:rFonts w:ascii="Arial" w:cs="Arial" w:eastAsia="Arial" w:hAnsi="Arial"/>
          <w:sz w:val="17"/>
          <w:szCs w:val="17"/>
          <w:color w:val="auto"/>
        </w:rPr>
        <w:t>, KRAS</w:t>
      </w:r>
      <w:r>
        <w:rPr>
          <w:rFonts w:ascii="Arial" w:cs="Arial" w:eastAsia="Arial" w:hAnsi="Arial"/>
          <w:sz w:val="14"/>
          <w:szCs w:val="14"/>
          <w:color w:val="auto"/>
        </w:rPr>
        <w:t>G12D</w:t>
      </w:r>
      <w:r>
        <w:rPr>
          <w:rFonts w:ascii="Arial" w:cs="Arial" w:eastAsia="Arial" w:hAnsi="Arial"/>
          <w:sz w:val="17"/>
          <w:szCs w:val="17"/>
          <w:color w:val="auto"/>
        </w:rPr>
        <w:t xml:space="preserve"> and NRAS</w:t>
      </w:r>
      <w:r>
        <w:rPr>
          <w:rFonts w:ascii="Arial" w:cs="Arial" w:eastAsia="Arial" w:hAnsi="Arial"/>
          <w:sz w:val="14"/>
          <w:szCs w:val="14"/>
          <w:color w:val="auto"/>
        </w:rPr>
        <w:t>G12C</w:t>
      </w:r>
      <w:r>
        <w:rPr>
          <w:rFonts w:ascii="Arial" w:cs="Arial" w:eastAsia="Arial" w:hAnsi="Arial"/>
          <w:sz w:val="17"/>
          <w:szCs w:val="17"/>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51" w:name="page52"/>
    <w:bookmarkEnd w:id="51"/>
    <w:p>
      <w:pPr>
        <w:ind w:right="20"/>
        <w:spacing w:after="0" w:line="26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73" w:lineRule="exact"/>
        <w:rPr>
          <w:sz w:val="20"/>
          <w:szCs w:val="20"/>
          <w:color w:val="auto"/>
        </w:rPr>
      </w:pPr>
    </w:p>
    <w:p>
      <w:pPr>
        <w:jc w:val="both"/>
        <w:ind w:right="220" w:firstLine="510"/>
        <w:spacing w:after="0" w:line="273" w:lineRule="auto"/>
        <w:rPr>
          <w:sz w:val="20"/>
          <w:szCs w:val="20"/>
          <w:color w:val="auto"/>
        </w:rPr>
      </w:pPr>
      <w:r>
        <w:rPr>
          <w:rFonts w:ascii="Arial" w:cs="Arial" w:eastAsia="Arial" w:hAnsi="Arial"/>
          <w:sz w:val="17"/>
          <w:szCs w:val="17"/>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17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 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7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29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87" w:lineRule="exact"/>
        <w:rPr>
          <w:sz w:val="20"/>
          <w:szCs w:val="20"/>
          <w:color w:val="auto"/>
        </w:rPr>
      </w:pPr>
    </w:p>
    <w:p>
      <w:pPr>
        <w:ind w:right="180" w:firstLine="510"/>
        <w:spacing w:after="0" w:line="295" w:lineRule="auto"/>
        <w:rPr>
          <w:sz w:val="20"/>
          <w:szCs w:val="20"/>
          <w:color w:val="auto"/>
        </w:rPr>
      </w:pPr>
      <w:r>
        <w:rPr>
          <w:rFonts w:ascii="Arial" w:cs="Arial" w:eastAsia="Arial" w:hAnsi="Arial"/>
          <w:sz w:val="16"/>
          <w:szCs w:val="16"/>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3"/>
          <w:szCs w:val="13"/>
          <w:color w:val="auto"/>
        </w:rPr>
        <w:t>®</w:t>
      </w:r>
      <w:r>
        <w:rPr>
          <w:rFonts w:ascii="Arial" w:cs="Arial" w:eastAsia="Arial" w:hAnsi="Arial"/>
          <w:sz w:val="16"/>
          <w:szCs w:val="16"/>
          <w:color w:val="auto"/>
        </w:rPr>
        <w:t xml:space="preserve"> CDX), or develop novel complementary diagnostics and/or novel companion diagnostics in collaboration with partners.</w:t>
      </w:r>
    </w:p>
    <w:p>
      <w:pPr>
        <w:spacing w:after="0" w:line="162" w:lineRule="exact"/>
        <w:rPr>
          <w:sz w:val="20"/>
          <w:szCs w:val="20"/>
          <w:color w:val="auto"/>
        </w:rPr>
      </w:pPr>
    </w:p>
    <w:p>
      <w:pPr>
        <w:ind w:right="340" w:firstLine="510"/>
        <w:spacing w:after="0" w:line="295" w:lineRule="auto"/>
        <w:rPr>
          <w:sz w:val="20"/>
          <w:szCs w:val="20"/>
          <w:color w:val="auto"/>
        </w:rPr>
      </w:pPr>
      <w:r>
        <w:rPr>
          <w:rFonts w:ascii="Arial" w:cs="Arial" w:eastAsia="Arial" w:hAnsi="Arial"/>
          <w:sz w:val="16"/>
          <w:szCs w:val="16"/>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 unsuccessful in entering into collaborations for the development of companion diagnostics for our programs and our current or future product candidates.</w:t>
      </w:r>
    </w:p>
    <w:p>
      <w:pPr>
        <w:spacing w:after="0" w:line="16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87" w:lineRule="exact"/>
        <w:rPr>
          <w:sz w:val="20"/>
          <w:szCs w:val="20"/>
          <w:color w:val="auto"/>
        </w:rPr>
      </w:pPr>
    </w:p>
    <w:p>
      <w:pPr>
        <w:ind w:left="1020" w:right="20" w:hanging="507"/>
        <w:spacing w:after="0" w:line="26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our product candidates and any other future product candidates may be adversely affected if we are unable to appropriately select patients for enrollment in our clinical trials; and</w:t>
      </w:r>
    </w:p>
    <w:p>
      <w:pPr>
        <w:spacing w:after="0" w:line="72" w:lineRule="exact"/>
        <w:rPr>
          <w:rFonts w:ascii="Arial" w:cs="Arial" w:eastAsia="Arial" w:hAnsi="Arial"/>
          <w:sz w:val="18"/>
          <w:szCs w:val="18"/>
          <w:color w:val="auto"/>
        </w:rPr>
      </w:pPr>
    </w:p>
    <w:p>
      <w:pPr>
        <w:jc w:val="both"/>
        <w:ind w:left="1020" w:right="340" w:hanging="507"/>
        <w:spacing w:after="0" w:line="25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660" w:right="379" w:bottom="1440" w:gutter="0" w:footer="0" w:header="0"/>
        </w:sectPr>
      </w:pPr>
    </w:p>
    <w:bookmarkStart w:id="52" w:name="page53"/>
    <w:bookmarkEnd w:id="52"/>
    <w:p>
      <w:pPr>
        <w:ind w:right="160"/>
        <w:spacing w:after="0" w:line="253"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87"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4"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2"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94"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73"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As part of our business strategy, we may seek Orphan Drug Designation for any product candidates we develop,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53" w:name="page54"/>
    <w:bookmarkEnd w:id="53"/>
    <w:p>
      <w:pPr>
        <w:ind w:firstLine="510"/>
        <w:spacing w:after="0" w:line="252"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93"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294"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73" w:lineRule="exact"/>
        <w:rPr>
          <w:sz w:val="20"/>
          <w:szCs w:val="20"/>
          <w:color w:val="auto"/>
        </w:rPr>
      </w:pPr>
    </w:p>
    <w:p>
      <w:pPr>
        <w:ind w:right="100" w:firstLine="510"/>
        <w:spacing w:after="0" w:line="267" w:lineRule="auto"/>
        <w:rPr>
          <w:sz w:val="20"/>
          <w:szCs w:val="20"/>
          <w:color w:val="auto"/>
        </w:rPr>
      </w:pPr>
      <w:r>
        <w:rPr>
          <w:rFonts w:ascii="Arial" w:cs="Arial" w:eastAsia="Arial" w:hAnsi="Arial"/>
          <w:sz w:val="17"/>
          <w:szCs w:val="17"/>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77" w:lineRule="exact"/>
        <w:rPr>
          <w:sz w:val="20"/>
          <w:szCs w:val="20"/>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9" w:lineRule="exact"/>
        <w:rPr>
          <w:sz w:val="20"/>
          <w:szCs w:val="20"/>
          <w:color w:val="auto"/>
        </w:rPr>
      </w:pPr>
    </w:p>
    <w:p>
      <w:pPr>
        <w:ind w:right="140" w:firstLine="510"/>
        <w:spacing w:after="0" w:line="26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79"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3"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71" w:lineRule="exact"/>
        <w:rPr>
          <w:sz w:val="20"/>
          <w:szCs w:val="20"/>
          <w:color w:val="auto"/>
        </w:rPr>
      </w:pPr>
    </w:p>
    <w:p>
      <w:pPr>
        <w:ind w:right="120" w:firstLine="510"/>
        <w:spacing w:after="0" w:line="280"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or the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reduce the coverage gap in most Medicare drug plans, commonly referred to as the “donut hole.” On December 14, 2018, a Texas U.S. District Court Judge ruled that the ACA is unconstitutional in its entirety because the “individual mandate” was repealed by Congress as part of the TCJA.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While the Texas U.S. District Court Judge, as well as the Trump administration and Centers for Medicare and Medicaid Services, or CMS, have stated that the ruling will have no immediate effect pending appeal of the decision, it is unclear how this decision, subsequent appeals, and other efforts to repeal and replace the ACA will impact the ACA and our business. The effect that the ACA and its possible repeal and replacement may have on our business remains unclear.</w:t>
      </w:r>
    </w:p>
    <w:p>
      <w:pPr>
        <w:spacing w:after="0" w:line="18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93"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93" w:lineRule="exact"/>
        <w:rPr>
          <w:sz w:val="20"/>
          <w:szCs w:val="20"/>
          <w:color w:val="auto"/>
        </w:rPr>
      </w:pPr>
    </w:p>
    <w:p>
      <w:pPr>
        <w:ind w:right="340" w:firstLine="510"/>
        <w:spacing w:after="0" w:line="273"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55" w:name="page56"/>
    <w:bookmarkEnd w:id="55"/>
    <w:p>
      <w:pPr>
        <w:ind w:right="220"/>
        <w:spacing w:after="0" w:line="26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73"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19"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65" w:lineRule="exact"/>
        <w:rPr>
          <w:sz w:val="20"/>
          <w:szCs w:val="20"/>
          <w:color w:val="auto"/>
        </w:rPr>
      </w:pPr>
    </w:p>
    <w:p>
      <w:pPr>
        <w:ind w:right="40" w:firstLine="510"/>
        <w:spacing w:after="0" w:line="282"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175" w:lineRule="exact"/>
        <w:rPr>
          <w:sz w:val="20"/>
          <w:szCs w:val="20"/>
          <w:color w:val="auto"/>
        </w:rPr>
      </w:pPr>
    </w:p>
    <w:p>
      <w:pPr>
        <w:ind w:right="140" w:firstLine="510"/>
        <w:spacing w:after="0" w:line="285" w:lineRule="auto"/>
        <w:rPr>
          <w:sz w:val="20"/>
          <w:szCs w:val="20"/>
          <w:color w:val="auto"/>
        </w:rPr>
      </w:pPr>
      <w:r>
        <w:rPr>
          <w:rFonts w:ascii="Arial" w:cs="Arial" w:eastAsia="Arial" w:hAnsi="Arial"/>
          <w:sz w:val="16"/>
          <w:szCs w:val="16"/>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Part I, Item 1 of our 2019 Form 10-K under the caption “Business—Collaboration agreement with Sanofi.”</w:t>
      </w:r>
    </w:p>
    <w:p>
      <w:pPr>
        <w:spacing w:after="0" w:line="2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81" w:lineRule="exact"/>
        <w:rPr>
          <w:sz w:val="20"/>
          <w:szCs w:val="20"/>
          <w:color w:val="auto"/>
        </w:rPr>
      </w:pPr>
    </w:p>
    <w:p>
      <w:pPr>
        <w:ind w:right="20" w:firstLine="510"/>
        <w:spacing w:after="0" w:line="330" w:lineRule="auto"/>
        <w:rPr>
          <w:sz w:val="20"/>
          <w:szCs w:val="20"/>
          <w:color w:val="auto"/>
        </w:rPr>
      </w:pPr>
      <w:r>
        <w:rPr>
          <w:rFonts w:ascii="Arial" w:cs="Arial" w:eastAsia="Arial" w:hAnsi="Arial"/>
          <w:sz w:val="16"/>
          <w:szCs w:val="16"/>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56" w:name="page57"/>
    <w:bookmarkEnd w:id="56"/>
    <w:p>
      <w:pPr>
        <w:ind w:right="80" w:firstLine="510"/>
        <w:spacing w:after="0" w:line="267" w:lineRule="auto"/>
        <w:rPr>
          <w:sz w:val="20"/>
          <w:szCs w:val="20"/>
          <w:color w:val="auto"/>
        </w:rPr>
      </w:pPr>
      <w:r>
        <w:rPr>
          <w:rFonts w:ascii="Arial" w:cs="Arial" w:eastAsia="Arial" w:hAnsi="Arial"/>
          <w:sz w:val="18"/>
          <w:szCs w:val="18"/>
          <w:color w:val="auto"/>
        </w:rPr>
        <w:t>Collaborations involving our current and future product candidates, including our current collaborations with Sanofi, Roche and Amgen may pose the following risks to us:</w:t>
      </w:r>
    </w:p>
    <w:p>
      <w:pPr>
        <w:spacing w:after="0" w:line="73" w:lineRule="exact"/>
        <w:rPr>
          <w:sz w:val="20"/>
          <w:szCs w:val="20"/>
          <w:color w:val="auto"/>
        </w:rPr>
      </w:pPr>
    </w:p>
    <w:p>
      <w:pPr>
        <w:ind w:left="1020" w:hanging="507"/>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2" w:lineRule="exact"/>
        <w:rPr>
          <w:rFonts w:ascii="Arial" w:cs="Arial" w:eastAsia="Arial" w:hAnsi="Arial"/>
          <w:sz w:val="18"/>
          <w:szCs w:val="18"/>
          <w:color w:val="auto"/>
        </w:rPr>
      </w:pPr>
    </w:p>
    <w:p>
      <w:pPr>
        <w:ind w:left="1020" w:right="740" w:hanging="507"/>
        <w:spacing w:after="0" w:line="297"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49" w:lineRule="exact"/>
        <w:rPr>
          <w:rFonts w:ascii="Arial" w:cs="Arial" w:eastAsia="Arial" w:hAnsi="Arial"/>
          <w:sz w:val="17"/>
          <w:szCs w:val="17"/>
          <w:color w:val="auto"/>
        </w:rPr>
      </w:pPr>
    </w:p>
    <w:p>
      <w:pPr>
        <w:ind w:left="1020" w:right="440" w:hanging="507"/>
        <w:spacing w:after="0" w:line="26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72" w:lineRule="exact"/>
        <w:rPr>
          <w:rFonts w:ascii="Arial" w:cs="Arial" w:eastAsia="Arial" w:hAnsi="Arial"/>
          <w:sz w:val="18"/>
          <w:szCs w:val="18"/>
          <w:color w:val="auto"/>
        </w:rPr>
      </w:pPr>
    </w:p>
    <w:p>
      <w:pPr>
        <w:ind w:left="1020" w:right="620" w:hanging="507"/>
        <w:spacing w:after="0" w:line="26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72" w:lineRule="exact"/>
        <w:rPr>
          <w:rFonts w:ascii="Arial" w:cs="Arial" w:eastAsia="Arial" w:hAnsi="Arial"/>
          <w:sz w:val="18"/>
          <w:szCs w:val="18"/>
          <w:color w:val="auto"/>
        </w:rPr>
      </w:pPr>
    </w:p>
    <w:p>
      <w:pPr>
        <w:ind w:left="1020" w:right="40" w:hanging="507"/>
        <w:spacing w:after="0" w:line="25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81"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12" w:lineRule="exact"/>
        <w:rPr>
          <w:rFonts w:ascii="Arial" w:cs="Arial" w:eastAsia="Arial" w:hAnsi="Arial"/>
          <w:sz w:val="18"/>
          <w:szCs w:val="18"/>
          <w:color w:val="auto"/>
        </w:rPr>
      </w:pPr>
    </w:p>
    <w:p>
      <w:pPr>
        <w:ind w:left="1020" w:right="140" w:hanging="507"/>
        <w:spacing w:after="0" w:line="330"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27" w:lineRule="exact"/>
        <w:rPr>
          <w:rFonts w:ascii="Arial" w:cs="Arial" w:eastAsia="Arial" w:hAnsi="Arial"/>
          <w:sz w:val="16"/>
          <w:szCs w:val="16"/>
          <w:color w:val="auto"/>
        </w:rPr>
      </w:pPr>
    </w:p>
    <w:p>
      <w:pPr>
        <w:ind w:left="1020" w:right="300" w:hanging="507"/>
        <w:spacing w:after="0" w:line="297"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56" w:lineRule="exact"/>
        <w:rPr>
          <w:sz w:val="20"/>
          <w:szCs w:val="20"/>
          <w:color w:val="auto"/>
        </w:rPr>
      </w:pPr>
    </w:p>
    <w:p>
      <w:pPr>
        <w:ind w:right="80" w:firstLine="510"/>
        <w:spacing w:after="0" w:line="251"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300"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73"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93"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7" w:name="page58"/>
    <w:bookmarkEnd w:id="57"/>
    <w:p>
      <w:pPr>
        <w:ind w:right="120" w:firstLine="510"/>
        <w:spacing w:after="0" w:line="253"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193" w:lineRule="exact"/>
        <w:rPr>
          <w:sz w:val="20"/>
          <w:szCs w:val="20"/>
          <w:color w:val="auto"/>
        </w:rPr>
      </w:pPr>
    </w:p>
    <w:p>
      <w:pPr>
        <w:ind w:right="460" w:firstLine="510"/>
        <w:spacing w:after="0" w:line="26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79" w:lineRule="exact"/>
        <w:rPr>
          <w:sz w:val="20"/>
          <w:szCs w:val="20"/>
          <w:color w:val="auto"/>
        </w:rPr>
      </w:pPr>
    </w:p>
    <w:p>
      <w:pPr>
        <w:ind w:right="200" w:firstLine="510"/>
        <w:spacing w:after="0" w:line="288"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75"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73"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9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ongoing and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8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including collaboration partners, to conduct or otherwise support clinical trials for RMC-4630 and other product candidates. We rely heavily on these parties for execution of clinical trials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168"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We and third parties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8" w:name="page59"/>
    <w:bookmarkEnd w:id="58"/>
    <w:p>
      <w:pPr>
        <w:ind w:right="320" w:firstLine="510"/>
        <w:spacing w:after="0" w:line="285" w:lineRule="auto"/>
        <w:rPr>
          <w:sz w:val="20"/>
          <w:szCs w:val="20"/>
          <w:color w:val="auto"/>
        </w:rPr>
      </w:pPr>
      <w:r>
        <w:rPr>
          <w:rFonts w:ascii="Arial" w:cs="Arial" w:eastAsia="Arial" w:hAnsi="Arial"/>
          <w:sz w:val="16"/>
          <w:szCs w:val="16"/>
          <w:color w:val="auto"/>
        </w:rPr>
        <w:t>Although we intend to design the clinical trials for our product candidates, or be involved in the design when other parties sponsor the trials, third parties conduct all of the clinical trials. For example, Amgen will conduct the planned Phase 1b trial evaluating the combination of RMC-4630 and AMG</w:t>
      </w:r>
    </w:p>
    <w:p>
      <w:pPr>
        <w:spacing w:after="0" w:line="1" w:lineRule="exact"/>
        <w:rPr>
          <w:sz w:val="20"/>
          <w:szCs w:val="20"/>
          <w:color w:val="auto"/>
        </w:rPr>
      </w:pPr>
    </w:p>
    <w:p>
      <w:pPr>
        <w:ind w:right="80" w:firstLine="7"/>
        <w:spacing w:after="0" w:line="269" w:lineRule="auto"/>
        <w:tabs>
          <w:tab w:leader="none" w:pos="3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2" w:lineRule="exact"/>
        <w:rPr>
          <w:rFonts w:ascii="Arial" w:cs="Arial" w:eastAsia="Arial" w:hAnsi="Arial"/>
          <w:sz w:val="17"/>
          <w:szCs w:val="17"/>
          <w:color w:val="auto"/>
        </w:rPr>
      </w:pPr>
    </w:p>
    <w:p>
      <w:pPr>
        <w:ind w:left="1020" w:hanging="507"/>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9"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8"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6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w:t>
      </w:r>
    </w:p>
    <w:p>
      <w:pPr>
        <w:spacing w:after="0" w:line="27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47"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193"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9" w:name="page60"/>
    <w:bookmarkEnd w:id="59"/>
    <w:p>
      <w:pPr>
        <w:ind w:right="360" w:firstLine="510"/>
        <w:spacing w:after="0" w:line="304" w:lineRule="auto"/>
        <w:rPr>
          <w:sz w:val="20"/>
          <w:szCs w:val="20"/>
          <w:color w:val="auto"/>
        </w:rPr>
      </w:pPr>
      <w:r>
        <w:rPr>
          <w:rFonts w:ascii="Arial" w:cs="Arial" w:eastAsia="Arial" w:hAnsi="Arial"/>
          <w:sz w:val="16"/>
          <w:szCs w:val="16"/>
          <w:color w:val="auto"/>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p>
    <w:p>
      <w:pPr>
        <w:spacing w:after="0" w:line="154"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p>
    <w:p>
      <w:pPr>
        <w:spacing w:after="0" w:line="193" w:lineRule="exact"/>
        <w:rPr>
          <w:sz w:val="20"/>
          <w:szCs w:val="20"/>
          <w:color w:val="auto"/>
        </w:rPr>
      </w:pPr>
    </w:p>
    <w:p>
      <w:pPr>
        <w:ind w:right="180" w:firstLine="510"/>
        <w:spacing w:after="0" w:line="330"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34" w:lineRule="exact"/>
        <w:rPr>
          <w:sz w:val="20"/>
          <w:szCs w:val="20"/>
          <w:color w:val="auto"/>
        </w:rPr>
      </w:pPr>
    </w:p>
    <w:p>
      <w:pPr>
        <w:ind w:right="200" w:firstLine="510"/>
        <w:spacing w:after="0" w:line="253"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87" w:lineRule="exact"/>
        <w:rPr>
          <w:sz w:val="20"/>
          <w:szCs w:val="20"/>
          <w:color w:val="auto"/>
        </w:rPr>
      </w:pPr>
    </w:p>
    <w:p>
      <w:pPr>
        <w:ind w:left="1020" w:hanging="507"/>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9" w:lineRule="exact"/>
        <w:rPr>
          <w:sz w:val="20"/>
          <w:szCs w:val="20"/>
          <w:color w:val="auto"/>
        </w:rPr>
      </w:pPr>
    </w:p>
    <w:p>
      <w:pPr>
        <w:ind w:right="40" w:firstLine="510"/>
        <w:spacing w:after="0" w:line="295"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88"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93" w:lineRule="exact"/>
        <w:rPr>
          <w:sz w:val="20"/>
          <w:szCs w:val="20"/>
          <w:color w:val="auto"/>
        </w:rPr>
      </w:pPr>
    </w:p>
    <w:p>
      <w:pPr>
        <w:ind w:right="140" w:firstLine="510"/>
        <w:spacing w:after="0" w:line="253" w:lineRule="auto"/>
        <w:rPr>
          <w:sz w:val="20"/>
          <w:szCs w:val="20"/>
          <w:color w:val="auto"/>
        </w:rPr>
      </w:pPr>
      <w:r>
        <w:rPr>
          <w:rFonts w:ascii="Arial" w:cs="Arial" w:eastAsia="Arial" w:hAnsi="Arial"/>
          <w:sz w:val="18"/>
          <w:szCs w:val="18"/>
          <w:color w:val="auto"/>
        </w:rPr>
        <w:t>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93"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0" w:name="page61"/>
    <w:bookmarkEnd w:id="60"/>
    <w:p>
      <w:pPr>
        <w:ind w:right="80"/>
        <w:spacing w:after="0" w:line="253" w:lineRule="auto"/>
        <w:rPr>
          <w:sz w:val="20"/>
          <w:szCs w:val="20"/>
          <w:color w:val="auto"/>
        </w:rPr>
      </w:pPr>
      <w:r>
        <w:rPr>
          <w:rFonts w:ascii="Arial" w:cs="Arial" w:eastAsia="Arial" w:hAnsi="Arial"/>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87"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77" w:lineRule="exact"/>
        <w:rPr>
          <w:sz w:val="20"/>
          <w:szCs w:val="20"/>
          <w:color w:val="auto"/>
        </w:rPr>
      </w:pPr>
    </w:p>
    <w:p>
      <w:pPr>
        <w:ind w:left="1000" w:right="120" w:hanging="500"/>
        <w:spacing w:after="0" w:line="26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5" w:lineRule="exact"/>
        <w:rPr>
          <w:rFonts w:ascii="Arial" w:cs="Arial" w:eastAsia="Arial" w:hAnsi="Arial"/>
          <w:sz w:val="17"/>
          <w:szCs w:val="17"/>
          <w:color w:val="auto"/>
        </w:rPr>
      </w:pPr>
    </w:p>
    <w:p>
      <w:pPr>
        <w:ind w:left="1000" w:hanging="500"/>
        <w:spacing w:after="0" w:line="25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w:t>
      </w:r>
    </w:p>
    <w:p>
      <w:pPr>
        <w:spacing w:after="0" w:line="86" w:lineRule="exact"/>
        <w:rPr>
          <w:rFonts w:ascii="Arial" w:cs="Arial" w:eastAsia="Arial" w:hAnsi="Arial"/>
          <w:sz w:val="18"/>
          <w:szCs w:val="18"/>
          <w:color w:val="auto"/>
        </w:rPr>
      </w:pPr>
    </w:p>
    <w:p>
      <w:pPr>
        <w:ind w:left="1000" w:right="20" w:hanging="500"/>
        <w:spacing w:after="0" w:line="267"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77" w:lineRule="exact"/>
        <w:rPr>
          <w:rFonts w:ascii="Arial" w:cs="Arial" w:eastAsia="Arial" w:hAnsi="Arial"/>
          <w:sz w:val="17"/>
          <w:szCs w:val="17"/>
          <w:color w:val="auto"/>
        </w:rPr>
      </w:pPr>
    </w:p>
    <w:p>
      <w:pPr>
        <w:ind w:left="1000" w:right="260" w:hanging="500"/>
        <w:spacing w:after="0" w:line="26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6" w:lineRule="exact"/>
        <w:rPr>
          <w:rFonts w:ascii="Arial" w:cs="Arial" w:eastAsia="Arial" w:hAnsi="Arial"/>
          <w:sz w:val="17"/>
          <w:szCs w:val="17"/>
          <w:color w:val="auto"/>
        </w:rPr>
      </w:pPr>
    </w:p>
    <w:p>
      <w:pPr>
        <w:ind w:left="1000" w:right="80" w:hanging="500"/>
        <w:spacing w:after="0" w:line="252"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86" w:lineRule="exact"/>
        <w:rPr>
          <w:rFonts w:ascii="Arial" w:cs="Arial" w:eastAsia="Arial" w:hAnsi="Arial"/>
          <w:sz w:val="18"/>
          <w:szCs w:val="18"/>
          <w:color w:val="auto"/>
        </w:rPr>
      </w:pPr>
    </w:p>
    <w:p>
      <w:pPr>
        <w:ind w:left="1000" w:right="380" w:hanging="500"/>
        <w:spacing w:after="0" w:line="26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61" w:name="page62"/>
    <w:bookmarkEnd w:id="61"/>
    <w:p>
      <w:pPr>
        <w:ind w:left="1000" w:hanging="500"/>
        <w:spacing w:after="0" w:line="284"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173" w:lineRule="exact"/>
        <w:rPr>
          <w:sz w:val="20"/>
          <w:szCs w:val="20"/>
          <w:color w:val="auto"/>
        </w:rPr>
      </w:pPr>
    </w:p>
    <w:p>
      <w:pPr>
        <w:ind w:right="140" w:firstLine="510"/>
        <w:spacing w:after="0" w:line="267"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84"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5" w:lineRule="exact"/>
        <w:rPr>
          <w:sz w:val="20"/>
          <w:szCs w:val="20"/>
          <w:color w:val="auto"/>
        </w:rPr>
      </w:pPr>
    </w:p>
    <w:p>
      <w:pPr>
        <w:ind w:right="40" w:firstLine="510"/>
        <w:spacing w:after="0" w:line="283" w:lineRule="auto"/>
        <w:rPr>
          <w:sz w:val="20"/>
          <w:szCs w:val="20"/>
          <w:color w:val="auto"/>
        </w:rPr>
      </w:pPr>
      <w:r>
        <w:rPr>
          <w:rFonts w:ascii="Arial" w:cs="Arial" w:eastAsia="Arial" w:hAnsi="Arial"/>
          <w:sz w:val="16"/>
          <w:szCs w:val="16"/>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do not have any issued patents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176"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2" w:name="page63"/>
    <w:bookmarkEnd w:id="62"/>
    <w:p>
      <w:pPr>
        <w:ind w:right="60" w:firstLine="510"/>
        <w:spacing w:after="0" w:line="267"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84"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173" w:lineRule="exact"/>
        <w:rPr>
          <w:sz w:val="20"/>
          <w:szCs w:val="20"/>
          <w:color w:val="auto"/>
        </w:rPr>
      </w:pPr>
    </w:p>
    <w:p>
      <w:pPr>
        <w:ind w:right="80" w:firstLine="510"/>
        <w:spacing w:after="0" w:line="28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78" w:lineRule="exact"/>
        <w:rPr>
          <w:sz w:val="20"/>
          <w:szCs w:val="20"/>
          <w:color w:val="auto"/>
        </w:rPr>
      </w:pPr>
    </w:p>
    <w:p>
      <w:pPr>
        <w:ind w:right="60" w:firstLine="510"/>
        <w:spacing w:after="0" w:line="266"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293" w:lineRule="exact"/>
        <w:rPr>
          <w:sz w:val="20"/>
          <w:szCs w:val="20"/>
          <w:color w:val="auto"/>
        </w:rPr>
      </w:pPr>
    </w:p>
    <w:p>
      <w:pPr>
        <w:ind w:right="60"/>
        <w:spacing w:after="0" w:line="365" w:lineRule="auto"/>
        <w:rPr>
          <w:sz w:val="20"/>
          <w:szCs w:val="20"/>
          <w:color w:val="auto"/>
        </w:rPr>
      </w:pPr>
      <w:r>
        <w:rPr>
          <w:rFonts w:ascii="Arial" w:cs="Arial" w:eastAsia="Arial" w:hAnsi="Arial"/>
          <w:sz w:val="14"/>
          <w:szCs w:val="14"/>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12" w:lineRule="exact"/>
        <w:rPr>
          <w:sz w:val="20"/>
          <w:szCs w:val="20"/>
          <w:color w:val="auto"/>
        </w:rPr>
      </w:pPr>
    </w:p>
    <w:p>
      <w:pPr>
        <w:ind w:right="80" w:firstLine="510"/>
        <w:spacing w:after="0" w:line="295" w:lineRule="auto"/>
        <w:rPr>
          <w:sz w:val="20"/>
          <w:szCs w:val="20"/>
          <w:color w:val="auto"/>
        </w:rPr>
      </w:pPr>
      <w:r>
        <w:rPr>
          <w:rFonts w:ascii="Arial" w:cs="Arial" w:eastAsia="Arial" w:hAnsi="Arial"/>
          <w:sz w:val="16"/>
          <w:szCs w:val="16"/>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3" w:name="page64"/>
    <w:bookmarkEnd w:id="63"/>
    <w:p>
      <w:pPr>
        <w:ind w:right="20" w:firstLine="510"/>
        <w:spacing w:after="0" w:line="283" w:lineRule="auto"/>
        <w:rPr>
          <w:sz w:val="20"/>
          <w:szCs w:val="20"/>
          <w:color w:val="auto"/>
        </w:rPr>
      </w:pPr>
      <w:r>
        <w:rPr>
          <w:rFonts w:ascii="Arial" w:cs="Arial" w:eastAsia="Arial" w:hAnsi="Arial"/>
          <w:sz w:val="16"/>
          <w:szCs w:val="16"/>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72"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76"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2" w:lineRule="exact"/>
        <w:rPr>
          <w:sz w:val="20"/>
          <w:szCs w:val="20"/>
          <w:color w:val="auto"/>
        </w:rPr>
      </w:pPr>
    </w:p>
    <w:p>
      <w:pPr>
        <w:jc w:val="both"/>
        <w:ind w:right="520" w:firstLine="510"/>
        <w:spacing w:after="0" w:line="25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81" w:lineRule="exact"/>
        <w:rPr>
          <w:sz w:val="20"/>
          <w:szCs w:val="20"/>
          <w:color w:val="auto"/>
        </w:rPr>
      </w:pPr>
    </w:p>
    <w:p>
      <w:pPr>
        <w:ind w:left="1020" w:hanging="50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2"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on intellectual property of the other party that are not subject to the licensing agreement;</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2"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product candidates, and what activities satisfy those diligence obligations;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19" w:lineRule="exact"/>
        <w:rPr>
          <w:sz w:val="20"/>
          <w:szCs w:val="20"/>
          <w:color w:val="auto"/>
        </w:rPr>
      </w:pPr>
    </w:p>
    <w:p>
      <w:pPr>
        <w:ind w:right="180" w:firstLine="510"/>
        <w:spacing w:after="0" w:line="252"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4" w:name="page65"/>
    <w:bookmarkEnd w:id="64"/>
    <w:p>
      <w:pPr>
        <w:ind w:right="40" w:firstLine="510"/>
        <w:spacing w:after="0" w:line="252"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Part I, Item 1 of our 2019 Form 10-K under the caption “Business— Collaboration agreement with Sanofi.” Any of the foregoing could harm our competitive position,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13"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89" w:lineRule="exact"/>
        <w:rPr>
          <w:sz w:val="20"/>
          <w:szCs w:val="20"/>
          <w:color w:val="auto"/>
        </w:rPr>
      </w:pPr>
    </w:p>
    <w:p>
      <w:pPr>
        <w:ind w:right="520"/>
        <w:spacing w:after="0" w:line="297"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49" w:lineRule="exact"/>
        <w:rPr>
          <w:sz w:val="20"/>
          <w:szCs w:val="20"/>
          <w:color w:val="auto"/>
        </w:rPr>
      </w:pPr>
    </w:p>
    <w:p>
      <w:pPr>
        <w:ind w:right="40" w:firstLine="510"/>
        <w:spacing w:after="0" w:line="282"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7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3"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5" w:name="page66"/>
    <w:bookmarkEnd w:id="65"/>
    <w:p>
      <w:pPr>
        <w:ind w:right="80" w:firstLine="510"/>
        <w:spacing w:after="0" w:line="282" w:lineRule="auto"/>
        <w:rPr>
          <w:sz w:val="20"/>
          <w:szCs w:val="20"/>
          <w:color w:val="auto"/>
        </w:rPr>
      </w:pPr>
      <w:r>
        <w:rPr>
          <w:rFonts w:ascii="Arial" w:cs="Arial" w:eastAsia="Arial" w:hAnsi="Arial"/>
          <w:sz w:val="16"/>
          <w:szCs w:val="16"/>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75"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3"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71" w:lineRule="exact"/>
        <w:rPr>
          <w:sz w:val="20"/>
          <w:szCs w:val="20"/>
          <w:color w:val="auto"/>
        </w:rPr>
      </w:pPr>
    </w:p>
    <w:p>
      <w:pPr>
        <w:ind w:right="20" w:firstLine="510"/>
        <w:spacing w:after="0" w:line="250"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68" w:lineRule="exact"/>
        <w:rPr>
          <w:sz w:val="20"/>
          <w:szCs w:val="20"/>
          <w:color w:val="auto"/>
        </w:rPr>
      </w:pPr>
    </w:p>
    <w:p>
      <w:pPr>
        <w:ind w:firstLine="510"/>
        <w:spacing w:after="0" w:line="264"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91" w:lineRule="exact"/>
        <w:rPr>
          <w:sz w:val="20"/>
          <w:szCs w:val="20"/>
          <w:color w:val="auto"/>
        </w:rPr>
      </w:pPr>
    </w:p>
    <w:p>
      <w:pPr>
        <w:jc w:val="both"/>
        <w:ind w:right="680"/>
        <w:spacing w:after="0" w:line="25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81" w:lineRule="exact"/>
        <w:rPr>
          <w:sz w:val="20"/>
          <w:szCs w:val="20"/>
          <w:color w:val="auto"/>
        </w:rPr>
      </w:pPr>
    </w:p>
    <w:p>
      <w:pPr>
        <w:ind w:right="40" w:firstLine="510"/>
        <w:spacing w:after="0" w:line="265"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294" w:lineRule="exact"/>
        <w:rPr>
          <w:sz w:val="20"/>
          <w:szCs w:val="20"/>
          <w:color w:val="auto"/>
        </w:rPr>
      </w:pPr>
    </w:p>
    <w:p>
      <w:pPr>
        <w:ind w:right="480"/>
        <w:spacing w:after="0" w:line="397" w:lineRule="auto"/>
        <w:rPr>
          <w:sz w:val="20"/>
          <w:szCs w:val="20"/>
          <w:color w:val="auto"/>
        </w:rPr>
      </w:pPr>
      <w:r>
        <w:rPr>
          <w:rFonts w:ascii="Arial" w:cs="Arial" w:eastAsia="Arial" w:hAnsi="Arial"/>
          <w:sz w:val="14"/>
          <w:szCs w:val="14"/>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ind w:firstLine="510"/>
        <w:spacing w:after="0" w:line="266" w:lineRule="auto"/>
        <w:rPr>
          <w:sz w:val="20"/>
          <w:szCs w:val="20"/>
          <w:color w:val="auto"/>
        </w:rPr>
      </w:pPr>
      <w:r>
        <w:rPr>
          <w:rFonts w:ascii="Arial" w:cs="Arial" w:eastAsia="Arial" w:hAnsi="Arial"/>
          <w:sz w:val="17"/>
          <w:szCs w:val="17"/>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67" w:name="page68"/>
    <w:bookmarkEnd w:id="67"/>
    <w:p>
      <w:pPr>
        <w:ind w:right="160"/>
        <w:spacing w:after="0" w:line="295" w:lineRule="auto"/>
        <w:rPr>
          <w:sz w:val="20"/>
          <w:szCs w:val="20"/>
          <w:color w:val="auto"/>
        </w:rPr>
      </w:pPr>
      <w:r>
        <w:rPr>
          <w:rFonts w:ascii="Arial" w:cs="Arial" w:eastAsia="Arial" w:hAnsi="Arial"/>
          <w:sz w:val="16"/>
          <w:szCs w:val="16"/>
          <w:color w:val="auto"/>
        </w:rPr>
        <w:t>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62" w:lineRule="exact"/>
        <w:rPr>
          <w:sz w:val="20"/>
          <w:szCs w:val="20"/>
          <w:color w:val="auto"/>
        </w:rPr>
      </w:pPr>
    </w:p>
    <w:p>
      <w:pPr>
        <w:ind w:right="40" w:firstLine="510"/>
        <w:spacing w:after="0" w:line="282"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75"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93" w:lineRule="exact"/>
        <w:rPr>
          <w:sz w:val="20"/>
          <w:szCs w:val="20"/>
          <w:color w:val="auto"/>
        </w:rPr>
      </w:pPr>
    </w:p>
    <w:p>
      <w:pPr>
        <w:ind w:firstLine="510"/>
        <w:spacing w:after="0" w:line="26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9"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80"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73"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8" w:name="page69"/>
    <w:bookmarkEnd w:id="68"/>
    <w:p>
      <w:pPr>
        <w:ind w:firstLine="510"/>
        <w:spacing w:after="0" w:line="281"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285" w:lineRule="exact"/>
        <w:rPr>
          <w:sz w:val="20"/>
          <w:szCs w:val="20"/>
          <w:color w:val="auto"/>
        </w:rPr>
      </w:pPr>
    </w:p>
    <w:p>
      <w:pPr>
        <w:ind w:right="700"/>
        <w:spacing w:after="0" w:line="297"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49" w:lineRule="exact"/>
        <w:rPr>
          <w:sz w:val="20"/>
          <w:szCs w:val="20"/>
          <w:color w:val="auto"/>
        </w:rPr>
      </w:pPr>
    </w:p>
    <w:p>
      <w:pPr>
        <w:ind w:right="20" w:firstLine="510"/>
        <w:spacing w:after="0" w:line="251"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94"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3" w:lineRule="exact"/>
        <w:rPr>
          <w:sz w:val="20"/>
          <w:szCs w:val="20"/>
          <w:color w:val="auto"/>
        </w:rPr>
      </w:pPr>
    </w:p>
    <w:p>
      <w:pPr>
        <w:ind w:right="60" w:firstLine="510"/>
        <w:spacing w:after="0" w:line="265"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4" w:lineRule="exact"/>
        <w:rPr>
          <w:sz w:val="20"/>
          <w:szCs w:val="20"/>
          <w:color w:val="auto"/>
        </w:rPr>
      </w:pPr>
    </w:p>
    <w:p>
      <w:pPr>
        <w:ind w:right="40" w:firstLine="510"/>
        <w:spacing w:after="0" w:line="265"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3"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73" w:lineRule="exact"/>
        <w:rPr>
          <w:sz w:val="20"/>
          <w:szCs w:val="20"/>
          <w:color w:val="auto"/>
        </w:rPr>
      </w:pPr>
    </w:p>
    <w:p>
      <w:pPr>
        <w:ind w:right="100" w:firstLine="510"/>
        <w:spacing w:after="0" w:line="267"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0"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3"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3" w:lineRule="exact"/>
        <w:rPr>
          <w:sz w:val="20"/>
          <w:szCs w:val="20"/>
          <w:color w:val="auto"/>
        </w:rPr>
      </w:pPr>
    </w:p>
    <w:p>
      <w:pPr>
        <w:ind w:right="160" w:firstLine="510"/>
        <w:spacing w:after="0" w:line="26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3" w:lineRule="exact"/>
        <w:rPr>
          <w:sz w:val="20"/>
          <w:szCs w:val="20"/>
          <w:color w:val="auto"/>
        </w:rPr>
      </w:pPr>
    </w:p>
    <w:p>
      <w:pPr>
        <w:ind w:left="1020" w:right="220" w:hanging="507"/>
        <w:spacing w:after="0" w:line="26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72" w:lineRule="exact"/>
        <w:rPr>
          <w:rFonts w:ascii="Arial" w:cs="Arial" w:eastAsia="Arial" w:hAnsi="Arial"/>
          <w:sz w:val="18"/>
          <w:szCs w:val="18"/>
          <w:color w:val="auto"/>
        </w:rPr>
      </w:pPr>
    </w:p>
    <w:p>
      <w:pPr>
        <w:ind w:left="1020" w:right="480" w:hanging="507"/>
        <w:spacing w:after="0" w:line="26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license or may own in the future;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or our current or future licensors might not have been the first to file patent applications covering certain of our or their inventions;</w:t>
      </w:r>
    </w:p>
    <w:p>
      <w:pPr>
        <w:spacing w:after="0" w:line="124" w:lineRule="exact"/>
        <w:rPr>
          <w:rFonts w:ascii="Arial" w:cs="Arial" w:eastAsia="Arial" w:hAnsi="Arial"/>
          <w:sz w:val="17"/>
          <w:szCs w:val="17"/>
          <w:color w:val="auto"/>
        </w:rPr>
      </w:pPr>
    </w:p>
    <w:p>
      <w:pPr>
        <w:ind w:left="1020" w:right="340" w:hanging="507"/>
        <w:spacing w:after="0" w:line="26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2"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4" w:lineRule="exact"/>
        <w:rPr>
          <w:rFonts w:ascii="Arial" w:cs="Arial" w:eastAsia="Arial" w:hAnsi="Arial"/>
          <w:sz w:val="17"/>
          <w:szCs w:val="17"/>
          <w:color w:val="auto"/>
        </w:rPr>
      </w:pPr>
    </w:p>
    <w:p>
      <w:pPr>
        <w:ind w:left="1020" w:right="800" w:hanging="507"/>
        <w:spacing w:after="0" w:line="297"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9" w:lineRule="exact"/>
        <w:rPr>
          <w:rFonts w:ascii="Arial" w:cs="Arial" w:eastAsia="Arial" w:hAnsi="Arial"/>
          <w:sz w:val="17"/>
          <w:szCs w:val="17"/>
          <w:color w:val="auto"/>
        </w:rPr>
      </w:pPr>
    </w:p>
    <w:p>
      <w:pPr>
        <w:ind w:left="1020" w:hanging="507"/>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2" w:lineRule="exact"/>
        <w:rPr>
          <w:rFonts w:ascii="Arial" w:cs="Arial" w:eastAsia="Arial" w:hAnsi="Arial"/>
          <w:sz w:val="18"/>
          <w:szCs w:val="18"/>
          <w:color w:val="auto"/>
        </w:rPr>
      </w:pPr>
    </w:p>
    <w:p>
      <w:pPr>
        <w:ind w:left="1020" w:right="400" w:hanging="507"/>
        <w:spacing w:after="0" w:line="26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19"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73"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93" w:lineRule="exact"/>
        <w:rPr>
          <w:sz w:val="20"/>
          <w:szCs w:val="20"/>
          <w:color w:val="auto"/>
        </w:rPr>
      </w:pPr>
    </w:p>
    <w:p>
      <w:pPr>
        <w:ind w:right="20" w:firstLine="510"/>
        <w:spacing w:after="0" w:line="250"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660" w:right="379" w:bottom="1440" w:gutter="0" w:footer="0" w:header="0"/>
        </w:sectPr>
      </w:pPr>
    </w:p>
    <w:bookmarkStart w:id="71" w:name="page72"/>
    <w:bookmarkEnd w:id="71"/>
    <w:p>
      <w:pPr>
        <w:ind w:right="540"/>
        <w:spacing w:after="0" w:line="26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73" w:lineRule="exact"/>
        <w:rPr>
          <w:sz w:val="20"/>
          <w:szCs w:val="20"/>
          <w:color w:val="auto"/>
        </w:rPr>
      </w:pPr>
    </w:p>
    <w:p>
      <w:pPr>
        <w:ind w:firstLine="510"/>
        <w:spacing w:after="0" w:line="282" w:lineRule="auto"/>
        <w:rPr>
          <w:sz w:val="20"/>
          <w:szCs w:val="20"/>
          <w:color w:val="auto"/>
        </w:rPr>
      </w:pPr>
      <w:r>
        <w:rPr>
          <w:rFonts w:ascii="Arial" w:cs="Arial" w:eastAsia="Arial" w:hAnsi="Arial"/>
          <w:sz w:val="16"/>
          <w:szCs w:val="16"/>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3" w:lineRule="exact"/>
        <w:rPr>
          <w:sz w:val="20"/>
          <w:szCs w:val="20"/>
          <w:color w:val="auto"/>
        </w:rPr>
      </w:pPr>
    </w:p>
    <w:p>
      <w:pPr>
        <w:ind w:right="400" w:firstLine="510"/>
        <w:spacing w:after="0" w:line="253" w:lineRule="auto"/>
        <w:rPr>
          <w:sz w:val="20"/>
          <w:szCs w:val="20"/>
          <w:color w:val="auto"/>
        </w:rPr>
      </w:pPr>
      <w:r>
        <w:rPr>
          <w:rFonts w:ascii="Arial" w:cs="Arial" w:eastAsia="Arial" w:hAnsi="Arial"/>
          <w:sz w:val="18"/>
          <w:szCs w:val="18"/>
          <w:color w:val="auto"/>
        </w:rPr>
        <w:t>As of March 31, 2020, we had 100 full-time employees, including 84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87" w:lineRule="exact"/>
        <w:rPr>
          <w:sz w:val="20"/>
          <w:szCs w:val="20"/>
          <w:color w:val="auto"/>
        </w:rPr>
      </w:pPr>
    </w:p>
    <w:p>
      <w:pPr>
        <w:ind w:left="1020" w:hanging="507"/>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2" w:lineRule="exact"/>
        <w:rPr>
          <w:rFonts w:ascii="Arial" w:cs="Arial" w:eastAsia="Arial" w:hAnsi="Arial"/>
          <w:sz w:val="18"/>
          <w:szCs w:val="18"/>
          <w:color w:val="auto"/>
        </w:rPr>
      </w:pPr>
    </w:p>
    <w:p>
      <w:pPr>
        <w:ind w:left="1020" w:right="300" w:hanging="507"/>
        <w:spacing w:after="0" w:line="297"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49" w:lineRule="exact"/>
        <w:rPr>
          <w:rFonts w:ascii="Arial" w:cs="Arial" w:eastAsia="Arial" w:hAnsi="Arial"/>
          <w:sz w:val="17"/>
          <w:szCs w:val="17"/>
          <w:color w:val="auto"/>
        </w:rPr>
      </w:pPr>
    </w:p>
    <w:p>
      <w:pPr>
        <w:ind w:left="1020" w:hanging="507"/>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9" w:lineRule="exact"/>
        <w:rPr>
          <w:sz w:val="20"/>
          <w:szCs w:val="20"/>
          <w:color w:val="auto"/>
        </w:rPr>
      </w:pPr>
    </w:p>
    <w:p>
      <w:pPr>
        <w:ind w:right="140" w:firstLine="510"/>
        <w:spacing w:after="0" w:line="304" w:lineRule="auto"/>
        <w:rPr>
          <w:sz w:val="20"/>
          <w:szCs w:val="20"/>
          <w:color w:val="auto"/>
        </w:rPr>
      </w:pPr>
      <w:r>
        <w:rPr>
          <w:rFonts w:ascii="Arial" w:cs="Arial" w:eastAsia="Arial" w:hAnsi="Arial"/>
          <w:sz w:val="16"/>
          <w:szCs w:val="16"/>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5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7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295" w:lineRule="exact"/>
        <w:rPr>
          <w:sz w:val="20"/>
          <w:szCs w:val="20"/>
          <w:color w:val="auto"/>
        </w:rPr>
      </w:pPr>
    </w:p>
    <w:p>
      <w:pPr>
        <w:ind w:right="500"/>
        <w:spacing w:after="0" w:line="397" w:lineRule="auto"/>
        <w:rPr>
          <w:sz w:val="20"/>
          <w:szCs w:val="20"/>
          <w:color w:val="auto"/>
        </w:rPr>
      </w:pPr>
      <w:r>
        <w:rPr>
          <w:rFonts w:ascii="Arial" w:cs="Arial" w:eastAsia="Arial" w:hAnsi="Arial"/>
          <w:sz w:val="14"/>
          <w:szCs w:val="14"/>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ind w:firstLine="510"/>
        <w:spacing w:after="0" w:line="25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For example, in October 2018, we acquired all of the outstanding shares of Warp Drive Bio, which became our direct wholly-owned subsidiary.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2" w:name="page73"/>
    <w:bookmarkEnd w:id="72"/>
    <w:p>
      <w:pPr>
        <w:ind w:firstLine="510"/>
        <w:spacing w:after="0" w:line="286" w:lineRule="auto"/>
        <w:rPr>
          <w:sz w:val="20"/>
          <w:szCs w:val="20"/>
          <w:color w:val="auto"/>
        </w:rPr>
      </w:pPr>
      <w:r>
        <w:rPr>
          <w:rFonts w:ascii="Arial" w:cs="Arial" w:eastAsia="Arial" w:hAnsi="Arial"/>
          <w:sz w:val="16"/>
          <w:szCs w:val="16"/>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78"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3"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3"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00"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73"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8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If a natural disaster, power outage, outbreak of disease,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Furthermore, integral parties used in our preclinical activities and in our supply chain are similarly vulnerable to natural disasters, outbreak of disease, or other sudden, unforeseen and severe adverse events. If such an event were to affect our preclinical activities or our supply chain, it could have a material adverse effect on our business.</w:t>
      </w:r>
    </w:p>
    <w:p>
      <w:pPr>
        <w:spacing w:after="0" w:line="295"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Epidemic and pandemic diseases, such as COVID-19, or the perception of their effects, could have a material adverse effect on our business, financial condition, results of operations or cash flows.</w:t>
      </w:r>
    </w:p>
    <w:p>
      <w:pPr>
        <w:spacing w:after="0" w:line="73" w:lineRule="exact"/>
        <w:rPr>
          <w:sz w:val="20"/>
          <w:szCs w:val="20"/>
          <w:color w:val="auto"/>
        </w:rPr>
      </w:pPr>
    </w:p>
    <w:p>
      <w:pPr>
        <w:ind w:right="20" w:firstLine="510"/>
        <w:spacing w:after="0" w:line="265" w:lineRule="auto"/>
        <w:rPr>
          <w:sz w:val="20"/>
          <w:szCs w:val="20"/>
          <w:color w:val="auto"/>
        </w:rPr>
      </w:pPr>
      <w:r>
        <w:rPr>
          <w:rFonts w:ascii="Arial" w:cs="Arial" w:eastAsia="Arial" w:hAnsi="Arial"/>
          <w:sz w:val="17"/>
          <w:szCs w:val="17"/>
          <w:color w:val="auto"/>
        </w:rPr>
        <w:t>Outbreaks of epidemic, pandemic or contagious diseases, such as the recent SAR-CoV-2 virus, or, historically, the Ebola virus, Middle East Respiratory Syndrome, Severe Acute Respiratory Syndrome or the H1N1 virus, could significantly disrupt our business. Such outbreaks pose the risk that we or our employees, contractors, suppliers, and other partners may be prevented from conducting business activities for an indefinite period of time due to spread of the disease within these groups, or due to shutdowns that may be requested or mandated by federal, state and local governmental authorities. Business disruptions could include disruptions or restrictions on our ability to travel, as well as temporary closures of our facilities and the facilities of our partners, clinical trial sites, service providers, suppliers or contract manufacturers. While it is not possible at this time to estimate the overall impact that COVID-19 will have on our business, the continued rapid spread of COVID-19, both across the United States and through much of the world, and the measures taken by the governments of countries and local authorities affected could disrupt and delay our ongoing clinical trials, our preclinical activities, the manufacture or shipment of both drug substance and finished drug product for our product candidates for preclinical testing and clinical trials and adversely impact our business,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3" w:name="page74"/>
    <w:bookmarkEnd w:id="73"/>
    <w:p>
      <w:pPr>
        <w:ind w:right="20" w:firstLine="510"/>
        <w:spacing w:after="0" w:line="281" w:lineRule="auto"/>
        <w:rPr>
          <w:sz w:val="20"/>
          <w:szCs w:val="20"/>
          <w:color w:val="auto"/>
        </w:rPr>
      </w:pPr>
      <w:r>
        <w:rPr>
          <w:rFonts w:ascii="Arial" w:cs="Arial" w:eastAsia="Arial" w:hAnsi="Arial"/>
          <w:sz w:val="16"/>
          <w:szCs w:val="16"/>
          <w:color w:val="auto"/>
        </w:rPr>
        <w:t>For example, as a result of the COVID-19 pandemic, the state of California, where our corporate offices are located, has issued orders for all residents to remain at home, except as needed for essential activities, and we have had to implement work from home policies that may continue for an indefinite period. We have taken steps to ensure the safety of our patients and employees, while working to ensure the sustainability of our business operations as this unprecedented situation continues to evolve. We continue to evaluate the impact of COVID-19 on the healthcare system and work with healthcare providers supporting our clinical studies to mitigate risk to patients while taking into account regulatory, institutional, and government guidance and policies. 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preclinical tests and clinical trials are located in countries affected by COVID-19, and should they experience continued disruptions, such as temporary closures or suspension of services, we would likely experience delays in advancing clinical trials. Currently, we expect no material impact on the clinical supply of RMC-4630. 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on a timely basis or at all.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1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addition, a significant outbreak of epidemic, pandemic or contagious diseases in the human population, such as the global COVID-19 pandemic, could result in a widespread health crisis and adversely affect the economies and financial markets of many countries, resulting in an economic downturn that could affect demand for our current or future products. Any of these events could have a material adverse effect on our business, financial condition, results of operations or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4"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28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73" w:lineRule="exact"/>
        <w:rPr>
          <w:sz w:val="20"/>
          <w:szCs w:val="20"/>
          <w:color w:val="auto"/>
        </w:rPr>
      </w:pPr>
    </w:p>
    <w:p>
      <w:pPr>
        <w:ind w:right="40" w:firstLine="510"/>
        <w:spacing w:after="0" w:line="281"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13"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81" w:lineRule="exact"/>
        <w:rPr>
          <w:sz w:val="20"/>
          <w:szCs w:val="20"/>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or those of our competitors;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companion diagnostics;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3" w:lineRule="exact"/>
        <w:rPr>
          <w:sz w:val="20"/>
          <w:szCs w:val="20"/>
          <w:color w:val="auto"/>
        </w:rPr>
      </w:pPr>
    </w:p>
    <w:p>
      <w:pPr>
        <w:ind w:right="40" w:firstLine="510"/>
        <w:spacing w:after="0" w:line="295" w:lineRule="auto"/>
        <w:rPr>
          <w:sz w:val="20"/>
          <w:szCs w:val="20"/>
          <w:color w:val="auto"/>
        </w:rPr>
      </w:pPr>
      <w:r>
        <w:rPr>
          <w:rFonts w:ascii="Arial" w:cs="Arial" w:eastAsia="Arial" w:hAnsi="Arial"/>
          <w:sz w:val="16"/>
          <w:szCs w:val="16"/>
          <w:color w:val="auto"/>
        </w:rPr>
        <w:t>Our common stock is currently listed on the Nasdaq Global Select Market under the symbol “RVMD”.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3"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3"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73"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54" w:right="359" w:bottom="1440" w:gutter="0" w:footer="0" w:header="0"/>
        </w:sectPr>
      </w:pPr>
    </w:p>
    <w:bookmarkStart w:id="75" w:name="page76"/>
    <w:bookmarkEnd w:id="75"/>
    <w:p>
      <w:pPr>
        <w:ind w:right="180" w:firstLine="510"/>
        <w:spacing w:after="0" w:line="270"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6"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your ability to influence corporate matters and could delay or prevent a change in corporate control.</w:t>
      </w:r>
    </w:p>
    <w:p>
      <w:pPr>
        <w:spacing w:after="0" w:line="73"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As of March 31, 2020, our executive officers, directors and their affiliates beneficially own, in the aggregate, approximately 43%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0" w:lineRule="exact"/>
        <w:rPr>
          <w:sz w:val="20"/>
          <w:szCs w:val="20"/>
          <w:color w:val="auto"/>
        </w:rPr>
      </w:pPr>
    </w:p>
    <w:p>
      <w:pPr>
        <w:ind w:left="1020" w:hanging="507"/>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9" w:lineRule="exact"/>
        <w:rPr>
          <w:sz w:val="20"/>
          <w:szCs w:val="20"/>
          <w:color w:val="auto"/>
        </w:rPr>
      </w:pPr>
    </w:p>
    <w:p>
      <w:pPr>
        <w:ind w:right="640" w:firstLine="510"/>
        <w:spacing w:after="0" w:line="257"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under the caption “Security Ownership of Certain Beneficial Owners and Management” in our 2019 Form 10-K for more information regarding the ownership of our outstanding common stock by our executive officers, directors and their affiliates.</w:t>
      </w:r>
    </w:p>
    <w:p>
      <w:pPr>
        <w:spacing w:after="0" w:line="29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w:t>
      </w:r>
    </w:p>
    <w:p>
      <w:pPr>
        <w:spacing w:after="0" w:line="73" w:lineRule="exact"/>
        <w:rPr>
          <w:sz w:val="20"/>
          <w:szCs w:val="20"/>
          <w:color w:val="auto"/>
        </w:rPr>
      </w:pPr>
    </w:p>
    <w:p>
      <w:pPr>
        <w:ind w:right="100" w:firstLine="510"/>
        <w:spacing w:after="0" w:line="282"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Securities Exchange Act of 1934, as amended, or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their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8"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3" w:lineRule="exact"/>
        <w:rPr>
          <w:sz w:val="20"/>
          <w:szCs w:val="20"/>
          <w:color w:val="auto"/>
        </w:rPr>
      </w:pPr>
    </w:p>
    <w:p>
      <w:pPr>
        <w:ind w:right="40" w:firstLine="510"/>
        <w:spacing w:after="0" w:line="26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6" w:name="page77"/>
    <w:bookmarkEnd w:id="76"/>
    <w:p>
      <w:pPr>
        <w:ind w:firstLine="510"/>
        <w:spacing w:after="0" w:line="285" w:lineRule="auto"/>
        <w:rPr>
          <w:sz w:val="20"/>
          <w:szCs w:val="20"/>
          <w:color w:val="auto"/>
        </w:rPr>
      </w:pPr>
      <w:r>
        <w:rPr>
          <w:rFonts w:ascii="Arial" w:cs="Arial" w:eastAsia="Arial" w:hAnsi="Arial"/>
          <w:sz w:val="16"/>
          <w:szCs w:val="16"/>
          <w:color w:val="auto"/>
        </w:rPr>
        <w:t>As of March 31, 2020, we had outstanding 59,003,644 shares of common stock. The resale of 42,895,971 shares, or 73%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our IPO. The lock-up agreements with the underwriters or market stand-off provisions in agreements with us will expire 180 days after February 12, 2020. J.P. Morgan Securities LLC may, in its sole discretion, permit our stockholders who are subject to these lock-up agreements to sell shares prior to the expiration of the lock-up agreements. After the lock-up agreements with the underwriters or market stand-off provisions in agreements with us expire, the shares of common stock will be eligible for sale in the public market. Approximately 55% of these additional shares are held by directors, executive officers and other affiliates and will be subject to certain limitations of Rule 144 under the Securities Act of 1933, as amended, or the Securities Act.</w:t>
      </w:r>
    </w:p>
    <w:p>
      <w:pPr>
        <w:spacing w:after="0" w:line="171" w:lineRule="exact"/>
        <w:rPr>
          <w:sz w:val="20"/>
          <w:szCs w:val="20"/>
          <w:color w:val="auto"/>
        </w:rPr>
      </w:pPr>
    </w:p>
    <w:p>
      <w:pPr>
        <w:ind w:right="260" w:firstLine="510"/>
        <w:spacing w:after="0" w:line="295" w:lineRule="auto"/>
        <w:rPr>
          <w:sz w:val="20"/>
          <w:szCs w:val="20"/>
          <w:color w:val="auto"/>
        </w:rPr>
      </w:pPr>
      <w:r>
        <w:rPr>
          <w:rFonts w:ascii="Arial" w:cs="Arial" w:eastAsia="Arial" w:hAnsi="Arial"/>
          <w:sz w:val="16"/>
          <w:szCs w:val="16"/>
          <w:color w:val="auto"/>
        </w:rPr>
        <w:t>As of March 31, 2020, 11,207,358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market stand-off provisions in agreements with us and Rule 144 and Rule 701 under the Securities Act. If these additional shares of common stock are sold, or if it is perceived that they will be sold, in the public market, the market price of our common stock could decline.</w:t>
      </w:r>
    </w:p>
    <w:p>
      <w:pPr>
        <w:spacing w:after="0" w:line="16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In addition, holders of approximately 39.6 million shares of our common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300"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has been limited by “ownership changes” and may be further limited.</w:t>
      </w:r>
    </w:p>
    <w:p>
      <w:pPr>
        <w:spacing w:after="0" w:line="73"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in the past experienced, and we may in the future experience ownership changes as a result of our IPO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9"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73"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7" w:name="page78"/>
    <w:bookmarkEnd w:id="77"/>
    <w:p>
      <w:pPr>
        <w:ind w:right="60"/>
        <w:spacing w:after="0" w:line="330"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7" w:lineRule="exact"/>
        <w:rPr>
          <w:sz w:val="20"/>
          <w:szCs w:val="20"/>
          <w:color w:val="auto"/>
        </w:rPr>
      </w:pPr>
    </w:p>
    <w:p>
      <w:pPr>
        <w:ind w:right="260" w:firstLine="510"/>
        <w:spacing w:after="0" w:line="252"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w:t>
      </w:r>
    </w:p>
    <w:p>
      <w:pPr>
        <w:spacing w:after="0" w:line="193" w:lineRule="exact"/>
        <w:rPr>
          <w:sz w:val="20"/>
          <w:szCs w:val="20"/>
          <w:color w:val="auto"/>
        </w:rPr>
      </w:pPr>
    </w:p>
    <w:p>
      <w:pPr>
        <w:ind w:right="740" w:firstLine="510"/>
        <w:spacing w:after="0" w:line="267" w:lineRule="auto"/>
        <w:rPr>
          <w:sz w:val="20"/>
          <w:szCs w:val="20"/>
          <w:color w:val="auto"/>
        </w:rPr>
      </w:pPr>
      <w:r>
        <w:rPr>
          <w:rFonts w:ascii="Arial" w:cs="Arial" w:eastAsia="Arial" w:hAnsi="Arial"/>
          <w:sz w:val="18"/>
          <w:szCs w:val="18"/>
          <w:color w:val="auto"/>
        </w:rPr>
        <w:t>To comply with the requirements of being a reporting company under the Exchange Act, we will need to implement additional financial and management controls, reporting systems and procedures and hire additional accounting and finance staff.</w:t>
      </w:r>
    </w:p>
    <w:p>
      <w:pPr>
        <w:spacing w:after="0" w:line="17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8"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73" w:lineRule="exact"/>
        <w:rPr>
          <w:sz w:val="20"/>
          <w:szCs w:val="20"/>
          <w:color w:val="auto"/>
        </w:rPr>
      </w:pPr>
    </w:p>
    <w:p>
      <w:pPr>
        <w:ind w:right="360" w:firstLine="510"/>
        <w:spacing w:after="0" w:line="29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49" w:lineRule="exact"/>
        <w:rPr>
          <w:sz w:val="20"/>
          <w:szCs w:val="20"/>
          <w:color w:val="auto"/>
        </w:rPr>
      </w:pPr>
    </w:p>
    <w:p>
      <w:pPr>
        <w:ind w:left="1020" w:right="380" w:hanging="507"/>
        <w:spacing w:after="0" w:line="26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2" w:lineRule="exact"/>
        <w:rPr>
          <w:rFonts w:ascii="Arial" w:cs="Arial" w:eastAsia="Arial" w:hAnsi="Arial"/>
          <w:sz w:val="18"/>
          <w:szCs w:val="18"/>
          <w:color w:val="auto"/>
        </w:rPr>
      </w:pPr>
    </w:p>
    <w:p>
      <w:pPr>
        <w:ind w:left="1020" w:right="620" w:hanging="507"/>
        <w:spacing w:after="0" w:line="330"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27" w:lineRule="exact"/>
        <w:rPr>
          <w:rFonts w:ascii="Arial" w:cs="Arial" w:eastAsia="Arial" w:hAnsi="Arial"/>
          <w:sz w:val="16"/>
          <w:szCs w:val="16"/>
          <w:color w:val="auto"/>
        </w:rPr>
      </w:pPr>
    </w:p>
    <w:p>
      <w:pPr>
        <w:jc w:val="both"/>
        <w:ind w:left="1020" w:right="240" w:hanging="507"/>
        <w:spacing w:after="0" w:line="25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1" w:lineRule="exact"/>
        <w:rPr>
          <w:rFonts w:ascii="Arial" w:cs="Arial" w:eastAsia="Arial" w:hAnsi="Arial"/>
          <w:sz w:val="18"/>
          <w:szCs w:val="18"/>
          <w:color w:val="auto"/>
        </w:rPr>
      </w:pPr>
    </w:p>
    <w:p>
      <w:pPr>
        <w:ind w:left="1020" w:hanging="507"/>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2" w:lineRule="exact"/>
        <w:rPr>
          <w:rFonts w:ascii="Arial" w:cs="Arial" w:eastAsia="Arial" w:hAnsi="Arial"/>
          <w:sz w:val="18"/>
          <w:szCs w:val="18"/>
          <w:color w:val="auto"/>
        </w:rPr>
      </w:pPr>
    </w:p>
    <w:p>
      <w:pPr>
        <w:ind w:left="1020" w:right="280" w:hanging="507"/>
        <w:spacing w:after="0" w:line="25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81" w:lineRule="exact"/>
        <w:rPr>
          <w:rFonts w:ascii="Arial" w:cs="Arial" w:eastAsia="Arial" w:hAnsi="Arial"/>
          <w:sz w:val="18"/>
          <w:szCs w:val="18"/>
          <w:color w:val="auto"/>
        </w:rPr>
      </w:pPr>
    </w:p>
    <w:p>
      <w:pPr>
        <w:ind w:left="1020" w:right="460" w:hanging="507"/>
        <w:spacing w:after="0" w:line="26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2" w:lineRule="exact"/>
        <w:rPr>
          <w:rFonts w:ascii="Arial" w:cs="Arial" w:eastAsia="Arial" w:hAnsi="Arial"/>
          <w:sz w:val="18"/>
          <w:szCs w:val="18"/>
          <w:color w:val="auto"/>
        </w:rPr>
      </w:pPr>
    </w:p>
    <w:p>
      <w:pPr>
        <w:ind w:left="1020" w:right="500" w:hanging="507"/>
        <w:spacing w:after="0" w:line="25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81" w:lineRule="exact"/>
        <w:rPr>
          <w:rFonts w:ascii="Arial" w:cs="Arial" w:eastAsia="Arial" w:hAnsi="Arial"/>
          <w:sz w:val="18"/>
          <w:szCs w:val="18"/>
          <w:color w:val="auto"/>
        </w:rPr>
      </w:pPr>
    </w:p>
    <w:p>
      <w:pPr>
        <w:ind w:left="1020" w:right="140" w:hanging="507"/>
        <w:spacing w:after="0" w:line="25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78" w:name="page79"/>
    <w:bookmarkEnd w:id="78"/>
    <w:p>
      <w:pPr>
        <w:ind w:right="20" w:firstLine="510"/>
        <w:spacing w:after="0" w:line="257"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95"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73" w:lineRule="exact"/>
        <w:rPr>
          <w:sz w:val="20"/>
          <w:szCs w:val="20"/>
          <w:color w:val="auto"/>
        </w:rPr>
      </w:pPr>
    </w:p>
    <w:p>
      <w:pPr>
        <w:ind w:right="160" w:firstLine="510"/>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9" w:lineRule="exact"/>
        <w:rPr>
          <w:sz w:val="20"/>
          <w:szCs w:val="20"/>
          <w:color w:val="auto"/>
        </w:rPr>
      </w:pPr>
    </w:p>
    <w:p>
      <w:pPr>
        <w:ind w:right="280" w:firstLine="510"/>
        <w:spacing w:after="0" w:line="330"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which became effective immediately prior to the completion of our IPO and our indemnification agreements that we have entered into with our directors and officers provide that:</w:t>
      </w:r>
    </w:p>
    <w:p>
      <w:pPr>
        <w:spacing w:after="0" w:line="27" w:lineRule="exact"/>
        <w:rPr>
          <w:sz w:val="20"/>
          <w:szCs w:val="20"/>
          <w:color w:val="auto"/>
        </w:rPr>
      </w:pPr>
    </w:p>
    <w:p>
      <w:pPr>
        <w:ind w:left="1020" w:right="240" w:hanging="507"/>
        <w:spacing w:after="0" w:line="273"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0" w:lineRule="exact"/>
        <w:rPr>
          <w:rFonts w:ascii="Arial" w:cs="Arial" w:eastAsia="Arial" w:hAnsi="Arial"/>
          <w:sz w:val="17"/>
          <w:szCs w:val="17"/>
          <w:color w:val="auto"/>
        </w:rPr>
      </w:pPr>
    </w:p>
    <w:p>
      <w:pPr>
        <w:ind w:left="1020" w:hanging="507"/>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35" w:lineRule="exact"/>
        <w:rPr>
          <w:rFonts w:ascii="Arial" w:cs="Arial" w:eastAsia="Arial" w:hAnsi="Arial"/>
          <w:sz w:val="16"/>
          <w:szCs w:val="16"/>
          <w:color w:val="auto"/>
        </w:rPr>
      </w:pPr>
    </w:p>
    <w:p>
      <w:pPr>
        <w:jc w:val="both"/>
        <w:ind w:left="1020" w:right="320" w:hanging="507"/>
        <w:spacing w:after="0" w:line="330"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7" w:lineRule="exact"/>
        <w:rPr>
          <w:rFonts w:ascii="Arial" w:cs="Arial" w:eastAsia="Arial" w:hAnsi="Arial"/>
          <w:sz w:val="16"/>
          <w:szCs w:val="16"/>
          <w:color w:val="auto"/>
        </w:rPr>
      </w:pPr>
    </w:p>
    <w:p>
      <w:pPr>
        <w:ind w:left="1020" w:right="240" w:hanging="507"/>
        <w:spacing w:after="0" w:line="25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81"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2" w:lineRule="exact"/>
        <w:rPr>
          <w:rFonts w:ascii="Arial" w:cs="Arial" w:eastAsia="Arial" w:hAnsi="Arial"/>
          <w:sz w:val="18"/>
          <w:szCs w:val="18"/>
          <w:color w:val="auto"/>
        </w:rPr>
      </w:pPr>
    </w:p>
    <w:p>
      <w:pPr>
        <w:ind w:left="1020" w:right="280" w:hanging="507"/>
        <w:spacing w:after="0" w:line="26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8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preclude stockholders that assert claims under the Securities Act or the Exchange Act from bringing such claims in state or federal court, subject to applicable law.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9" w:name="page80"/>
    <w:bookmarkEnd w:id="79"/>
    <w:p>
      <w:pPr>
        <w:ind w:firstLine="510"/>
        <w:spacing w:after="0" w:line="266"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that is included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3" w:lineRule="exact"/>
        <w:rPr>
          <w:sz w:val="20"/>
          <w:szCs w:val="20"/>
          <w:color w:val="auto"/>
        </w:rPr>
      </w:pPr>
    </w:p>
    <w:p>
      <w:pPr>
        <w:ind w:right="60" w:firstLine="510"/>
        <w:spacing w:after="0" w:line="283" w:lineRule="auto"/>
        <w:rPr>
          <w:sz w:val="20"/>
          <w:szCs w:val="20"/>
          <w:color w:val="auto"/>
        </w:rPr>
      </w:pPr>
      <w:r>
        <w:rPr>
          <w:rFonts w:ascii="Arial" w:cs="Arial" w:eastAsia="Arial" w:hAnsi="Arial"/>
          <w:sz w:val="16"/>
          <w:szCs w:val="16"/>
          <w:color w:val="auto"/>
        </w:rPr>
        <w:t>On December 22, 2017, the U.S. government enacted the TCJA, which significantly reforms the Code. The TCJA, among other things, contains significant changes to corporate taxation, including reduction of the U.S. federal income corporate tax rate from a top marginal rate of 35% to a flat rate of 21%, effective January 1, 2018;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We continue to examine the impact this tax reform legislation may have on our business.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While we have completed our accounting for the effects of the TCJA, additional regulatory guidance may still be issued by the applicable taxing authorities which could materially affect our tax obligations and effective tax rate.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113" w:lineRule="exact"/>
        <w:rPr>
          <w:sz w:val="20"/>
          <w:szCs w:val="20"/>
          <w:color w:val="auto"/>
        </w:rPr>
      </w:pPr>
    </w:p>
    <w:p>
      <w:pPr>
        <w:ind w:right="20" w:firstLine="510"/>
        <w:spacing w:after="0" w:line="250" w:lineRule="auto"/>
        <w:rPr>
          <w:sz w:val="20"/>
          <w:szCs w:val="20"/>
          <w:color w:val="auto"/>
        </w:rPr>
      </w:pPr>
      <w:r>
        <w:rPr>
          <w:rFonts w:ascii="Arial" w:cs="Arial" w:eastAsia="Arial" w:hAnsi="Arial"/>
          <w:sz w:val="18"/>
          <w:szCs w:val="18"/>
          <w:color w:val="auto"/>
        </w:rPr>
        <w:t>On February 12, 2020, our registration statement on Form S-1 (File No. 333-235968) relating to our IPO of common stock became effective. The IPO closed on February 18, 2020 at which time we issued 16,100,000 shares of common stock (including the exercise in full by the underwriters of their option to purchase an additional 2,100,000 shares of common stock) at a public offering price of $17.00 per share. We received net proceeds from the IPO of approximately $250.7 million, after deducting the underwriting discounts and commissions of $19.2 million and expenses of $3.8 million. None of the expenses associated with the IPO were paid to directors, officers, persons owning 10% or more of any class of equity securities, or to our affiliates. J.P. Morgan Securities LLC, Cowen and Company, LLC, SVB Leerink LLC and Guggenheim Securities, LLC acted as joint book-running managers for the offering.</w:t>
      </w:r>
    </w:p>
    <w:p>
      <w:pPr>
        <w:spacing w:after="0" w:line="197" w:lineRule="exact"/>
        <w:rPr>
          <w:sz w:val="20"/>
          <w:szCs w:val="20"/>
          <w:color w:val="auto"/>
        </w:rPr>
      </w:pPr>
    </w:p>
    <w:p>
      <w:pPr>
        <w:ind w:right="200" w:firstLine="510"/>
        <w:spacing w:after="0" w:line="26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February 13,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654"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tbl>
      <w:tblPr>
        <w:tblLayout w:type="fixed"/>
        <w:tblInd w:w="1040" w:type="dxa"/>
        <w:tblCellMar>
          <w:top w:w="0" w:type="dxa"/>
          <w:left w:w="0" w:type="dxa"/>
          <w:bottom w:w="0" w:type="dxa"/>
          <w:right w:w="0" w:type="dxa"/>
        </w:tblCellMar>
      </w:tblPr>
      <w:tr>
        <w:trPr>
          <w:trHeight w:val="214"/>
        </w:trPr>
        <w:tc>
          <w:tcPr>
            <w:tcW w:w="1380" w:type="dxa"/>
            <w:vAlign w:val="bottom"/>
          </w:tcPr>
          <w:p>
            <w:pPr>
              <w:jc w:val="center"/>
              <w:ind w:right="720"/>
              <w:spacing w:after="0"/>
              <w:rPr>
                <w:sz w:val="20"/>
                <w:szCs w:val="20"/>
                <w:color w:val="auto"/>
              </w:rPr>
            </w:pPr>
            <w:r>
              <w:rPr>
                <w:rFonts w:ascii="Arial" w:cs="Arial" w:eastAsia="Arial" w:hAnsi="Arial"/>
                <w:sz w:val="16"/>
                <w:szCs w:val="16"/>
                <w:b w:val="1"/>
                <w:bCs w:val="1"/>
                <w:color w:val="auto"/>
                <w:w w:val="93"/>
              </w:rPr>
              <w:t>Exhibit</w:t>
            </w:r>
          </w:p>
        </w:tc>
        <w:tc>
          <w:tcPr>
            <w:tcW w:w="3520" w:type="dxa"/>
            <w:vAlign w:val="bottom"/>
          </w:tcPr>
          <w:p>
            <w:pPr>
              <w:spacing w:after="0"/>
              <w:rPr>
                <w:sz w:val="18"/>
                <w:szCs w:val="18"/>
                <w:color w:val="auto"/>
              </w:rPr>
            </w:pPr>
          </w:p>
        </w:tc>
        <w:tc>
          <w:tcPr>
            <w:tcW w:w="2580" w:type="dxa"/>
            <w:vAlign w:val="bottom"/>
            <w:tcBorders>
              <w:bottom w:val="single" w:sz="8" w:color="auto"/>
            </w:tcBorders>
            <w:gridSpan w:val="2"/>
          </w:tcPr>
          <w:p>
            <w:pPr>
              <w:ind w:left="720"/>
              <w:spacing w:after="0"/>
              <w:rPr>
                <w:sz w:val="20"/>
                <w:szCs w:val="20"/>
                <w:color w:val="auto"/>
              </w:rPr>
            </w:pPr>
            <w:r>
              <w:rPr>
                <w:rFonts w:ascii="Arial" w:cs="Arial" w:eastAsia="Arial" w:hAnsi="Arial"/>
                <w:sz w:val="16"/>
                <w:szCs w:val="16"/>
                <w:b w:val="1"/>
                <w:bCs w:val="1"/>
                <w:color w:val="auto"/>
                <w:w w:val="90"/>
              </w:rPr>
              <w:t>Incorporated by Reference</w:t>
            </w:r>
          </w:p>
        </w:tc>
        <w:tc>
          <w:tcPr>
            <w:tcW w:w="800" w:type="dxa"/>
            <w:vAlign w:val="bottom"/>
            <w:tcBorders>
              <w:bottom w:val="single" w:sz="8" w:color="auto"/>
            </w:tcBorders>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Provided</w:t>
            </w:r>
          </w:p>
        </w:tc>
      </w:tr>
      <w:tr>
        <w:trPr>
          <w:trHeight w:val="202"/>
        </w:trPr>
        <w:tc>
          <w:tcPr>
            <w:tcW w:w="1380" w:type="dxa"/>
            <w:vAlign w:val="bottom"/>
          </w:tcPr>
          <w:p>
            <w:pPr>
              <w:jc w:val="center"/>
              <w:ind w:right="720"/>
              <w:spacing w:after="0"/>
              <w:rPr>
                <w:sz w:val="20"/>
                <w:szCs w:val="20"/>
                <w:color w:val="auto"/>
              </w:rPr>
            </w:pPr>
            <w:r>
              <w:rPr>
                <w:rFonts w:ascii="Arial" w:cs="Arial" w:eastAsia="Arial" w:hAnsi="Arial"/>
                <w:sz w:val="16"/>
                <w:szCs w:val="16"/>
                <w:b w:val="1"/>
                <w:bCs w:val="1"/>
                <w:color w:val="auto"/>
                <w:w w:val="95"/>
              </w:rPr>
              <w:t>Number</w:t>
            </w:r>
          </w:p>
        </w:tc>
        <w:tc>
          <w:tcPr>
            <w:tcW w:w="3520" w:type="dxa"/>
            <w:vAlign w:val="bottom"/>
          </w:tcPr>
          <w:p>
            <w:pPr>
              <w:ind w:left="800"/>
              <w:spacing w:after="0"/>
              <w:rPr>
                <w:sz w:val="20"/>
                <w:szCs w:val="20"/>
                <w:color w:val="auto"/>
              </w:rPr>
            </w:pPr>
            <w:r>
              <w:rPr>
                <w:rFonts w:ascii="Arial" w:cs="Arial" w:eastAsia="Arial" w:hAnsi="Arial"/>
                <w:sz w:val="16"/>
                <w:szCs w:val="16"/>
                <w:b w:val="1"/>
                <w:bCs w:val="1"/>
                <w:color w:val="auto"/>
              </w:rPr>
              <w:t>Exhibit Description</w:t>
            </w:r>
          </w:p>
        </w:tc>
        <w:tc>
          <w:tcPr>
            <w:tcW w:w="1220" w:type="dxa"/>
            <w:vAlign w:val="bottom"/>
          </w:tcPr>
          <w:p>
            <w:pPr>
              <w:ind w:left="400"/>
              <w:spacing w:after="0"/>
              <w:rPr>
                <w:sz w:val="20"/>
                <w:szCs w:val="20"/>
                <w:color w:val="auto"/>
              </w:rPr>
            </w:pPr>
            <w:r>
              <w:rPr>
                <w:rFonts w:ascii="Arial" w:cs="Arial" w:eastAsia="Arial" w:hAnsi="Arial"/>
                <w:sz w:val="16"/>
                <w:szCs w:val="16"/>
                <w:b w:val="1"/>
                <w:bCs w:val="1"/>
                <w:color w:val="auto"/>
              </w:rPr>
              <w:t>Form</w:t>
            </w:r>
          </w:p>
        </w:tc>
        <w:tc>
          <w:tcPr>
            <w:tcW w:w="1360" w:type="dxa"/>
            <w:vAlign w:val="bottom"/>
          </w:tcPr>
          <w:p>
            <w:pPr>
              <w:ind w:left="440"/>
              <w:spacing w:after="0"/>
              <w:rPr>
                <w:sz w:val="20"/>
                <w:szCs w:val="20"/>
                <w:color w:val="auto"/>
              </w:rPr>
            </w:pPr>
            <w:r>
              <w:rPr>
                <w:rFonts w:ascii="Arial" w:cs="Arial" w:eastAsia="Arial" w:hAnsi="Arial"/>
                <w:sz w:val="16"/>
                <w:szCs w:val="16"/>
                <w:b w:val="1"/>
                <w:bCs w:val="1"/>
                <w:color w:val="auto"/>
              </w:rPr>
              <w:t>Date</w:t>
            </w: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-5080</wp:posOffset>
            </wp:positionV>
            <wp:extent cx="60934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93460" cy="8255"/>
                    </a:xfrm>
                    <a:prstGeom prst="rect">
                      <a:avLst/>
                    </a:prstGeom>
                    <a:noFill/>
                  </pic:spPr>
                </pic:pic>
              </a:graphicData>
            </a:graphic>
          </wp:anchor>
        </w:drawing>
      </w:r>
    </w:p>
    <w:p>
      <w:pPr>
        <w:sectPr>
          <w:pgSz w:w="11900" w:h="16838" w:orient="portrait"/>
          <w:cols w:equalWidth="0" w:num="1">
            <w:col w:w="10180"/>
          </w:cols>
          <w:pgMar w:left="320" w:top="334" w:right="1399" w:bottom="1440" w:gutter="0" w:footer="0" w:header="0"/>
        </w:sectPr>
      </w:pPr>
    </w:p>
    <w:tbl>
      <w:tblPr>
        <w:tblLayout w:type="fixed"/>
        <w:tblInd w:w="820" w:type="dxa"/>
        <w:tblCellMar>
          <w:top w:w="0" w:type="dxa"/>
          <w:left w:w="0" w:type="dxa"/>
          <w:bottom w:w="0" w:type="dxa"/>
          <w:right w:w="0" w:type="dxa"/>
        </w:tblCellMar>
      </w:tblPr>
      <w:tr>
        <w:trPr>
          <w:trHeight w:val="165"/>
        </w:trPr>
        <w:tc>
          <w:tcPr>
            <w:tcW w:w="1020" w:type="dxa"/>
            <w:vAlign w:val="bottom"/>
          </w:tcPr>
          <w:p>
            <w:pPr>
              <w:jc w:val="right"/>
              <w:ind w:right="660"/>
              <w:spacing w:after="0" w:line="165" w:lineRule="exact"/>
              <w:rPr>
                <w:sz w:val="20"/>
                <w:szCs w:val="20"/>
                <w:color w:val="auto"/>
              </w:rPr>
            </w:pPr>
            <w:r>
              <w:rPr>
                <w:rFonts w:ascii="Arial" w:cs="Arial" w:eastAsia="Arial" w:hAnsi="Arial"/>
                <w:sz w:val="16"/>
                <w:szCs w:val="16"/>
                <w:color w:val="auto"/>
              </w:rPr>
              <w:t>2.1</w:t>
            </w:r>
          </w:p>
        </w:tc>
        <w:tc>
          <w:tcPr>
            <w:tcW w:w="3960" w:type="dxa"/>
            <w:vAlign w:val="bottom"/>
            <w:tcBorders>
              <w:bottom w:val="single" w:sz="8" w:color="0000EE"/>
            </w:tcBorders>
            <w:gridSpan w:val="13"/>
          </w:tcPr>
          <w:p>
            <w:pPr>
              <w:spacing w:after="0" w:line="165" w:lineRule="exact"/>
              <w:rPr>
                <w:rFonts w:ascii="Arial" w:cs="Arial" w:eastAsia="Arial" w:hAnsi="Arial"/>
                <w:sz w:val="16"/>
                <w:szCs w:val="16"/>
                <w:color w:val="0000EE"/>
                <w:w w:val="89"/>
              </w:rPr>
            </w:pPr>
            <w:hyperlink r:id="rId107">
              <w:r>
                <w:rPr>
                  <w:rFonts w:ascii="Arial" w:cs="Arial" w:eastAsia="Arial" w:hAnsi="Arial"/>
                  <w:sz w:val="16"/>
                  <w:szCs w:val="16"/>
                  <w:color w:val="0000EE"/>
                  <w:w w:val="89"/>
                </w:rPr>
                <w:t>Agreement and Plan of Merger, dated as of October 15, 2018,</w:t>
              </w:r>
            </w:hyperlink>
          </w:p>
        </w:tc>
        <w:tc>
          <w:tcPr>
            <w:tcW w:w="300" w:type="dxa"/>
            <w:vAlign w:val="bottom"/>
            <w:gridSpan w:val="2"/>
          </w:tcPr>
          <w:p>
            <w:pPr>
              <w:spacing w:after="0"/>
              <w:rPr>
                <w:sz w:val="14"/>
                <w:szCs w:val="14"/>
                <w:color w:val="auto"/>
              </w:rPr>
            </w:pPr>
          </w:p>
        </w:tc>
        <w:tc>
          <w:tcPr>
            <w:tcW w:w="980" w:type="dxa"/>
            <w:vAlign w:val="bottom"/>
          </w:tcPr>
          <w:p>
            <w:pPr>
              <w:jc w:val="center"/>
              <w:ind w:right="40"/>
              <w:spacing w:after="0" w:line="165" w:lineRule="exact"/>
              <w:rPr>
                <w:sz w:val="20"/>
                <w:szCs w:val="20"/>
                <w:color w:val="auto"/>
              </w:rPr>
            </w:pPr>
            <w:r>
              <w:rPr>
                <w:rFonts w:ascii="Arial" w:cs="Arial" w:eastAsia="Arial" w:hAnsi="Arial"/>
                <w:sz w:val="16"/>
                <w:szCs w:val="16"/>
                <w:color w:val="auto"/>
                <w:w w:val="88"/>
              </w:rPr>
              <w:t>S-1</w:t>
            </w:r>
          </w:p>
        </w:tc>
        <w:tc>
          <w:tcPr>
            <w:tcW w:w="1260" w:type="dxa"/>
            <w:vAlign w:val="bottom"/>
          </w:tcPr>
          <w:p>
            <w:pPr>
              <w:jc w:val="center"/>
              <w:ind w:left="40"/>
              <w:spacing w:after="0" w:line="165" w:lineRule="exact"/>
              <w:rPr>
                <w:sz w:val="20"/>
                <w:szCs w:val="20"/>
                <w:color w:val="auto"/>
              </w:rPr>
            </w:pPr>
            <w:r>
              <w:rPr>
                <w:rFonts w:ascii="Arial" w:cs="Arial" w:eastAsia="Arial" w:hAnsi="Arial"/>
                <w:sz w:val="16"/>
                <w:szCs w:val="16"/>
                <w:color w:val="auto"/>
                <w:w w:val="92"/>
              </w:rPr>
              <w:t>1/17/2020</w:t>
            </w:r>
          </w:p>
        </w:tc>
        <w:tc>
          <w:tcPr>
            <w:tcW w:w="720" w:type="dxa"/>
            <w:vAlign w:val="bottom"/>
          </w:tcPr>
          <w:p>
            <w:pPr>
              <w:jc w:val="center"/>
              <w:ind w:left="200"/>
              <w:spacing w:after="0" w:line="165" w:lineRule="exact"/>
              <w:rPr>
                <w:sz w:val="20"/>
                <w:szCs w:val="20"/>
                <w:color w:val="auto"/>
              </w:rPr>
            </w:pPr>
            <w:r>
              <w:rPr>
                <w:rFonts w:ascii="Arial" w:cs="Arial" w:eastAsia="Arial" w:hAnsi="Arial"/>
                <w:sz w:val="16"/>
                <w:szCs w:val="16"/>
                <w:color w:val="auto"/>
                <w:w w:val="89"/>
              </w:rPr>
              <w:t>2.1</w:t>
            </w:r>
          </w:p>
        </w:tc>
      </w:tr>
      <w:tr>
        <w:trPr>
          <w:trHeight w:val="180"/>
        </w:trPr>
        <w:tc>
          <w:tcPr>
            <w:tcW w:w="1020" w:type="dxa"/>
            <w:vAlign w:val="bottom"/>
          </w:tcPr>
          <w:p>
            <w:pPr>
              <w:spacing w:after="0"/>
              <w:rPr>
                <w:sz w:val="15"/>
                <w:szCs w:val="15"/>
                <w:color w:val="auto"/>
              </w:rPr>
            </w:pPr>
          </w:p>
        </w:tc>
        <w:tc>
          <w:tcPr>
            <w:tcW w:w="4260" w:type="dxa"/>
            <w:vAlign w:val="bottom"/>
            <w:gridSpan w:val="15"/>
          </w:tcPr>
          <w:p>
            <w:pPr>
              <w:spacing w:after="0" w:line="180" w:lineRule="exact"/>
              <w:rPr>
                <w:rFonts w:ascii="Arial" w:cs="Arial" w:eastAsia="Arial" w:hAnsi="Arial"/>
                <w:sz w:val="16"/>
                <w:szCs w:val="16"/>
                <w:color w:val="0000EE"/>
              </w:rPr>
            </w:pPr>
            <w:hyperlink r:id="rId107">
              <w:r>
                <w:rPr>
                  <w:rFonts w:ascii="Arial" w:cs="Arial" w:eastAsia="Arial" w:hAnsi="Arial"/>
                  <w:sz w:val="16"/>
                  <w:szCs w:val="16"/>
                  <w:color w:val="0000EE"/>
                </w:rPr>
                <w:t>by and among Revolution Medicines, Inc., Trotsky Merger</w:t>
              </w:r>
            </w:hyperlink>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0"/>
        </w:trPr>
        <w:tc>
          <w:tcPr>
            <w:tcW w:w="1020" w:type="dxa"/>
            <w:vAlign w:val="bottom"/>
          </w:tcPr>
          <w:p>
            <w:pPr>
              <w:spacing w:after="0"/>
              <w:rPr>
                <w:sz w:val="18"/>
                <w:szCs w:val="18"/>
                <w:color w:val="auto"/>
              </w:rPr>
            </w:pPr>
          </w:p>
        </w:tc>
        <w:tc>
          <w:tcPr>
            <w:tcW w:w="3760" w:type="dxa"/>
            <w:vAlign w:val="bottom"/>
            <w:tcBorders>
              <w:top w:val="single" w:sz="8" w:color="0000EE"/>
            </w:tcBorders>
            <w:gridSpan w:val="7"/>
          </w:tcPr>
          <w:p>
            <w:pPr>
              <w:spacing w:after="0"/>
              <w:rPr>
                <w:rFonts w:ascii="Arial" w:cs="Arial" w:eastAsia="Arial" w:hAnsi="Arial"/>
                <w:sz w:val="16"/>
                <w:szCs w:val="16"/>
                <w:u w:val="single" w:color="auto"/>
                <w:color w:val="0000EE"/>
                <w:w w:val="93"/>
              </w:rPr>
            </w:pPr>
            <w:hyperlink r:id="rId107">
              <w:r>
                <w:rPr>
                  <w:rFonts w:ascii="Arial" w:cs="Arial" w:eastAsia="Arial" w:hAnsi="Arial"/>
                  <w:sz w:val="16"/>
                  <w:szCs w:val="16"/>
                  <w:u w:val="single" w:color="auto"/>
                  <w:color w:val="0000EE"/>
                  <w:w w:val="93"/>
                </w:rPr>
                <w:t>Sub, Inc., Warp Drive Bio, Inc., and Fortis Advisors LLC.</w:t>
              </w:r>
            </w:hyperlink>
          </w:p>
        </w:tc>
        <w:tc>
          <w:tcPr>
            <w:tcW w:w="500" w:type="dxa"/>
            <w:vAlign w:val="bottom"/>
            <w:gridSpan w:val="8"/>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0"/>
        </w:trPr>
        <w:tc>
          <w:tcPr>
            <w:tcW w:w="1020" w:type="dxa"/>
            <w:vAlign w:val="bottom"/>
          </w:tcPr>
          <w:p>
            <w:pPr>
              <w:jc w:val="right"/>
              <w:ind w:right="660"/>
              <w:spacing w:after="0"/>
              <w:rPr>
                <w:sz w:val="20"/>
                <w:szCs w:val="20"/>
                <w:color w:val="auto"/>
              </w:rPr>
            </w:pPr>
            <w:r>
              <w:rPr>
                <w:rFonts w:ascii="Arial" w:cs="Arial" w:eastAsia="Arial" w:hAnsi="Arial"/>
                <w:sz w:val="16"/>
                <w:szCs w:val="16"/>
                <w:color w:val="auto"/>
              </w:rPr>
              <w:t>3.1</w:t>
            </w:r>
          </w:p>
        </w:tc>
        <w:tc>
          <w:tcPr>
            <w:tcW w:w="4260" w:type="dxa"/>
            <w:vAlign w:val="bottom"/>
            <w:gridSpan w:val="15"/>
          </w:tcPr>
          <w:p>
            <w:pPr>
              <w:spacing w:after="0"/>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Amended and Restated Certificate of Incorporation.</w:t>
              </w:r>
            </w:hyperlink>
          </w:p>
        </w:tc>
        <w:tc>
          <w:tcPr>
            <w:tcW w:w="980" w:type="dxa"/>
            <w:vAlign w:val="bottom"/>
          </w:tcPr>
          <w:p>
            <w:pPr>
              <w:jc w:val="center"/>
              <w:ind w:right="2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ind w:left="40"/>
              <w:spacing w:after="0"/>
              <w:rPr>
                <w:sz w:val="20"/>
                <w:szCs w:val="20"/>
                <w:color w:val="auto"/>
              </w:rPr>
            </w:pPr>
            <w:r>
              <w:rPr>
                <w:rFonts w:ascii="Arial" w:cs="Arial" w:eastAsia="Arial" w:hAnsi="Arial"/>
                <w:sz w:val="16"/>
                <w:szCs w:val="16"/>
                <w:color w:val="auto"/>
                <w:w w:val="92"/>
              </w:rPr>
              <w:t>2/18/2020</w:t>
            </w:r>
          </w:p>
        </w:tc>
        <w:tc>
          <w:tcPr>
            <w:tcW w:w="720" w:type="dxa"/>
            <w:vAlign w:val="bottom"/>
          </w:tcPr>
          <w:p>
            <w:pPr>
              <w:jc w:val="center"/>
              <w:ind w:left="200"/>
              <w:spacing w:after="0"/>
              <w:rPr>
                <w:sz w:val="20"/>
                <w:szCs w:val="20"/>
                <w:color w:val="auto"/>
              </w:rPr>
            </w:pPr>
            <w:r>
              <w:rPr>
                <w:rFonts w:ascii="Arial" w:cs="Arial" w:eastAsia="Arial" w:hAnsi="Arial"/>
                <w:sz w:val="16"/>
                <w:szCs w:val="16"/>
                <w:color w:val="auto"/>
                <w:w w:val="89"/>
              </w:rPr>
              <w:t>3.1</w:t>
            </w:r>
          </w:p>
        </w:tc>
      </w:tr>
      <w:tr>
        <w:trPr>
          <w:trHeight w:val="200"/>
        </w:trPr>
        <w:tc>
          <w:tcPr>
            <w:tcW w:w="1020" w:type="dxa"/>
            <w:vAlign w:val="bottom"/>
          </w:tcPr>
          <w:p>
            <w:pPr>
              <w:jc w:val="right"/>
              <w:ind w:right="660"/>
              <w:spacing w:after="0"/>
              <w:rPr>
                <w:sz w:val="20"/>
                <w:szCs w:val="20"/>
                <w:color w:val="auto"/>
              </w:rPr>
            </w:pPr>
            <w:r>
              <w:rPr>
                <w:rFonts w:ascii="Arial" w:cs="Arial" w:eastAsia="Arial" w:hAnsi="Arial"/>
                <w:sz w:val="16"/>
                <w:szCs w:val="16"/>
                <w:color w:val="auto"/>
              </w:rPr>
              <w:t>3.2</w:t>
            </w:r>
          </w:p>
        </w:tc>
        <w:tc>
          <w:tcPr>
            <w:tcW w:w="4260" w:type="dxa"/>
            <w:vAlign w:val="bottom"/>
            <w:gridSpan w:val="15"/>
          </w:tcPr>
          <w:p>
            <w:pPr>
              <w:spacing w:after="0"/>
              <w:rPr>
                <w:rFonts w:ascii="Arial" w:cs="Arial" w:eastAsia="Arial" w:hAnsi="Arial"/>
                <w:sz w:val="16"/>
                <w:szCs w:val="16"/>
                <w:u w:val="single" w:color="auto"/>
                <w:color w:val="0000EE"/>
              </w:rPr>
            </w:pPr>
            <w:hyperlink r:id="rId109">
              <w:r>
                <w:rPr>
                  <w:rFonts w:ascii="Arial" w:cs="Arial" w:eastAsia="Arial" w:hAnsi="Arial"/>
                  <w:sz w:val="16"/>
                  <w:szCs w:val="16"/>
                  <w:u w:val="single" w:color="auto"/>
                  <w:color w:val="0000EE"/>
                </w:rPr>
                <w:t>Amended and Restated Bylaws.</w:t>
              </w:r>
            </w:hyperlink>
          </w:p>
        </w:tc>
        <w:tc>
          <w:tcPr>
            <w:tcW w:w="980" w:type="dxa"/>
            <w:vAlign w:val="bottom"/>
          </w:tcPr>
          <w:p>
            <w:pPr>
              <w:jc w:val="center"/>
              <w:ind w:right="2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ind w:left="40"/>
              <w:spacing w:after="0"/>
              <w:rPr>
                <w:sz w:val="20"/>
                <w:szCs w:val="20"/>
                <w:color w:val="auto"/>
              </w:rPr>
            </w:pPr>
            <w:r>
              <w:rPr>
                <w:rFonts w:ascii="Arial" w:cs="Arial" w:eastAsia="Arial" w:hAnsi="Arial"/>
                <w:sz w:val="16"/>
                <w:szCs w:val="16"/>
                <w:color w:val="auto"/>
                <w:w w:val="92"/>
              </w:rPr>
              <w:t>2/18/2020</w:t>
            </w:r>
          </w:p>
        </w:tc>
        <w:tc>
          <w:tcPr>
            <w:tcW w:w="720" w:type="dxa"/>
            <w:vAlign w:val="bottom"/>
          </w:tcPr>
          <w:p>
            <w:pPr>
              <w:jc w:val="center"/>
              <w:ind w:left="200"/>
              <w:spacing w:after="0"/>
              <w:rPr>
                <w:sz w:val="20"/>
                <w:szCs w:val="20"/>
                <w:color w:val="auto"/>
              </w:rPr>
            </w:pPr>
            <w:r>
              <w:rPr>
                <w:rFonts w:ascii="Arial" w:cs="Arial" w:eastAsia="Arial" w:hAnsi="Arial"/>
                <w:sz w:val="16"/>
                <w:szCs w:val="16"/>
                <w:color w:val="auto"/>
                <w:w w:val="89"/>
              </w:rPr>
              <w:t>3.2</w:t>
            </w:r>
          </w:p>
        </w:tc>
      </w:tr>
      <w:tr>
        <w:trPr>
          <w:trHeight w:val="200"/>
        </w:trPr>
        <w:tc>
          <w:tcPr>
            <w:tcW w:w="1020" w:type="dxa"/>
            <w:vAlign w:val="bottom"/>
          </w:tcPr>
          <w:p>
            <w:pPr>
              <w:jc w:val="right"/>
              <w:ind w:right="400"/>
              <w:spacing w:after="0"/>
              <w:rPr>
                <w:sz w:val="20"/>
                <w:szCs w:val="20"/>
                <w:color w:val="auto"/>
              </w:rPr>
            </w:pPr>
            <w:r>
              <w:rPr>
                <w:rFonts w:ascii="Arial" w:cs="Arial" w:eastAsia="Arial" w:hAnsi="Arial"/>
                <w:sz w:val="16"/>
                <w:szCs w:val="16"/>
                <w:color w:val="auto"/>
                <w:w w:val="87"/>
              </w:rPr>
              <w:t>10.1(a)#</w:t>
            </w:r>
          </w:p>
        </w:tc>
        <w:tc>
          <w:tcPr>
            <w:tcW w:w="4260" w:type="dxa"/>
            <w:vAlign w:val="bottom"/>
            <w:gridSpan w:val="15"/>
          </w:tcPr>
          <w:p>
            <w:pPr>
              <w:spacing w:after="0"/>
              <w:rPr>
                <w:rFonts w:ascii="Arial" w:cs="Arial" w:eastAsia="Arial" w:hAnsi="Arial"/>
                <w:sz w:val="16"/>
                <w:szCs w:val="16"/>
                <w:u w:val="single" w:color="auto"/>
                <w:color w:val="0000EE"/>
              </w:rPr>
            </w:pPr>
            <w:hyperlink r:id="rId110">
              <w:r>
                <w:rPr>
                  <w:rFonts w:ascii="Arial" w:cs="Arial" w:eastAsia="Arial" w:hAnsi="Arial"/>
                  <w:sz w:val="16"/>
                  <w:szCs w:val="16"/>
                  <w:u w:val="single" w:color="auto"/>
                  <w:color w:val="0000EE"/>
                </w:rPr>
                <w:t>2020 Incentive Award Plan.</w:t>
              </w:r>
            </w:hyperlink>
          </w:p>
        </w:tc>
        <w:tc>
          <w:tcPr>
            <w:tcW w:w="980" w:type="dxa"/>
            <w:vAlign w:val="bottom"/>
          </w:tcPr>
          <w:p>
            <w:pPr>
              <w:jc w:val="center"/>
              <w:ind w:right="40"/>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ind w:left="40"/>
              <w:spacing w:after="0"/>
              <w:rPr>
                <w:sz w:val="20"/>
                <w:szCs w:val="20"/>
                <w:color w:val="auto"/>
              </w:rPr>
            </w:pPr>
            <w:r>
              <w:rPr>
                <w:rFonts w:ascii="Arial" w:cs="Arial" w:eastAsia="Arial" w:hAnsi="Arial"/>
                <w:sz w:val="16"/>
                <w:szCs w:val="16"/>
                <w:color w:val="auto"/>
                <w:w w:val="93"/>
              </w:rPr>
              <w:t>2/3/2020</w:t>
            </w:r>
          </w:p>
        </w:tc>
        <w:tc>
          <w:tcPr>
            <w:tcW w:w="720" w:type="dxa"/>
            <w:vAlign w:val="bottom"/>
          </w:tcPr>
          <w:p>
            <w:pPr>
              <w:jc w:val="center"/>
              <w:ind w:left="180"/>
              <w:spacing w:after="0"/>
              <w:rPr>
                <w:sz w:val="20"/>
                <w:szCs w:val="20"/>
                <w:color w:val="auto"/>
              </w:rPr>
            </w:pPr>
            <w:r>
              <w:rPr>
                <w:rFonts w:ascii="Arial" w:cs="Arial" w:eastAsia="Arial" w:hAnsi="Arial"/>
                <w:sz w:val="16"/>
                <w:szCs w:val="16"/>
                <w:color w:val="auto"/>
                <w:w w:val="90"/>
              </w:rPr>
              <w:t>10.7(a)</w:t>
            </w:r>
          </w:p>
        </w:tc>
      </w:tr>
      <w:tr>
        <w:trPr>
          <w:trHeight w:val="170"/>
        </w:trPr>
        <w:tc>
          <w:tcPr>
            <w:tcW w:w="1020" w:type="dxa"/>
            <w:vAlign w:val="bottom"/>
          </w:tcPr>
          <w:p>
            <w:pPr>
              <w:jc w:val="right"/>
              <w:ind w:right="380"/>
              <w:spacing w:after="0" w:line="170" w:lineRule="exact"/>
              <w:rPr>
                <w:sz w:val="20"/>
                <w:szCs w:val="20"/>
                <w:color w:val="auto"/>
              </w:rPr>
            </w:pPr>
            <w:r>
              <w:rPr>
                <w:rFonts w:ascii="Arial" w:cs="Arial" w:eastAsia="Arial" w:hAnsi="Arial"/>
                <w:sz w:val="16"/>
                <w:szCs w:val="16"/>
                <w:color w:val="auto"/>
                <w:w w:val="90"/>
              </w:rPr>
              <w:t>10.1(b)#</w:t>
            </w:r>
          </w:p>
        </w:tc>
        <w:tc>
          <w:tcPr>
            <w:tcW w:w="3440" w:type="dxa"/>
            <w:vAlign w:val="bottom"/>
            <w:tcBorders>
              <w:bottom w:val="single" w:sz="8" w:color="0000EE"/>
            </w:tcBorders>
            <w:gridSpan w:val="5"/>
          </w:tcPr>
          <w:p>
            <w:pPr>
              <w:spacing w:after="0" w:line="170" w:lineRule="exact"/>
              <w:rPr>
                <w:rFonts w:ascii="Arial" w:cs="Arial" w:eastAsia="Arial" w:hAnsi="Arial"/>
                <w:sz w:val="16"/>
                <w:szCs w:val="16"/>
                <w:color w:val="0000EE"/>
                <w:w w:val="91"/>
              </w:rPr>
            </w:pPr>
            <w:hyperlink r:id="rId111">
              <w:r>
                <w:rPr>
                  <w:rFonts w:ascii="Arial" w:cs="Arial" w:eastAsia="Arial" w:hAnsi="Arial"/>
                  <w:sz w:val="16"/>
                  <w:szCs w:val="16"/>
                  <w:color w:val="0000EE"/>
                  <w:w w:val="91"/>
                </w:rPr>
                <w:t>Form of Stock Option Grant Notice and Stock Option</w:t>
              </w:r>
            </w:hyperlink>
          </w:p>
        </w:tc>
        <w:tc>
          <w:tcPr>
            <w:tcW w:w="820" w:type="dxa"/>
            <w:vAlign w:val="bottom"/>
            <w:gridSpan w:val="10"/>
          </w:tcPr>
          <w:p>
            <w:pPr>
              <w:spacing w:after="0"/>
              <w:rPr>
                <w:sz w:val="14"/>
                <w:szCs w:val="14"/>
                <w:color w:val="auto"/>
              </w:rPr>
            </w:pPr>
          </w:p>
        </w:tc>
        <w:tc>
          <w:tcPr>
            <w:tcW w:w="980" w:type="dxa"/>
            <w:vAlign w:val="bottom"/>
          </w:tcPr>
          <w:p>
            <w:pPr>
              <w:jc w:val="center"/>
              <w:ind w:right="40"/>
              <w:spacing w:after="0" w:line="170" w:lineRule="exact"/>
              <w:rPr>
                <w:sz w:val="20"/>
                <w:szCs w:val="20"/>
                <w:color w:val="auto"/>
              </w:rPr>
            </w:pPr>
            <w:r>
              <w:rPr>
                <w:rFonts w:ascii="Arial" w:cs="Arial" w:eastAsia="Arial" w:hAnsi="Arial"/>
                <w:sz w:val="16"/>
                <w:szCs w:val="16"/>
                <w:color w:val="auto"/>
                <w:w w:val="94"/>
              </w:rPr>
              <w:t>S-1/A</w:t>
            </w:r>
          </w:p>
        </w:tc>
        <w:tc>
          <w:tcPr>
            <w:tcW w:w="1260" w:type="dxa"/>
            <w:vAlign w:val="bottom"/>
          </w:tcPr>
          <w:p>
            <w:pPr>
              <w:jc w:val="center"/>
              <w:ind w:left="40"/>
              <w:spacing w:after="0" w:line="170" w:lineRule="exact"/>
              <w:rPr>
                <w:sz w:val="20"/>
                <w:szCs w:val="20"/>
                <w:color w:val="auto"/>
              </w:rPr>
            </w:pPr>
            <w:r>
              <w:rPr>
                <w:rFonts w:ascii="Arial" w:cs="Arial" w:eastAsia="Arial" w:hAnsi="Arial"/>
                <w:sz w:val="16"/>
                <w:szCs w:val="16"/>
                <w:color w:val="auto"/>
                <w:w w:val="93"/>
              </w:rPr>
              <w:t>2/3/2020</w:t>
            </w:r>
          </w:p>
        </w:tc>
        <w:tc>
          <w:tcPr>
            <w:tcW w:w="720" w:type="dxa"/>
            <w:vAlign w:val="bottom"/>
          </w:tcPr>
          <w:p>
            <w:pPr>
              <w:jc w:val="center"/>
              <w:ind w:left="180"/>
              <w:spacing w:after="0" w:line="170" w:lineRule="exact"/>
              <w:rPr>
                <w:sz w:val="20"/>
                <w:szCs w:val="20"/>
                <w:color w:val="auto"/>
              </w:rPr>
            </w:pPr>
            <w:r>
              <w:rPr>
                <w:rFonts w:ascii="Arial" w:cs="Arial" w:eastAsia="Arial" w:hAnsi="Arial"/>
                <w:sz w:val="16"/>
                <w:szCs w:val="16"/>
                <w:color w:val="auto"/>
                <w:w w:val="90"/>
              </w:rPr>
              <w:t>10.7(b)</w:t>
            </w:r>
          </w:p>
        </w:tc>
      </w:tr>
      <w:tr>
        <w:trPr>
          <w:trHeight w:val="210"/>
        </w:trPr>
        <w:tc>
          <w:tcPr>
            <w:tcW w:w="1020" w:type="dxa"/>
            <w:vAlign w:val="bottom"/>
          </w:tcPr>
          <w:p>
            <w:pPr>
              <w:spacing w:after="0"/>
              <w:rPr>
                <w:sz w:val="18"/>
                <w:szCs w:val="18"/>
                <w:color w:val="auto"/>
              </w:rPr>
            </w:pPr>
          </w:p>
        </w:tc>
        <w:tc>
          <w:tcPr>
            <w:tcW w:w="4260" w:type="dxa"/>
            <w:vAlign w:val="bottom"/>
            <w:gridSpan w:val="15"/>
          </w:tcPr>
          <w:p>
            <w:pPr>
              <w:spacing w:after="0"/>
              <w:rPr>
                <w:rFonts w:ascii="Arial" w:cs="Arial" w:eastAsia="Arial" w:hAnsi="Arial"/>
                <w:sz w:val="16"/>
                <w:szCs w:val="16"/>
                <w:u w:val="single" w:color="auto"/>
                <w:color w:val="0000EE"/>
              </w:rPr>
            </w:pPr>
            <w:hyperlink r:id="rId111">
              <w:r>
                <w:rPr>
                  <w:rFonts w:ascii="Arial" w:cs="Arial" w:eastAsia="Arial" w:hAnsi="Arial"/>
                  <w:sz w:val="16"/>
                  <w:szCs w:val="16"/>
                  <w:u w:val="single" w:color="auto"/>
                  <w:color w:val="0000EE"/>
                </w:rPr>
                <w:t>Agreement under the 2020 Incentive Award Plan.</w:t>
              </w:r>
            </w:hyperlink>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70"/>
        </w:trPr>
        <w:tc>
          <w:tcPr>
            <w:tcW w:w="1020" w:type="dxa"/>
            <w:vAlign w:val="bottom"/>
          </w:tcPr>
          <w:p>
            <w:pPr>
              <w:jc w:val="right"/>
              <w:ind w:right="480"/>
              <w:spacing w:after="0" w:line="170" w:lineRule="exact"/>
              <w:rPr>
                <w:sz w:val="20"/>
                <w:szCs w:val="20"/>
                <w:color w:val="auto"/>
              </w:rPr>
            </w:pPr>
            <w:r>
              <w:rPr>
                <w:rFonts w:ascii="Arial" w:cs="Arial" w:eastAsia="Arial" w:hAnsi="Arial"/>
                <w:sz w:val="16"/>
                <w:szCs w:val="16"/>
                <w:color w:val="auto"/>
                <w:w w:val="88"/>
              </w:rPr>
              <w:t>10.1(c)</w:t>
            </w:r>
          </w:p>
        </w:tc>
        <w:tc>
          <w:tcPr>
            <w:tcW w:w="4260" w:type="dxa"/>
            <w:vAlign w:val="bottom"/>
            <w:gridSpan w:val="15"/>
          </w:tcPr>
          <w:p>
            <w:pPr>
              <w:spacing w:after="0" w:line="170" w:lineRule="exact"/>
              <w:rPr>
                <w:rFonts w:ascii="Arial" w:cs="Arial" w:eastAsia="Arial" w:hAnsi="Arial"/>
                <w:sz w:val="16"/>
                <w:szCs w:val="16"/>
                <w:color w:val="0000EE"/>
              </w:rPr>
            </w:pPr>
            <w:hyperlink r:id="rId112">
              <w:r>
                <w:rPr>
                  <w:rFonts w:ascii="Arial" w:cs="Arial" w:eastAsia="Arial" w:hAnsi="Arial"/>
                  <w:sz w:val="16"/>
                  <w:szCs w:val="16"/>
                  <w:color w:val="0000EE"/>
                </w:rPr>
                <w:t>Form of Restricted Stock Award Agreement under the 2020</w:t>
              </w:r>
            </w:hyperlink>
          </w:p>
        </w:tc>
        <w:tc>
          <w:tcPr>
            <w:tcW w:w="980" w:type="dxa"/>
            <w:vAlign w:val="bottom"/>
          </w:tcPr>
          <w:p>
            <w:pPr>
              <w:jc w:val="center"/>
              <w:ind w:right="40"/>
              <w:spacing w:after="0" w:line="170" w:lineRule="exact"/>
              <w:rPr>
                <w:sz w:val="20"/>
                <w:szCs w:val="20"/>
                <w:color w:val="auto"/>
              </w:rPr>
            </w:pPr>
            <w:r>
              <w:rPr>
                <w:rFonts w:ascii="Arial" w:cs="Arial" w:eastAsia="Arial" w:hAnsi="Arial"/>
                <w:sz w:val="16"/>
                <w:szCs w:val="16"/>
                <w:color w:val="auto"/>
                <w:w w:val="94"/>
              </w:rPr>
              <w:t>S-1/A</w:t>
            </w:r>
          </w:p>
        </w:tc>
        <w:tc>
          <w:tcPr>
            <w:tcW w:w="1260" w:type="dxa"/>
            <w:vAlign w:val="bottom"/>
          </w:tcPr>
          <w:p>
            <w:pPr>
              <w:jc w:val="center"/>
              <w:ind w:left="40"/>
              <w:spacing w:after="0" w:line="170" w:lineRule="exact"/>
              <w:rPr>
                <w:sz w:val="20"/>
                <w:szCs w:val="20"/>
                <w:color w:val="auto"/>
              </w:rPr>
            </w:pPr>
            <w:r>
              <w:rPr>
                <w:rFonts w:ascii="Arial" w:cs="Arial" w:eastAsia="Arial" w:hAnsi="Arial"/>
                <w:sz w:val="16"/>
                <w:szCs w:val="16"/>
                <w:color w:val="auto"/>
                <w:w w:val="93"/>
              </w:rPr>
              <w:t>2/3/2020</w:t>
            </w:r>
          </w:p>
        </w:tc>
        <w:tc>
          <w:tcPr>
            <w:tcW w:w="720" w:type="dxa"/>
            <w:vAlign w:val="bottom"/>
          </w:tcPr>
          <w:p>
            <w:pPr>
              <w:jc w:val="center"/>
              <w:ind w:left="180"/>
              <w:spacing w:after="0" w:line="170" w:lineRule="exact"/>
              <w:rPr>
                <w:sz w:val="20"/>
                <w:szCs w:val="20"/>
                <w:color w:val="auto"/>
              </w:rPr>
            </w:pPr>
            <w:r>
              <w:rPr>
                <w:rFonts w:ascii="Arial" w:cs="Arial" w:eastAsia="Arial" w:hAnsi="Arial"/>
                <w:sz w:val="16"/>
                <w:szCs w:val="16"/>
                <w:color w:val="auto"/>
                <w:w w:val="92"/>
              </w:rPr>
              <w:t>10.7(c)</w:t>
            </w:r>
          </w:p>
        </w:tc>
      </w:tr>
      <w:tr>
        <w:trPr>
          <w:trHeight w:val="180"/>
        </w:trPr>
        <w:tc>
          <w:tcPr>
            <w:tcW w:w="1020" w:type="dxa"/>
            <w:vAlign w:val="bottom"/>
          </w:tcPr>
          <w:p>
            <w:pPr>
              <w:spacing w:after="0"/>
              <w:rPr>
                <w:sz w:val="15"/>
                <w:szCs w:val="15"/>
                <w:color w:val="auto"/>
              </w:rPr>
            </w:pPr>
          </w:p>
        </w:tc>
        <w:tc>
          <w:tcPr>
            <w:tcW w:w="1420" w:type="dxa"/>
            <w:vAlign w:val="bottom"/>
            <w:tcBorders>
              <w:top w:val="single" w:sz="8" w:color="0000EE"/>
              <w:bottom w:val="single" w:sz="8" w:color="0000EE"/>
            </w:tcBorders>
          </w:tcPr>
          <w:p>
            <w:pPr>
              <w:spacing w:after="0" w:line="180" w:lineRule="exact"/>
              <w:rPr>
                <w:rFonts w:ascii="Arial" w:cs="Arial" w:eastAsia="Arial" w:hAnsi="Arial"/>
                <w:sz w:val="16"/>
                <w:szCs w:val="16"/>
                <w:color w:val="0000EE"/>
                <w:w w:val="90"/>
              </w:rPr>
            </w:pPr>
            <w:hyperlink r:id="rId112">
              <w:r>
                <w:rPr>
                  <w:rFonts w:ascii="Arial" w:cs="Arial" w:eastAsia="Arial" w:hAnsi="Arial"/>
                  <w:sz w:val="16"/>
                  <w:szCs w:val="16"/>
                  <w:color w:val="0000EE"/>
                  <w:w w:val="90"/>
                </w:rPr>
                <w:t>Incentive Award Plan.</w:t>
              </w:r>
            </w:hyperlink>
          </w:p>
        </w:tc>
        <w:tc>
          <w:tcPr>
            <w:tcW w:w="2400" w:type="dxa"/>
            <w:vAlign w:val="bottom"/>
            <w:tcBorders>
              <w:top w:val="single" w:sz="8" w:color="0000EE"/>
            </w:tcBorders>
            <w:gridSpan w:val="7"/>
          </w:tcPr>
          <w:p>
            <w:pPr>
              <w:spacing w:after="0"/>
              <w:rPr>
                <w:sz w:val="15"/>
                <w:szCs w:val="15"/>
                <w:color w:val="auto"/>
              </w:rPr>
            </w:pPr>
          </w:p>
        </w:tc>
        <w:tc>
          <w:tcPr>
            <w:tcW w:w="440" w:type="dxa"/>
            <w:vAlign w:val="bottom"/>
            <w:gridSpan w:val="7"/>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1020" w:type="dxa"/>
            <w:vAlign w:val="bottom"/>
          </w:tcPr>
          <w:p>
            <w:pPr>
              <w:jc w:val="right"/>
              <w:ind w:right="380"/>
              <w:spacing w:after="0" w:line="180" w:lineRule="exact"/>
              <w:rPr>
                <w:sz w:val="20"/>
                <w:szCs w:val="20"/>
                <w:color w:val="auto"/>
              </w:rPr>
            </w:pPr>
            <w:r>
              <w:rPr>
                <w:rFonts w:ascii="Arial" w:cs="Arial" w:eastAsia="Arial" w:hAnsi="Arial"/>
                <w:sz w:val="16"/>
                <w:szCs w:val="16"/>
                <w:color w:val="auto"/>
                <w:w w:val="90"/>
              </w:rPr>
              <w:t>10.1(d)#</w:t>
            </w:r>
          </w:p>
        </w:tc>
        <w:tc>
          <w:tcPr>
            <w:tcW w:w="4260" w:type="dxa"/>
            <w:vAlign w:val="bottom"/>
            <w:gridSpan w:val="15"/>
          </w:tcPr>
          <w:p>
            <w:pPr>
              <w:spacing w:after="0" w:line="180" w:lineRule="exact"/>
              <w:rPr>
                <w:rFonts w:ascii="Arial" w:cs="Arial" w:eastAsia="Arial" w:hAnsi="Arial"/>
                <w:sz w:val="16"/>
                <w:szCs w:val="16"/>
                <w:color w:val="0000EE"/>
                <w:w w:val="99"/>
              </w:rPr>
            </w:pPr>
            <w:hyperlink r:id="rId113">
              <w:r>
                <w:rPr>
                  <w:rFonts w:ascii="Arial" w:cs="Arial" w:eastAsia="Arial" w:hAnsi="Arial"/>
                  <w:sz w:val="16"/>
                  <w:szCs w:val="16"/>
                  <w:color w:val="0000EE"/>
                  <w:w w:val="99"/>
                </w:rPr>
                <w:t>Form of Restricted Stock Unit Award Grant Notice under the</w:t>
              </w:r>
            </w:hyperlink>
          </w:p>
        </w:tc>
        <w:tc>
          <w:tcPr>
            <w:tcW w:w="980" w:type="dxa"/>
            <w:vAlign w:val="bottom"/>
          </w:tcPr>
          <w:p>
            <w:pPr>
              <w:jc w:val="center"/>
              <w:ind w:right="40"/>
              <w:spacing w:after="0" w:line="180" w:lineRule="exact"/>
              <w:rPr>
                <w:sz w:val="20"/>
                <w:szCs w:val="20"/>
                <w:color w:val="auto"/>
              </w:rPr>
            </w:pPr>
            <w:r>
              <w:rPr>
                <w:rFonts w:ascii="Arial" w:cs="Arial" w:eastAsia="Arial" w:hAnsi="Arial"/>
                <w:sz w:val="16"/>
                <w:szCs w:val="16"/>
                <w:color w:val="auto"/>
                <w:w w:val="94"/>
              </w:rPr>
              <w:t>S-1/A</w:t>
            </w:r>
          </w:p>
        </w:tc>
        <w:tc>
          <w:tcPr>
            <w:tcW w:w="1260" w:type="dxa"/>
            <w:vAlign w:val="bottom"/>
          </w:tcPr>
          <w:p>
            <w:pPr>
              <w:jc w:val="center"/>
              <w:ind w:left="40"/>
              <w:spacing w:after="0" w:line="180" w:lineRule="exact"/>
              <w:rPr>
                <w:sz w:val="20"/>
                <w:szCs w:val="20"/>
                <w:color w:val="auto"/>
              </w:rPr>
            </w:pPr>
            <w:r>
              <w:rPr>
                <w:rFonts w:ascii="Arial" w:cs="Arial" w:eastAsia="Arial" w:hAnsi="Arial"/>
                <w:sz w:val="16"/>
                <w:szCs w:val="16"/>
                <w:color w:val="auto"/>
                <w:w w:val="93"/>
              </w:rPr>
              <w:t>2/3/2020</w:t>
            </w:r>
          </w:p>
        </w:tc>
        <w:tc>
          <w:tcPr>
            <w:tcW w:w="720" w:type="dxa"/>
            <w:vAlign w:val="bottom"/>
          </w:tcPr>
          <w:p>
            <w:pPr>
              <w:jc w:val="center"/>
              <w:ind w:left="180"/>
              <w:spacing w:after="0" w:line="180" w:lineRule="exact"/>
              <w:rPr>
                <w:sz w:val="20"/>
                <w:szCs w:val="20"/>
                <w:color w:val="auto"/>
              </w:rPr>
            </w:pPr>
            <w:r>
              <w:rPr>
                <w:rFonts w:ascii="Arial" w:cs="Arial" w:eastAsia="Arial" w:hAnsi="Arial"/>
                <w:sz w:val="16"/>
                <w:szCs w:val="16"/>
                <w:color w:val="auto"/>
                <w:w w:val="90"/>
              </w:rPr>
              <w:t>10.7(d)</w:t>
            </w:r>
          </w:p>
        </w:tc>
      </w:tr>
      <w:tr>
        <w:trPr>
          <w:trHeight w:val="180"/>
        </w:trPr>
        <w:tc>
          <w:tcPr>
            <w:tcW w:w="10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
          </w:tcPr>
          <w:p>
            <w:pPr>
              <w:spacing w:after="0" w:line="180" w:lineRule="exact"/>
              <w:rPr>
                <w:rFonts w:ascii="Arial" w:cs="Arial" w:eastAsia="Arial" w:hAnsi="Arial"/>
                <w:sz w:val="16"/>
                <w:szCs w:val="16"/>
                <w:color w:val="0000EE"/>
                <w:w w:val="90"/>
              </w:rPr>
            </w:pPr>
            <w:hyperlink r:id="rId113">
              <w:r>
                <w:rPr>
                  <w:rFonts w:ascii="Arial" w:cs="Arial" w:eastAsia="Arial" w:hAnsi="Arial"/>
                  <w:sz w:val="16"/>
                  <w:szCs w:val="16"/>
                  <w:color w:val="0000EE"/>
                  <w:w w:val="90"/>
                </w:rPr>
                <w:t>2020 Incentive Award Plan.</w:t>
              </w:r>
            </w:hyperlink>
          </w:p>
        </w:tc>
        <w:tc>
          <w:tcPr>
            <w:tcW w:w="2120" w:type="dxa"/>
            <w:vAlign w:val="bottom"/>
            <w:tcBorders>
              <w:top w:val="single" w:sz="8" w:color="0000EE"/>
            </w:tcBorders>
            <w:gridSpan w:val="8"/>
          </w:tcPr>
          <w:p>
            <w:pPr>
              <w:spacing w:after="0"/>
              <w:rPr>
                <w:sz w:val="15"/>
                <w:szCs w:val="15"/>
                <w:color w:val="auto"/>
              </w:rPr>
            </w:pPr>
          </w:p>
        </w:tc>
        <w:tc>
          <w:tcPr>
            <w:tcW w:w="360" w:type="dxa"/>
            <w:vAlign w:val="bottom"/>
            <w:gridSpan w:val="5"/>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0"/>
        </w:trPr>
        <w:tc>
          <w:tcPr>
            <w:tcW w:w="1020" w:type="dxa"/>
            <w:vAlign w:val="bottom"/>
          </w:tcPr>
          <w:p>
            <w:pPr>
              <w:jc w:val="right"/>
              <w:ind w:right="580"/>
              <w:spacing w:after="0"/>
              <w:rPr>
                <w:sz w:val="20"/>
                <w:szCs w:val="20"/>
                <w:color w:val="auto"/>
              </w:rPr>
            </w:pPr>
            <w:r>
              <w:rPr>
                <w:rFonts w:ascii="Arial" w:cs="Arial" w:eastAsia="Arial" w:hAnsi="Arial"/>
                <w:sz w:val="16"/>
                <w:szCs w:val="16"/>
                <w:color w:val="auto"/>
                <w:w w:val="84"/>
              </w:rPr>
              <w:t>10.2#</w:t>
            </w:r>
          </w:p>
        </w:tc>
        <w:tc>
          <w:tcPr>
            <w:tcW w:w="4260" w:type="dxa"/>
            <w:vAlign w:val="bottom"/>
            <w:gridSpan w:val="15"/>
          </w:tcPr>
          <w:p>
            <w:pPr>
              <w:spacing w:after="0"/>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2020 Employee Stock Purchase Plan.</w:t>
              </w:r>
            </w:hyperlink>
          </w:p>
        </w:tc>
        <w:tc>
          <w:tcPr>
            <w:tcW w:w="980" w:type="dxa"/>
            <w:vAlign w:val="bottom"/>
          </w:tcPr>
          <w:p>
            <w:pPr>
              <w:jc w:val="center"/>
              <w:ind w:right="40"/>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ind w:left="40"/>
              <w:spacing w:after="0"/>
              <w:rPr>
                <w:sz w:val="20"/>
                <w:szCs w:val="20"/>
                <w:color w:val="auto"/>
              </w:rPr>
            </w:pPr>
            <w:r>
              <w:rPr>
                <w:rFonts w:ascii="Arial" w:cs="Arial" w:eastAsia="Arial" w:hAnsi="Arial"/>
                <w:sz w:val="16"/>
                <w:szCs w:val="16"/>
                <w:color w:val="auto"/>
                <w:w w:val="93"/>
              </w:rPr>
              <w:t>2/3/2020</w:t>
            </w:r>
          </w:p>
        </w:tc>
        <w:tc>
          <w:tcPr>
            <w:tcW w:w="720" w:type="dxa"/>
            <w:vAlign w:val="bottom"/>
          </w:tcPr>
          <w:p>
            <w:pPr>
              <w:jc w:val="center"/>
              <w:ind w:left="200"/>
              <w:spacing w:after="0"/>
              <w:rPr>
                <w:sz w:val="20"/>
                <w:szCs w:val="20"/>
                <w:color w:val="auto"/>
              </w:rPr>
            </w:pPr>
            <w:r>
              <w:rPr>
                <w:rFonts w:ascii="Arial" w:cs="Arial" w:eastAsia="Arial" w:hAnsi="Arial"/>
                <w:sz w:val="16"/>
                <w:szCs w:val="16"/>
                <w:color w:val="auto"/>
                <w:w w:val="89"/>
              </w:rPr>
              <w:t>10.8</w:t>
            </w:r>
          </w:p>
        </w:tc>
      </w:tr>
      <w:tr>
        <w:trPr>
          <w:trHeight w:val="197"/>
        </w:trPr>
        <w:tc>
          <w:tcPr>
            <w:tcW w:w="1020" w:type="dxa"/>
            <w:vAlign w:val="bottom"/>
          </w:tcPr>
          <w:p>
            <w:pPr>
              <w:jc w:val="right"/>
              <w:ind w:right="580"/>
              <w:spacing w:after="0"/>
              <w:rPr>
                <w:sz w:val="20"/>
                <w:szCs w:val="20"/>
                <w:color w:val="auto"/>
              </w:rPr>
            </w:pPr>
            <w:r>
              <w:rPr>
                <w:rFonts w:ascii="Arial" w:cs="Arial" w:eastAsia="Arial" w:hAnsi="Arial"/>
                <w:sz w:val="16"/>
                <w:szCs w:val="16"/>
                <w:color w:val="auto"/>
                <w:w w:val="84"/>
              </w:rPr>
              <w:t>10.3#</w:t>
            </w:r>
          </w:p>
        </w:tc>
        <w:tc>
          <w:tcPr>
            <w:tcW w:w="4260" w:type="dxa"/>
            <w:vAlign w:val="bottom"/>
            <w:gridSpan w:val="15"/>
          </w:tcPr>
          <w:p>
            <w:pPr>
              <w:spacing w:after="0"/>
              <w:rPr>
                <w:rFonts w:ascii="Arial" w:cs="Arial" w:eastAsia="Arial" w:hAnsi="Arial"/>
                <w:sz w:val="16"/>
                <w:szCs w:val="16"/>
                <w:color w:val="0000EE"/>
              </w:rPr>
            </w:pPr>
            <w:hyperlink r:id="rId115">
              <w:r>
                <w:rPr>
                  <w:rFonts w:ascii="Arial" w:cs="Arial" w:eastAsia="Arial" w:hAnsi="Arial"/>
                  <w:sz w:val="16"/>
                  <w:szCs w:val="16"/>
                  <w:u w:val="single" w:color="auto"/>
                  <w:color w:val="0000EE"/>
                </w:rPr>
                <w:t>Non-Employee Director Compensation Program</w:t>
              </w:r>
              <w:r>
                <w:rPr>
                  <w:rFonts w:ascii="Arial" w:cs="Arial" w:eastAsia="Arial" w:hAnsi="Arial"/>
                  <w:sz w:val="16"/>
                  <w:szCs w:val="16"/>
                  <w:color w:val="0000EE"/>
                </w:rPr>
                <w:t>.</w:t>
              </w:r>
            </w:hyperlink>
          </w:p>
        </w:tc>
        <w:tc>
          <w:tcPr>
            <w:tcW w:w="980" w:type="dxa"/>
            <w:vAlign w:val="bottom"/>
          </w:tcPr>
          <w:p>
            <w:pPr>
              <w:jc w:val="center"/>
              <w:ind w:right="40"/>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ind w:left="40"/>
              <w:spacing w:after="0"/>
              <w:rPr>
                <w:sz w:val="20"/>
                <w:szCs w:val="20"/>
                <w:color w:val="auto"/>
              </w:rPr>
            </w:pPr>
            <w:r>
              <w:rPr>
                <w:rFonts w:ascii="Arial" w:cs="Arial" w:eastAsia="Arial" w:hAnsi="Arial"/>
                <w:sz w:val="16"/>
                <w:szCs w:val="16"/>
                <w:color w:val="auto"/>
                <w:w w:val="93"/>
              </w:rPr>
              <w:t>2/3/2020</w:t>
            </w:r>
          </w:p>
        </w:tc>
        <w:tc>
          <w:tcPr>
            <w:tcW w:w="720" w:type="dxa"/>
            <w:vAlign w:val="bottom"/>
          </w:tcPr>
          <w:p>
            <w:pPr>
              <w:jc w:val="center"/>
              <w:ind w:left="200"/>
              <w:spacing w:after="0"/>
              <w:rPr>
                <w:sz w:val="20"/>
                <w:szCs w:val="20"/>
                <w:color w:val="auto"/>
              </w:rPr>
            </w:pPr>
            <w:r>
              <w:rPr>
                <w:rFonts w:ascii="Arial" w:cs="Arial" w:eastAsia="Arial" w:hAnsi="Arial"/>
                <w:sz w:val="16"/>
                <w:szCs w:val="16"/>
                <w:color w:val="auto"/>
                <w:w w:val="89"/>
              </w:rPr>
              <w:t>10.12</w:t>
            </w:r>
          </w:p>
        </w:tc>
      </w:tr>
      <w:tr>
        <w:trPr>
          <w:trHeight w:val="186"/>
        </w:trPr>
        <w:tc>
          <w:tcPr>
            <w:tcW w:w="1020" w:type="dxa"/>
            <w:vAlign w:val="bottom"/>
          </w:tcPr>
          <w:p>
            <w:pPr>
              <w:jc w:val="right"/>
              <w:ind w:right="660"/>
              <w:spacing w:after="0"/>
              <w:rPr>
                <w:sz w:val="20"/>
                <w:szCs w:val="20"/>
                <w:color w:val="auto"/>
              </w:rPr>
            </w:pPr>
            <w:r>
              <w:rPr>
                <w:rFonts w:ascii="Arial" w:cs="Arial" w:eastAsia="Arial" w:hAnsi="Arial"/>
                <w:sz w:val="16"/>
                <w:szCs w:val="16"/>
                <w:color w:val="auto"/>
                <w:w w:val="83"/>
              </w:rPr>
              <w:t>10.4</w:t>
            </w:r>
          </w:p>
        </w:tc>
        <w:tc>
          <w:tcPr>
            <w:tcW w:w="3880" w:type="dxa"/>
            <w:vAlign w:val="bottom"/>
            <w:tcBorders>
              <w:bottom w:val="single" w:sz="8" w:color="0000EE"/>
            </w:tcBorders>
            <w:gridSpan w:val="9"/>
          </w:tcPr>
          <w:p>
            <w:pPr>
              <w:spacing w:after="0" w:line="18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Second Amendment to Lease by and between HCP LS</w:t>
              </w:r>
            </w:hyperlink>
          </w:p>
        </w:tc>
        <w:tc>
          <w:tcPr>
            <w:tcW w:w="380" w:type="dxa"/>
            <w:vAlign w:val="bottom"/>
            <w:gridSpan w:val="6"/>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4260" w:type="dxa"/>
            <w:vAlign w:val="bottom"/>
            <w:gridSpan w:val="15"/>
          </w:tcPr>
          <w:p>
            <w:pPr>
              <w:spacing w:after="0" w:line="194" w:lineRule="exact"/>
              <w:rPr>
                <w:rFonts w:ascii="Arial" w:cs="Arial" w:eastAsia="Arial" w:hAnsi="Arial"/>
                <w:sz w:val="18"/>
                <w:szCs w:val="18"/>
                <w:color w:val="0000EE"/>
              </w:rPr>
            </w:pPr>
            <w:hyperlink w:anchor="page84">
              <w:r>
                <w:rPr>
                  <w:rFonts w:ascii="Arial" w:cs="Arial" w:eastAsia="Arial" w:hAnsi="Arial"/>
                  <w:sz w:val="18"/>
                  <w:szCs w:val="18"/>
                  <w:color w:val="0000EE"/>
                </w:rPr>
                <w:t>Redwood City, LLC and Revolution Medicines, Inc.,</w:t>
              </w:r>
            </w:hyperlink>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19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dated as of April 17, 2020.</w:t>
              </w:r>
            </w:hyperlink>
          </w:p>
        </w:tc>
        <w:tc>
          <w:tcPr>
            <w:tcW w:w="1860" w:type="dxa"/>
            <w:vAlign w:val="bottom"/>
            <w:tcBorders>
              <w:top w:val="single" w:sz="8" w:color="0000EE"/>
            </w:tcBorders>
            <w:gridSpan w:val="4"/>
          </w:tcPr>
          <w:p>
            <w:pPr>
              <w:spacing w:after="0"/>
              <w:rPr>
                <w:sz w:val="16"/>
                <w:szCs w:val="16"/>
                <w:color w:val="auto"/>
              </w:rPr>
            </w:pPr>
          </w:p>
        </w:tc>
        <w:tc>
          <w:tcPr>
            <w:tcW w:w="500" w:type="dxa"/>
            <w:vAlign w:val="bottom"/>
            <w:gridSpan w:val="8"/>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jc w:val="right"/>
              <w:ind w:right="660"/>
              <w:spacing w:after="0"/>
              <w:rPr>
                <w:sz w:val="20"/>
                <w:szCs w:val="20"/>
                <w:color w:val="auto"/>
              </w:rPr>
            </w:pPr>
            <w:r>
              <w:rPr>
                <w:rFonts w:ascii="Arial" w:cs="Arial" w:eastAsia="Arial" w:hAnsi="Arial"/>
                <w:sz w:val="16"/>
                <w:szCs w:val="16"/>
                <w:color w:val="auto"/>
                <w:w w:val="83"/>
              </w:rPr>
              <w:t>31.1</w:t>
            </w:r>
          </w:p>
        </w:tc>
        <w:tc>
          <w:tcPr>
            <w:tcW w:w="3940" w:type="dxa"/>
            <w:vAlign w:val="bottom"/>
            <w:tcBorders>
              <w:bottom w:val="single" w:sz="8" w:color="0000EE"/>
            </w:tcBorders>
            <w:gridSpan w:val="12"/>
          </w:tcPr>
          <w:p>
            <w:pPr>
              <w:spacing w:after="0" w:line="194"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Certification of Principal Executive Officer Pursuant to</w:t>
              </w:r>
            </w:hyperlink>
          </w:p>
        </w:tc>
        <w:tc>
          <w:tcPr>
            <w:tcW w:w="320" w:type="dxa"/>
            <w:vAlign w:val="bottom"/>
            <w:gridSpan w:val="3"/>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3640" w:type="dxa"/>
            <w:vAlign w:val="bottom"/>
            <w:tcBorders>
              <w:bottom w:val="single" w:sz="8" w:color="0000EE"/>
            </w:tcBorders>
            <w:gridSpan w:val="6"/>
          </w:tcPr>
          <w:p>
            <w:pPr>
              <w:spacing w:after="0" w:line="194"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Rules 13a-14(a) and 15d-14(a) under the Securities</w:t>
              </w:r>
            </w:hyperlink>
          </w:p>
        </w:tc>
        <w:tc>
          <w:tcPr>
            <w:tcW w:w="620" w:type="dxa"/>
            <w:vAlign w:val="bottom"/>
            <w:gridSpan w:val="9"/>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3920" w:type="dxa"/>
            <w:vAlign w:val="bottom"/>
            <w:tcBorders>
              <w:bottom w:val="single" w:sz="8" w:color="0000EE"/>
            </w:tcBorders>
            <w:gridSpan w:val="11"/>
          </w:tcPr>
          <w:p>
            <w:pPr>
              <w:spacing w:after="0" w:line="194"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Exchange Act of 1934, as Adopted Pursuant to Section</w:t>
              </w:r>
            </w:hyperlink>
          </w:p>
        </w:tc>
        <w:tc>
          <w:tcPr>
            <w:tcW w:w="340" w:type="dxa"/>
            <w:vAlign w:val="bottom"/>
            <w:gridSpan w:val="4"/>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1"/>
        </w:trPr>
        <w:tc>
          <w:tcPr>
            <w:tcW w:w="1020" w:type="dxa"/>
            <w:vAlign w:val="bottom"/>
          </w:tcPr>
          <w:p>
            <w:pPr>
              <w:spacing w:after="0"/>
              <w:rPr>
                <w:sz w:val="19"/>
                <w:szCs w:val="19"/>
                <w:color w:val="auto"/>
              </w:rPr>
            </w:pPr>
          </w:p>
        </w:tc>
        <w:tc>
          <w:tcPr>
            <w:tcW w:w="4260" w:type="dxa"/>
            <w:vAlign w:val="bottom"/>
            <w:gridSpan w:val="15"/>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302 of the Sarbanes-Oxley Act of 2002.</w:t>
              </w:r>
            </w:hyperlink>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86"/>
        </w:trPr>
        <w:tc>
          <w:tcPr>
            <w:tcW w:w="1020" w:type="dxa"/>
            <w:vAlign w:val="bottom"/>
          </w:tcPr>
          <w:p>
            <w:pPr>
              <w:jc w:val="right"/>
              <w:ind w:right="660"/>
              <w:spacing w:after="0"/>
              <w:rPr>
                <w:sz w:val="20"/>
                <w:szCs w:val="20"/>
                <w:color w:val="auto"/>
              </w:rPr>
            </w:pPr>
            <w:r>
              <w:rPr>
                <w:rFonts w:ascii="Arial" w:cs="Arial" w:eastAsia="Arial" w:hAnsi="Arial"/>
                <w:sz w:val="16"/>
                <w:szCs w:val="16"/>
                <w:color w:val="auto"/>
                <w:w w:val="83"/>
              </w:rPr>
              <w:t>31.2</w:t>
            </w:r>
          </w:p>
        </w:tc>
        <w:tc>
          <w:tcPr>
            <w:tcW w:w="4260" w:type="dxa"/>
            <w:vAlign w:val="bottom"/>
            <w:gridSpan w:val="15"/>
          </w:tcPr>
          <w:p>
            <w:pPr>
              <w:spacing w:after="0" w:line="186" w:lineRule="exact"/>
              <w:rPr>
                <w:rFonts w:ascii="Arial" w:cs="Arial" w:eastAsia="Arial" w:hAnsi="Arial"/>
                <w:sz w:val="18"/>
                <w:szCs w:val="18"/>
                <w:color w:val="0000EE"/>
              </w:rPr>
            </w:pPr>
            <w:hyperlink w:anchor="page115">
              <w:r>
                <w:rPr>
                  <w:rFonts w:ascii="Arial" w:cs="Arial" w:eastAsia="Arial" w:hAnsi="Arial"/>
                  <w:sz w:val="18"/>
                  <w:szCs w:val="18"/>
                  <w:color w:val="0000EE"/>
                </w:rPr>
                <w:t>Certification of Principal Financial Officer Pursuant to</w:t>
              </w:r>
            </w:hyperlink>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364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Rules 13a-14(a) and 15d-14(a) under the Securities</w:t>
              </w:r>
            </w:hyperlink>
          </w:p>
        </w:tc>
        <w:tc>
          <w:tcPr>
            <w:tcW w:w="240" w:type="dxa"/>
            <w:vAlign w:val="bottom"/>
            <w:tcBorders>
              <w:top w:val="single" w:sz="8" w:color="0000EE"/>
            </w:tcBorders>
            <w:gridSpan w:val="3"/>
          </w:tcPr>
          <w:p>
            <w:pPr>
              <w:spacing w:after="0"/>
              <w:rPr>
                <w:sz w:val="16"/>
                <w:szCs w:val="16"/>
                <w:color w:val="auto"/>
              </w:rPr>
            </w:pPr>
          </w:p>
        </w:tc>
        <w:tc>
          <w:tcPr>
            <w:tcW w:w="380" w:type="dxa"/>
            <w:vAlign w:val="bottom"/>
            <w:gridSpan w:val="6"/>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3920" w:type="dxa"/>
            <w:vAlign w:val="bottom"/>
            <w:tcBorders>
              <w:bottom w:val="single" w:sz="8" w:color="0000EE"/>
            </w:tcBorders>
            <w:gridSpan w:val="11"/>
          </w:tcPr>
          <w:p>
            <w:pPr>
              <w:spacing w:after="0" w:line="194"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Exchange Act of 1934, as Adopted Pursuant to Section</w:t>
              </w:r>
            </w:hyperlink>
          </w:p>
        </w:tc>
        <w:tc>
          <w:tcPr>
            <w:tcW w:w="340" w:type="dxa"/>
            <w:vAlign w:val="bottom"/>
            <w:gridSpan w:val="4"/>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1"/>
        </w:trPr>
        <w:tc>
          <w:tcPr>
            <w:tcW w:w="1020" w:type="dxa"/>
            <w:vAlign w:val="bottom"/>
          </w:tcPr>
          <w:p>
            <w:pPr>
              <w:spacing w:after="0"/>
              <w:rPr>
                <w:sz w:val="19"/>
                <w:szCs w:val="19"/>
                <w:color w:val="auto"/>
              </w:rPr>
            </w:pPr>
          </w:p>
        </w:tc>
        <w:tc>
          <w:tcPr>
            <w:tcW w:w="4260" w:type="dxa"/>
            <w:vAlign w:val="bottom"/>
            <w:gridSpan w:val="15"/>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302 of the Sarbanes-Oxley Act of 2002.</w:t>
              </w:r>
            </w:hyperlink>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86"/>
        </w:trPr>
        <w:tc>
          <w:tcPr>
            <w:tcW w:w="1020" w:type="dxa"/>
            <w:vAlign w:val="bottom"/>
          </w:tcPr>
          <w:p>
            <w:pPr>
              <w:jc w:val="right"/>
              <w:ind w:right="580"/>
              <w:spacing w:after="0"/>
              <w:rPr>
                <w:sz w:val="20"/>
                <w:szCs w:val="20"/>
                <w:color w:val="auto"/>
              </w:rPr>
            </w:pPr>
            <w:r>
              <w:rPr>
                <w:rFonts w:ascii="Arial" w:cs="Arial" w:eastAsia="Arial" w:hAnsi="Arial"/>
                <w:sz w:val="16"/>
                <w:szCs w:val="16"/>
                <w:color w:val="auto"/>
                <w:w w:val="90"/>
              </w:rPr>
              <w:t>32.1*</w:t>
            </w:r>
          </w:p>
        </w:tc>
        <w:tc>
          <w:tcPr>
            <w:tcW w:w="3940" w:type="dxa"/>
            <w:vAlign w:val="bottom"/>
            <w:tcBorders>
              <w:bottom w:val="single" w:sz="8" w:color="0000EE"/>
            </w:tcBorders>
            <w:gridSpan w:val="12"/>
          </w:tcPr>
          <w:p>
            <w:pPr>
              <w:spacing w:after="0" w:line="18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Certification of Principal Executive Officer Pursuant to</w:t>
              </w:r>
            </w:hyperlink>
          </w:p>
        </w:tc>
        <w:tc>
          <w:tcPr>
            <w:tcW w:w="320" w:type="dxa"/>
            <w:vAlign w:val="bottom"/>
            <w:gridSpan w:val="3"/>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4000" w:type="dxa"/>
            <w:vAlign w:val="bottom"/>
            <w:tcBorders>
              <w:bottom w:val="single" w:sz="8" w:color="0000EE"/>
            </w:tcBorders>
            <w:gridSpan w:val="14"/>
          </w:tcPr>
          <w:p>
            <w:pPr>
              <w:spacing w:after="0" w:line="194"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18 U.S.C. Section 1350, as Adopted Pursuant to Section</w:t>
              </w:r>
            </w:hyperlink>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284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906 of the Sarbanes-Oxley Act of 2002.</w:t>
              </w:r>
            </w:hyperlink>
          </w:p>
        </w:tc>
        <w:tc>
          <w:tcPr>
            <w:tcW w:w="1420" w:type="dxa"/>
            <w:vAlign w:val="bottom"/>
            <w:gridSpan w:val="11"/>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jc w:val="right"/>
              <w:ind w:right="580"/>
              <w:spacing w:after="0"/>
              <w:rPr>
                <w:sz w:val="20"/>
                <w:szCs w:val="20"/>
                <w:color w:val="auto"/>
              </w:rPr>
            </w:pPr>
            <w:r>
              <w:rPr>
                <w:rFonts w:ascii="Arial" w:cs="Arial" w:eastAsia="Arial" w:hAnsi="Arial"/>
                <w:sz w:val="16"/>
                <w:szCs w:val="16"/>
                <w:color w:val="auto"/>
                <w:w w:val="90"/>
              </w:rPr>
              <w:t>32.2*</w:t>
            </w:r>
          </w:p>
        </w:tc>
        <w:tc>
          <w:tcPr>
            <w:tcW w:w="4260" w:type="dxa"/>
            <w:vAlign w:val="bottom"/>
            <w:gridSpan w:val="15"/>
          </w:tcPr>
          <w:p>
            <w:pPr>
              <w:spacing w:after="0" w:line="194" w:lineRule="exact"/>
              <w:rPr>
                <w:rFonts w:ascii="Arial" w:cs="Arial" w:eastAsia="Arial" w:hAnsi="Arial"/>
                <w:sz w:val="18"/>
                <w:szCs w:val="18"/>
                <w:color w:val="0000EE"/>
              </w:rPr>
            </w:pPr>
            <w:hyperlink w:anchor="page117">
              <w:r>
                <w:rPr>
                  <w:rFonts w:ascii="Arial" w:cs="Arial" w:eastAsia="Arial" w:hAnsi="Arial"/>
                  <w:sz w:val="18"/>
                  <w:szCs w:val="18"/>
                  <w:color w:val="0000EE"/>
                </w:rPr>
                <w:t>Certification of Principal Financial Officer Pursuant to</w:t>
              </w:r>
            </w:hyperlink>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3880" w:type="dxa"/>
            <w:vAlign w:val="bottom"/>
            <w:gridSpan w:val="9"/>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4000" w:type="dxa"/>
            <w:vAlign w:val="bottom"/>
            <w:tcBorders>
              <w:bottom w:val="single" w:sz="8" w:color="0000EE"/>
            </w:tcBorders>
            <w:gridSpan w:val="14"/>
          </w:tcPr>
          <w:p>
            <w:pPr>
              <w:spacing w:after="0" w:line="194"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18 U.S.C. Section 1350, as Adopted Pursuant to Section</w:t>
              </w:r>
            </w:hyperlink>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3"/>
        </w:trPr>
        <w:tc>
          <w:tcPr>
            <w:tcW w:w="1020" w:type="dxa"/>
            <w:vAlign w:val="bottom"/>
          </w:tcPr>
          <w:p>
            <w:pPr>
              <w:spacing w:after="0"/>
              <w:rPr>
                <w:sz w:val="16"/>
                <w:szCs w:val="16"/>
                <w:color w:val="auto"/>
              </w:rPr>
            </w:pPr>
          </w:p>
        </w:tc>
        <w:tc>
          <w:tcPr>
            <w:tcW w:w="284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906 of the Sarbanes-Oxley Act of 2002.</w:t>
              </w:r>
            </w:hyperlink>
          </w:p>
        </w:tc>
        <w:tc>
          <w:tcPr>
            <w:tcW w:w="1420" w:type="dxa"/>
            <w:vAlign w:val="bottom"/>
            <w:gridSpan w:val="11"/>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65" w:lineRule="exact"/>
        <w:rPr>
          <w:sz w:val="20"/>
          <w:szCs w:val="20"/>
          <w:color w:val="auto"/>
        </w:rPr>
      </w:pPr>
    </w:p>
    <w:p>
      <w:pPr>
        <w:sectPr>
          <w:pgSz w:w="11900" w:h="16838" w:orient="portrait"/>
          <w:cols w:equalWidth="0" w:num="2">
            <w:col w:w="9100" w:space="720"/>
            <w:col w:w="360"/>
          </w:cols>
          <w:pgMar w:left="320" w:top="334" w:right="1399" w:bottom="1440" w:gutter="0" w:footer="0" w:header="0"/>
          <w:type w:val="continuous"/>
        </w:sectPr>
      </w:pPr>
    </w:p>
    <w:tbl>
      <w:tblPr>
        <w:tblLayout w:type="fixed"/>
        <w:tblInd w:w="820" w:type="dxa"/>
        <w:tblCellMar>
          <w:top w:w="0" w:type="dxa"/>
          <w:left w:w="0" w:type="dxa"/>
          <w:bottom w:w="0" w:type="dxa"/>
          <w:right w:w="0" w:type="dxa"/>
        </w:tblCellMar>
      </w:tblPr>
      <w:tr>
        <w:trPr>
          <w:trHeight w:val="200"/>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6200" w:type="dxa"/>
            <w:vAlign w:val="bottom"/>
          </w:tcPr>
          <w:p>
            <w:pPr>
              <w:ind w:left="200"/>
              <w:spacing w:after="0"/>
              <w:rPr>
                <w:sz w:val="20"/>
                <w:szCs w:val="20"/>
                <w:color w:val="auto"/>
              </w:rPr>
            </w:pPr>
            <w:r>
              <w:rPr>
                <w:rFonts w:ascii="Arial" w:cs="Arial" w:eastAsia="Arial" w:hAnsi="Arial"/>
                <w:sz w:val="16"/>
                <w:szCs w:val="16"/>
                <w:color w:val="auto"/>
              </w:rPr>
              <w:t>XBRL Instance Document.</w:t>
            </w:r>
          </w:p>
        </w:tc>
        <w:tc>
          <w:tcPr>
            <w:tcW w:w="2080" w:type="dxa"/>
            <w:vAlign w:val="bottom"/>
          </w:tcPr>
          <w:p>
            <w:pPr>
              <w:ind w:left="1980"/>
              <w:spacing w:after="0"/>
              <w:rPr>
                <w:sz w:val="20"/>
                <w:szCs w:val="20"/>
                <w:color w:val="auto"/>
              </w:rPr>
            </w:pPr>
            <w:r>
              <w:rPr>
                <w:rFonts w:ascii="Arial" w:cs="Arial" w:eastAsia="Arial" w:hAnsi="Arial"/>
                <w:sz w:val="16"/>
                <w:szCs w:val="16"/>
                <w:color w:val="auto"/>
                <w:w w:val="74"/>
              </w:rPr>
              <w:t>X</w:t>
            </w:r>
          </w:p>
        </w:tc>
      </w:tr>
      <w:tr>
        <w:trPr>
          <w:trHeight w:val="200"/>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620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c>
          <w:tcPr>
            <w:tcW w:w="2080" w:type="dxa"/>
            <w:vAlign w:val="bottom"/>
          </w:tcPr>
          <w:p>
            <w:pPr>
              <w:ind w:left="1980"/>
              <w:spacing w:after="0"/>
              <w:rPr>
                <w:sz w:val="20"/>
                <w:szCs w:val="20"/>
                <w:color w:val="auto"/>
              </w:rPr>
            </w:pPr>
            <w:r>
              <w:rPr>
                <w:rFonts w:ascii="Arial" w:cs="Arial" w:eastAsia="Arial" w:hAnsi="Arial"/>
                <w:sz w:val="16"/>
                <w:szCs w:val="16"/>
                <w:color w:val="auto"/>
                <w:w w:val="74"/>
              </w:rPr>
              <w:t>X</w:t>
            </w:r>
          </w:p>
        </w:tc>
      </w:tr>
      <w:tr>
        <w:trPr>
          <w:trHeight w:val="200"/>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620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c>
          <w:tcPr>
            <w:tcW w:w="2080" w:type="dxa"/>
            <w:vAlign w:val="bottom"/>
          </w:tcPr>
          <w:p>
            <w:pPr>
              <w:ind w:left="1980"/>
              <w:spacing w:after="0"/>
              <w:rPr>
                <w:sz w:val="20"/>
                <w:szCs w:val="20"/>
                <w:color w:val="auto"/>
              </w:rPr>
            </w:pPr>
            <w:r>
              <w:rPr>
                <w:rFonts w:ascii="Arial" w:cs="Arial" w:eastAsia="Arial" w:hAnsi="Arial"/>
                <w:sz w:val="16"/>
                <w:szCs w:val="16"/>
                <w:color w:val="auto"/>
                <w:w w:val="74"/>
              </w:rPr>
              <w:t>X</w:t>
            </w:r>
          </w:p>
        </w:tc>
      </w:tr>
      <w:tr>
        <w:trPr>
          <w:trHeight w:val="200"/>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620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c>
          <w:tcPr>
            <w:tcW w:w="2080" w:type="dxa"/>
            <w:vAlign w:val="bottom"/>
          </w:tcPr>
          <w:p>
            <w:pPr>
              <w:ind w:left="1980"/>
              <w:spacing w:after="0"/>
              <w:rPr>
                <w:sz w:val="20"/>
                <w:szCs w:val="20"/>
                <w:color w:val="auto"/>
              </w:rPr>
            </w:pPr>
            <w:r>
              <w:rPr>
                <w:rFonts w:ascii="Arial" w:cs="Arial" w:eastAsia="Arial" w:hAnsi="Arial"/>
                <w:sz w:val="16"/>
                <w:szCs w:val="16"/>
                <w:color w:val="auto"/>
                <w:w w:val="74"/>
              </w:rPr>
              <w:t>X</w:t>
            </w:r>
          </w:p>
        </w:tc>
      </w:tr>
      <w:tr>
        <w:trPr>
          <w:trHeight w:val="200"/>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620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c>
          <w:tcPr>
            <w:tcW w:w="2080" w:type="dxa"/>
            <w:vAlign w:val="bottom"/>
          </w:tcPr>
          <w:p>
            <w:pPr>
              <w:ind w:left="1980"/>
              <w:spacing w:after="0"/>
              <w:rPr>
                <w:sz w:val="20"/>
                <w:szCs w:val="20"/>
                <w:color w:val="auto"/>
              </w:rPr>
            </w:pPr>
            <w:r>
              <w:rPr>
                <w:rFonts w:ascii="Arial" w:cs="Arial" w:eastAsia="Arial" w:hAnsi="Arial"/>
                <w:sz w:val="16"/>
                <w:szCs w:val="16"/>
                <w:color w:val="auto"/>
                <w:w w:val="74"/>
              </w:rPr>
              <w:t>X</w:t>
            </w:r>
          </w:p>
        </w:tc>
      </w:tr>
      <w:tr>
        <w:trPr>
          <w:trHeight w:val="204"/>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620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c>
          <w:tcPr>
            <w:tcW w:w="2080" w:type="dxa"/>
            <w:vAlign w:val="bottom"/>
          </w:tcPr>
          <w:p>
            <w:pPr>
              <w:ind w:left="1980"/>
              <w:spacing w:after="0"/>
              <w:rPr>
                <w:sz w:val="20"/>
                <w:szCs w:val="20"/>
                <w:color w:val="auto"/>
              </w:rPr>
            </w:pPr>
            <w:r>
              <w:rPr>
                <w:rFonts w:ascii="Arial" w:cs="Arial" w:eastAsia="Arial" w:hAnsi="Arial"/>
                <w:sz w:val="16"/>
                <w:szCs w:val="16"/>
                <w:color w:val="auto"/>
                <w:w w:val="74"/>
              </w:rPr>
              <w:t>X</w:t>
            </w:r>
          </w:p>
        </w:tc>
      </w:tr>
    </w:tbl>
    <w:p>
      <w:pPr>
        <w:spacing w:after="0" w:line="249" w:lineRule="exact"/>
        <w:rPr>
          <w:sz w:val="20"/>
          <w:szCs w:val="20"/>
          <w:color w:val="auto"/>
        </w:rPr>
      </w:pPr>
    </w:p>
    <w:p>
      <w:pPr>
        <w:ind w:left="1040" w:hanging="1033"/>
        <w:spacing w:after="0"/>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1" w:lineRule="exact"/>
        <w:rPr>
          <w:sz w:val="20"/>
          <w:szCs w:val="20"/>
          <w:color w:val="auto"/>
        </w:rPr>
      </w:pPr>
    </w:p>
    <w:p>
      <w:pPr>
        <w:ind w:left="1040" w:right="660" w:hanging="1033"/>
        <w:spacing w:after="0" w:line="265"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that accompany this Quarterly Report on Form 10-Q, are deemed furnished and not filed with the Securities and Exchange Commission and are not to be incorporated by reference into any filing of Revolution Medicines,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80"/>
          </w:cols>
          <w:pgMar w:left="320" w:top="334" w:right="139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580" w:firstLine="51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20" w:type="dxa"/>
            <w:vAlign w:val="bottom"/>
            <w:gridSpan w:val="2"/>
          </w:tcPr>
          <w:p>
            <w:pPr>
              <w:ind w:left="40"/>
              <w:spacing w:after="0"/>
              <w:rPr>
                <w:sz w:val="20"/>
                <w:szCs w:val="20"/>
                <w:color w:val="auto"/>
              </w:rPr>
            </w:pPr>
            <w:r>
              <w:rPr>
                <w:rFonts w:ascii="Arial" w:cs="Arial" w:eastAsia="Arial" w:hAnsi="Arial"/>
                <w:sz w:val="18"/>
                <w:szCs w:val="18"/>
                <w:color w:val="auto"/>
              </w:rPr>
              <w:t>Revolution Medicines, Inc.</w:t>
            </w:r>
          </w:p>
        </w:tc>
      </w:tr>
      <w:tr>
        <w:trPr>
          <w:trHeight w:val="427"/>
        </w:trPr>
        <w:tc>
          <w:tcPr>
            <w:tcW w:w="3480" w:type="dxa"/>
            <w:vAlign w:val="bottom"/>
          </w:tcPr>
          <w:p>
            <w:pPr>
              <w:spacing w:after="0"/>
              <w:rPr>
                <w:sz w:val="20"/>
                <w:szCs w:val="20"/>
                <w:color w:val="auto"/>
              </w:rPr>
            </w:pPr>
            <w:r>
              <w:rPr>
                <w:rFonts w:ascii="Arial" w:cs="Arial" w:eastAsia="Arial" w:hAnsi="Arial"/>
                <w:sz w:val="18"/>
                <w:szCs w:val="18"/>
                <w:color w:val="auto"/>
              </w:rPr>
              <w:t>Date: May 14, 2020</w:t>
            </w:r>
          </w:p>
        </w:tc>
        <w:tc>
          <w:tcPr>
            <w:tcW w:w="2440" w:type="dxa"/>
            <w:vAlign w:val="bottom"/>
          </w:tcPr>
          <w:p>
            <w:pPr>
              <w:ind w:left="2160"/>
              <w:spacing w:after="0"/>
              <w:rPr>
                <w:sz w:val="20"/>
                <w:szCs w:val="20"/>
                <w:color w:val="auto"/>
              </w:rPr>
            </w:pPr>
            <w:r>
              <w:rPr>
                <w:rFonts w:ascii="Arial" w:cs="Arial" w:eastAsia="Arial" w:hAnsi="Arial"/>
                <w:sz w:val="18"/>
                <w:szCs w:val="18"/>
                <w:color w:val="auto"/>
                <w:w w:val="99"/>
              </w:rPr>
              <w:t>By:</w:t>
            </w:r>
          </w:p>
        </w:tc>
        <w:tc>
          <w:tcPr>
            <w:tcW w:w="4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A. Goldsmith</w:t>
            </w:r>
          </w:p>
        </w:tc>
      </w:tr>
      <w:tr>
        <w:trPr>
          <w:trHeight w:val="195"/>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80" w:type="dxa"/>
            <w:vAlign w:val="bottom"/>
          </w:tcPr>
          <w:p>
            <w:pPr>
              <w:jc w:val="center"/>
              <w:spacing w:after="0" w:line="195" w:lineRule="exact"/>
              <w:rPr>
                <w:sz w:val="20"/>
                <w:szCs w:val="20"/>
                <w:color w:val="auto"/>
              </w:rPr>
            </w:pPr>
            <w:r>
              <w:rPr>
                <w:rFonts w:ascii="Arial" w:cs="Arial" w:eastAsia="Arial" w:hAnsi="Arial"/>
                <w:sz w:val="18"/>
                <w:szCs w:val="18"/>
                <w:color w:val="auto"/>
                <w:w w:val="93"/>
              </w:rPr>
              <w:t>Mark A. Goldsmith, M.D., Ph.D.</w:t>
            </w:r>
          </w:p>
        </w:tc>
      </w:tr>
      <w:tr>
        <w:trPr>
          <w:trHeight w:val="213"/>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4"/>
        </w:trPr>
        <w:tc>
          <w:tcPr>
            <w:tcW w:w="3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653"/>
        </w:trPr>
        <w:tc>
          <w:tcPr>
            <w:tcW w:w="3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320" w:type="dxa"/>
            <w:vAlign w:val="bottom"/>
            <w:gridSpan w:val="2"/>
          </w:tcPr>
          <w:p>
            <w:pPr>
              <w:ind w:left="40"/>
              <w:spacing w:after="0"/>
              <w:rPr>
                <w:sz w:val="20"/>
                <w:szCs w:val="20"/>
                <w:color w:val="auto"/>
              </w:rPr>
            </w:pPr>
            <w:r>
              <w:rPr>
                <w:rFonts w:ascii="Arial" w:cs="Arial" w:eastAsia="Arial" w:hAnsi="Arial"/>
                <w:sz w:val="18"/>
                <w:szCs w:val="18"/>
                <w:color w:val="auto"/>
              </w:rPr>
              <w:t>Revolution Medicines, Inc.</w:t>
            </w:r>
          </w:p>
        </w:tc>
      </w:tr>
      <w:tr>
        <w:trPr>
          <w:trHeight w:val="454"/>
        </w:trPr>
        <w:tc>
          <w:tcPr>
            <w:tcW w:w="3480" w:type="dxa"/>
            <w:vAlign w:val="bottom"/>
          </w:tcPr>
          <w:p>
            <w:pPr>
              <w:spacing w:after="0"/>
              <w:rPr>
                <w:sz w:val="20"/>
                <w:szCs w:val="20"/>
                <w:color w:val="auto"/>
              </w:rPr>
            </w:pPr>
            <w:r>
              <w:rPr>
                <w:rFonts w:ascii="Arial" w:cs="Arial" w:eastAsia="Arial" w:hAnsi="Arial"/>
                <w:sz w:val="18"/>
                <w:szCs w:val="18"/>
                <w:color w:val="auto"/>
              </w:rPr>
              <w:t>Date: May 14, 2020</w:t>
            </w:r>
          </w:p>
        </w:tc>
        <w:tc>
          <w:tcPr>
            <w:tcW w:w="2440" w:type="dxa"/>
            <w:vAlign w:val="bottom"/>
          </w:tcPr>
          <w:p>
            <w:pPr>
              <w:ind w:left="2160"/>
              <w:spacing w:after="0"/>
              <w:rPr>
                <w:sz w:val="20"/>
                <w:szCs w:val="20"/>
                <w:color w:val="auto"/>
              </w:rPr>
            </w:pPr>
            <w:r>
              <w:rPr>
                <w:rFonts w:ascii="Arial" w:cs="Arial" w:eastAsia="Arial" w:hAnsi="Arial"/>
                <w:sz w:val="18"/>
                <w:szCs w:val="18"/>
                <w:color w:val="auto"/>
                <w:w w:val="99"/>
              </w:rPr>
              <w:t>By:</w:t>
            </w:r>
          </w:p>
        </w:tc>
        <w:tc>
          <w:tcPr>
            <w:tcW w:w="4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Jack Anders</w:t>
            </w:r>
          </w:p>
        </w:tc>
      </w:tr>
      <w:tr>
        <w:trPr>
          <w:trHeight w:val="219"/>
        </w:trPr>
        <w:tc>
          <w:tcPr>
            <w:tcW w:w="3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8"/>
              </w:rPr>
              <w:t>Jack Anders</w:t>
            </w:r>
          </w:p>
        </w:tc>
      </w:tr>
      <w:tr>
        <w:trPr>
          <w:trHeight w:val="216"/>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Vice President, Finance and Principal Accounting Officer</w:t>
            </w:r>
          </w:p>
        </w:tc>
      </w:tr>
      <w:tr>
        <w:trPr>
          <w:trHeight w:val="224"/>
        </w:trPr>
        <w:tc>
          <w:tcPr>
            <w:tcW w:w="3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(Principal Financial and Accounting Officer)</w:t>
            </w:r>
          </w:p>
        </w:tc>
      </w:tr>
      <w:tr>
        <w:trPr>
          <w:trHeight w:val="640"/>
        </w:trPr>
        <w:tc>
          <w:tcPr>
            <w:tcW w:w="3480" w:type="dxa"/>
            <w:vAlign w:val="bottom"/>
          </w:tcPr>
          <w:p>
            <w:pPr>
              <w:spacing w:after="0"/>
              <w:rPr>
                <w:sz w:val="24"/>
                <w:szCs w:val="24"/>
                <w:color w:val="auto"/>
              </w:rPr>
            </w:pPr>
          </w:p>
        </w:tc>
        <w:tc>
          <w:tcPr>
            <w:tcW w:w="2440" w:type="dxa"/>
            <w:vAlign w:val="bottom"/>
          </w:tcPr>
          <w:p>
            <w:pPr>
              <w:jc w:val="right"/>
              <w:ind w:right="111"/>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240"/>
          </w:cols>
          <w:pgMar w:left="320" w:top="33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1"/>
          <w:szCs w:val="21"/>
          <w:color w:val="auto"/>
        </w:rPr>
        <w:t>Exhibit 10.4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SECOND AMENDMENT TO LEASE</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1"/>
          <w:szCs w:val="21"/>
          <w:color w:val="auto"/>
        </w:rPr>
        <w:t>This SECOND AMENDMENT TO LEASE ("</w:t>
      </w:r>
      <w:r>
        <w:rPr>
          <w:rFonts w:ascii="Arial" w:cs="Arial" w:eastAsia="Arial" w:hAnsi="Arial"/>
          <w:sz w:val="21"/>
          <w:szCs w:val="21"/>
          <w:b w:val="1"/>
          <w:bCs w:val="1"/>
          <w:color w:val="auto"/>
        </w:rPr>
        <w:t>Second Amendment</w:t>
      </w:r>
      <w:r>
        <w:rPr>
          <w:rFonts w:ascii="Arial" w:cs="Arial" w:eastAsia="Arial" w:hAnsi="Arial"/>
          <w:sz w:val="21"/>
          <w:szCs w:val="21"/>
          <w:color w:val="auto"/>
        </w:rPr>
        <w:t xml:space="preserve">") is made and entered into as of April 17, 2020, by and between </w:t>
      </w:r>
      <w:r>
        <w:rPr>
          <w:rFonts w:ascii="Arial" w:cs="Arial" w:eastAsia="Arial" w:hAnsi="Arial"/>
          <w:sz w:val="21"/>
          <w:szCs w:val="21"/>
          <w:b w:val="1"/>
          <w:bCs w:val="1"/>
          <w:color w:val="auto"/>
        </w:rPr>
        <w:t>HCP LS REDWOOD CITY, LLC,</w:t>
      </w:r>
      <w:r>
        <w:rPr>
          <w:rFonts w:ascii="Arial" w:cs="Arial" w:eastAsia="Arial" w:hAnsi="Arial"/>
          <w:sz w:val="21"/>
          <w:szCs w:val="21"/>
          <w:color w:val="auto"/>
        </w:rPr>
        <w:t xml:space="preserve"> a Delaware limited partnership ("</w:t>
      </w:r>
      <w:r>
        <w:rPr>
          <w:rFonts w:ascii="Arial" w:cs="Arial" w:eastAsia="Arial" w:hAnsi="Arial"/>
          <w:sz w:val="21"/>
          <w:szCs w:val="21"/>
          <w:b w:val="1"/>
          <w:bCs w:val="1"/>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REVOLUTION</w:t>
      </w:r>
      <w:r>
        <w:rPr>
          <w:rFonts w:ascii="Arial" w:cs="Arial" w:eastAsia="Arial" w:hAnsi="Arial"/>
          <w:sz w:val="21"/>
          <w:szCs w:val="21"/>
          <w:color w:val="auto"/>
        </w:rPr>
        <w:t xml:space="preserve"> </w:t>
      </w:r>
      <w:r>
        <w:rPr>
          <w:rFonts w:ascii="Arial" w:cs="Arial" w:eastAsia="Arial" w:hAnsi="Arial"/>
          <w:sz w:val="21"/>
          <w:szCs w:val="21"/>
          <w:b w:val="1"/>
          <w:bCs w:val="1"/>
          <w:color w:val="auto"/>
        </w:rPr>
        <w:t>MEDICINES,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r>
        <w:rPr>
          <w:rFonts w:ascii="Arial" w:cs="Arial" w:eastAsia="Arial" w:hAnsi="Arial"/>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jc w:val="both"/>
        <w:ind w:left="860" w:hanging="787"/>
        <w:spacing w:after="0" w:line="250" w:lineRule="auto"/>
        <w:tabs>
          <w:tab w:leader="none" w:pos="8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Landlord and Tenant are parties to the Lease dated January 15, 2015 (the "</w:t>
      </w:r>
      <w:r>
        <w:rPr>
          <w:rFonts w:ascii="Arial" w:cs="Arial" w:eastAsia="Arial" w:hAnsi="Arial"/>
          <w:sz w:val="21"/>
          <w:szCs w:val="21"/>
          <w:b w:val="1"/>
          <w:bCs w:val="1"/>
          <w:color w:val="auto"/>
        </w:rPr>
        <w:t>Original Lease</w:t>
      </w:r>
      <w:r>
        <w:rPr>
          <w:rFonts w:ascii="Arial" w:cs="Arial" w:eastAsia="Arial" w:hAnsi="Arial"/>
          <w:sz w:val="21"/>
          <w:szCs w:val="21"/>
          <w:color w:val="auto"/>
        </w:rPr>
        <w:t>"), as amended by that certain First Amendment to Lease dated September 16, 2016 (the "</w:t>
      </w:r>
      <w:r>
        <w:rPr>
          <w:rFonts w:ascii="Arial" w:cs="Arial" w:eastAsia="Arial" w:hAnsi="Arial"/>
          <w:sz w:val="21"/>
          <w:szCs w:val="21"/>
          <w:b w:val="1"/>
          <w:bCs w:val="1"/>
          <w:color w:val="auto"/>
        </w:rPr>
        <w:t>First Amendment</w:t>
      </w:r>
      <w:r>
        <w:rPr>
          <w:rFonts w:ascii="Arial" w:cs="Arial" w:eastAsia="Arial" w:hAnsi="Arial"/>
          <w:sz w:val="21"/>
          <w:szCs w:val="21"/>
          <w:color w:val="auto"/>
        </w:rPr>
        <w:t>" and together with the Original Lease, the "</w:t>
      </w:r>
      <w:r>
        <w:rPr>
          <w:rFonts w:ascii="Arial" w:cs="Arial" w:eastAsia="Arial" w:hAnsi="Arial"/>
          <w:sz w:val="21"/>
          <w:szCs w:val="21"/>
          <w:b w:val="1"/>
          <w:bCs w:val="1"/>
          <w:color w:val="auto"/>
        </w:rPr>
        <w:t>Lease</w:t>
      </w:r>
      <w:r>
        <w:rPr>
          <w:rFonts w:ascii="Arial" w:cs="Arial" w:eastAsia="Arial" w:hAnsi="Arial"/>
          <w:sz w:val="21"/>
          <w:szCs w:val="21"/>
          <w:color w:val="auto"/>
        </w:rPr>
        <w:t>"), whereby Tenant leases approximately 41,916 RSF ("</w:t>
      </w:r>
      <w:r>
        <w:rPr>
          <w:rFonts w:ascii="Arial" w:cs="Arial" w:eastAsia="Arial" w:hAnsi="Arial"/>
          <w:sz w:val="21"/>
          <w:szCs w:val="21"/>
          <w:b w:val="1"/>
          <w:bCs w:val="1"/>
          <w:color w:val="auto"/>
        </w:rPr>
        <w:t>Existing Premises</w:t>
      </w:r>
      <w:r>
        <w:rPr>
          <w:rFonts w:ascii="Arial" w:cs="Arial" w:eastAsia="Arial" w:hAnsi="Arial"/>
          <w:sz w:val="21"/>
          <w:szCs w:val="21"/>
          <w:color w:val="auto"/>
        </w:rPr>
        <w:t>") consisting of the entire building ("</w:t>
      </w:r>
      <w:r>
        <w:rPr>
          <w:rFonts w:ascii="Arial" w:cs="Arial" w:eastAsia="Arial" w:hAnsi="Arial"/>
          <w:sz w:val="21"/>
          <w:szCs w:val="21"/>
          <w:b w:val="1"/>
          <w:bCs w:val="1"/>
          <w:color w:val="auto"/>
        </w:rPr>
        <w:t>700 Building</w:t>
      </w:r>
      <w:r>
        <w:rPr>
          <w:rFonts w:ascii="Arial" w:cs="Arial" w:eastAsia="Arial" w:hAnsi="Arial"/>
          <w:sz w:val="21"/>
          <w:szCs w:val="21"/>
          <w:color w:val="auto"/>
        </w:rPr>
        <w:t>") located at 700 Saginaw Drive, Redwood City, CA.</w:t>
      </w:r>
    </w:p>
    <w:p>
      <w:pPr>
        <w:spacing w:after="0" w:line="173" w:lineRule="exact"/>
        <w:rPr>
          <w:sz w:val="20"/>
          <w:szCs w:val="20"/>
          <w:color w:val="auto"/>
        </w:rPr>
      </w:pPr>
    </w:p>
    <w:p>
      <w:pPr>
        <w:jc w:val="both"/>
        <w:ind w:left="860" w:hanging="787"/>
        <w:spacing w:after="0" w:line="245" w:lineRule="auto"/>
        <w:tabs>
          <w:tab w:leader="none" w:pos="8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Tenant desires to expand the Existing Premises to include that certain space consisting of approximately 19,483 RSF (the "</w:t>
      </w:r>
      <w:r>
        <w:rPr>
          <w:rFonts w:ascii="Arial" w:cs="Arial" w:eastAsia="Arial" w:hAnsi="Arial"/>
          <w:sz w:val="21"/>
          <w:szCs w:val="21"/>
          <w:b w:val="1"/>
          <w:bCs w:val="1"/>
          <w:color w:val="auto"/>
        </w:rPr>
        <w:t>Expansion Premises</w:t>
      </w:r>
      <w:r>
        <w:rPr>
          <w:rFonts w:ascii="Arial" w:cs="Arial" w:eastAsia="Arial" w:hAnsi="Arial"/>
          <w:sz w:val="21"/>
          <w:szCs w:val="21"/>
          <w:color w:val="auto"/>
        </w:rPr>
        <w:t>") comprising all of the rentable area of the building located at 300 Saginaw Drive, Redwood City, CA (the "</w:t>
      </w:r>
      <w:r>
        <w:rPr>
          <w:rFonts w:ascii="Arial" w:cs="Arial" w:eastAsia="Arial" w:hAnsi="Arial"/>
          <w:sz w:val="21"/>
          <w:szCs w:val="21"/>
          <w:b w:val="1"/>
          <w:bCs w:val="1"/>
          <w:color w:val="auto"/>
        </w:rPr>
        <w:t>300 Building</w:t>
      </w:r>
      <w:r>
        <w:rPr>
          <w:rFonts w:ascii="Arial" w:cs="Arial" w:eastAsia="Arial" w:hAnsi="Arial"/>
          <w:sz w:val="21"/>
          <w:szCs w:val="21"/>
          <w:color w:val="auto"/>
        </w:rPr>
        <w:t xml:space="preserve">"), as delineated on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attached hereto and made a part hereof, and to make other modifications to the Lease, and in connection therewith, Landlord and Tenant desire to amend the Lease as hereinafter provided.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ind w:firstLine="870"/>
        <w:spacing w:after="0" w:line="274" w:lineRule="auto"/>
        <w:tabs>
          <w:tab w:leader="none" w:pos="1663"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Capitalized Terms</w:t>
      </w:r>
      <w:r>
        <w:rPr>
          <w:rFonts w:ascii="Arial" w:cs="Arial" w:eastAsia="Arial" w:hAnsi="Arial"/>
          <w:sz w:val="21"/>
          <w:szCs w:val="21"/>
          <w:color w:val="auto"/>
        </w:rPr>
        <w:t>. All capitalized terms when used herein shall have the same meaning as is given such terms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Lease unless expressly superseded by the terms of this Second Amendment.</w:t>
      </w:r>
    </w:p>
    <w:p>
      <w:pPr>
        <w:spacing w:after="0" w:line="141" w:lineRule="exact"/>
        <w:rPr>
          <w:rFonts w:ascii="Arial" w:cs="Arial" w:eastAsia="Arial" w:hAnsi="Arial"/>
          <w:sz w:val="21"/>
          <w:szCs w:val="21"/>
          <w:color w:val="auto"/>
        </w:rPr>
      </w:pPr>
    </w:p>
    <w:p>
      <w:pPr>
        <w:jc w:val="both"/>
        <w:ind w:firstLine="870"/>
        <w:spacing w:after="0" w:line="270" w:lineRule="auto"/>
        <w:tabs>
          <w:tab w:leader="none" w:pos="1663"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 of Premises</w:t>
      </w:r>
      <w:r>
        <w:rPr>
          <w:rFonts w:ascii="Arial" w:cs="Arial" w:eastAsia="Arial" w:hAnsi="Arial"/>
          <w:sz w:val="19"/>
          <w:szCs w:val="19"/>
          <w:color w:val="auto"/>
        </w:rPr>
        <w:t>. Effective as of December 15, 2020 (the "</w:t>
      </w:r>
      <w:r>
        <w:rPr>
          <w:rFonts w:ascii="Arial" w:cs="Arial" w:eastAsia="Arial" w:hAnsi="Arial"/>
          <w:sz w:val="19"/>
          <w:szCs w:val="19"/>
          <w:b w:val="1"/>
          <w:bCs w:val="1"/>
          <w:color w:val="auto"/>
        </w:rPr>
        <w:t>Expansion Commencement Date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lease from Landlord and Landlord shall lease to Tenant the Expansion Premises. Tenant hereby acknowledges that Tenant will be in possession of the Expansion Premises prior to the Expansion Commencement Date through an assignment agreement of the existing lease agreement between the existing tenant, AtriCure, Inc., a Delaware corporation, and Landlord (the "</w:t>
      </w:r>
      <w:r>
        <w:rPr>
          <w:rFonts w:ascii="Arial" w:cs="Arial" w:eastAsia="Arial" w:hAnsi="Arial"/>
          <w:sz w:val="19"/>
          <w:szCs w:val="19"/>
          <w:b w:val="1"/>
          <w:bCs w:val="1"/>
          <w:color w:val="auto"/>
        </w:rPr>
        <w:t>Existing Lease</w:t>
      </w:r>
      <w:r>
        <w:rPr>
          <w:rFonts w:ascii="Arial" w:cs="Arial" w:eastAsia="Arial" w:hAnsi="Arial"/>
          <w:sz w:val="19"/>
          <w:szCs w:val="19"/>
          <w:color w:val="auto"/>
        </w:rPr>
        <w:t>"). The Existing Lease is scheduled to expire on December 14, 2020, and accordingly, Landlord shall have no affirmative obligation to deliver the Expansion Premises to Tenant, Tenant shall have no affirmative surrender or restoration obligations under the Existing Lease, including Sections 5.3.3, 5.3.4, 8.2, and 23.1 and Articles 15 and 22, and Tenant’s continued possession of the Expansion Premises shall in no way be deemed a holdover under the Existing Lease. Notwithstanding the foregoing, Landlord agrees to return Tenant’s security deposit under the Existing Lease in the amount of $79,880 within thirty (30) days of the Expansion Commencement Date, regardless of the condition or state of the Expansion</w:t>
      </w:r>
    </w:p>
    <w:p>
      <w:pPr>
        <w:sectPr>
          <w:pgSz w:w="11900" w:h="16838" w:orient="portrait"/>
          <w:cols w:equalWidth="0" w:num="1">
            <w:col w:w="11240"/>
          </w:cols>
          <w:pgMar w:left="320" w:top="118"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[Revolution Medicines,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216535</wp:posOffset>
            </wp:positionV>
            <wp:extent cx="71507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2">
            <w:col w:w="6160" w:space="720"/>
            <w:col w:w="4360"/>
          </w:cols>
          <w:pgMar w:left="320" w:top="118" w:right="339" w:bottom="1440" w:gutter="0" w:footer="0" w:header="0"/>
          <w:type w:val="continuous"/>
        </w:sectPr>
      </w:pPr>
    </w:p>
    <w:bookmarkStart w:id="84" w:name="page85"/>
    <w:bookmarkEnd w:id="84"/>
    <w:p>
      <w:pPr>
        <w:jc w:val="both"/>
        <w:ind w:right="100"/>
        <w:spacing w:after="0" w:line="255" w:lineRule="auto"/>
        <w:rPr>
          <w:sz w:val="20"/>
          <w:szCs w:val="20"/>
          <w:color w:val="auto"/>
        </w:rPr>
      </w:pPr>
      <w:r>
        <w:rPr>
          <w:rFonts w:ascii="Arial" w:cs="Arial" w:eastAsia="Arial" w:hAnsi="Arial"/>
          <w:sz w:val="20"/>
          <w:szCs w:val="20"/>
          <w:color w:val="auto"/>
        </w:rPr>
        <w:t>Premises at such time. The date upon which Tenant takes possession of the Expansion Premises under the Existing Lease shall be the "</w:t>
      </w:r>
      <w:r>
        <w:rPr>
          <w:rFonts w:ascii="Arial" w:cs="Arial" w:eastAsia="Arial" w:hAnsi="Arial"/>
          <w:sz w:val="20"/>
          <w:szCs w:val="20"/>
          <w:b w:val="1"/>
          <w:bCs w:val="1"/>
          <w:color w:val="auto"/>
        </w:rPr>
        <w:t>Expansion Possession Date</w:t>
      </w:r>
      <w:r>
        <w:rPr>
          <w:rFonts w:ascii="Arial" w:cs="Arial" w:eastAsia="Arial" w:hAnsi="Arial"/>
          <w:sz w:val="20"/>
          <w:szCs w:val="20"/>
          <w:color w:val="auto"/>
        </w:rPr>
        <w:t>." Consequently, effective upon the Expansion Commencement Date, the Existing Premises shall be increased to include the Expansion Premises. Landlord and Tenant hereby acknowledge that such addition of the Expansion Premises to the Existing Premises shall, effective as of the Expansion Commencement Date, increase the size of the Premises to approximately 61,399 RSF. The Existing Premises and the Expansion Premises may hereinafter collectively be referred to as the "</w:t>
      </w:r>
      <w:r>
        <w:rPr>
          <w:rFonts w:ascii="Arial" w:cs="Arial" w:eastAsia="Arial" w:hAnsi="Arial"/>
          <w:sz w:val="20"/>
          <w:szCs w:val="20"/>
          <w:b w:val="1"/>
          <w:bCs w:val="1"/>
          <w:color w:val="auto"/>
        </w:rPr>
        <w:t>Premises</w:t>
      </w:r>
      <w:r>
        <w:rPr>
          <w:rFonts w:ascii="Arial" w:cs="Arial" w:eastAsia="Arial" w:hAnsi="Arial"/>
          <w:sz w:val="20"/>
          <w:szCs w:val="20"/>
          <w:color w:val="auto"/>
        </w:rPr>
        <w:t>.". All references in the Lease, as amended, to the Building shall mean (i) the 700 Building when the context applies to the 700 Building or any portion of the Premises located in the 700 Building, (ii) the 300 Building when the context applies to the 300 Building or any portion of the Premises located in the 300 Building, and (iii) both the 700 Building and the 300 Building when the context applies to both of such buildings.</w:t>
      </w:r>
    </w:p>
    <w:p>
      <w:pPr>
        <w:spacing w:after="0" w:line="167" w:lineRule="exact"/>
        <w:rPr>
          <w:sz w:val="20"/>
          <w:szCs w:val="20"/>
          <w:color w:val="auto"/>
        </w:rPr>
      </w:pPr>
    </w:p>
    <w:p>
      <w:pPr>
        <w:ind w:left="1680" w:hanging="810"/>
        <w:spacing w:after="0"/>
        <w:tabs>
          <w:tab w:leader="none" w:pos="1680" w:val="left"/>
        </w:tabs>
        <w:numPr>
          <w:ilvl w:val="0"/>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Lease Term</w:t>
      </w:r>
      <w:r>
        <w:rPr>
          <w:rFonts w:ascii="Arial" w:cs="Arial" w:eastAsia="Arial" w:hAnsi="Arial"/>
          <w:sz w:val="21"/>
          <w:szCs w:val="21"/>
          <w:color w:val="auto"/>
        </w:rPr>
        <w:t>.</w:t>
      </w:r>
    </w:p>
    <w:p>
      <w:pPr>
        <w:spacing w:after="0" w:line="212" w:lineRule="exact"/>
        <w:rPr>
          <w:sz w:val="20"/>
          <w:szCs w:val="20"/>
          <w:color w:val="auto"/>
        </w:rPr>
      </w:pPr>
    </w:p>
    <w:p>
      <w:pPr>
        <w:jc w:val="both"/>
        <w:ind w:right="100" w:firstLine="1728"/>
        <w:spacing w:after="0" w:line="26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u w:val="single" w:color="auto"/>
          <w:color w:val="auto"/>
        </w:rPr>
        <w:t>Expansion Term</w:t>
      </w:r>
      <w:r>
        <w:rPr>
          <w:rFonts w:ascii="Arial" w:cs="Arial" w:eastAsia="Arial" w:hAnsi="Arial"/>
          <w:sz w:val="20"/>
          <w:szCs w:val="20"/>
          <w:color w:val="auto"/>
        </w:rPr>
        <w:t>. Landlord and Tenant acknowledge that Tenant's lease of the Existing Premises is scheduled to expire on April 30, 2023, pursuant to the terms of the Lease. Notwithstanding anything to the contrary in the Lease, the term of Tenant's lease of the Existing Premises is hereby extended and shall expire coterminously with the term of Tenant's lease of the Expansion Premises on December 31, 2030 (the “</w:t>
      </w:r>
      <w:r>
        <w:rPr>
          <w:rFonts w:ascii="Arial" w:cs="Arial" w:eastAsia="Arial" w:hAnsi="Arial"/>
          <w:sz w:val="20"/>
          <w:szCs w:val="20"/>
          <w:b w:val="1"/>
          <w:bCs w:val="1"/>
          <w:color w:val="auto"/>
        </w:rPr>
        <w:t>New Expiration Date</w:t>
      </w:r>
      <w:r>
        <w:rPr>
          <w:rFonts w:ascii="Arial" w:cs="Arial" w:eastAsia="Arial" w:hAnsi="Arial"/>
          <w:sz w:val="20"/>
          <w:szCs w:val="20"/>
          <w:color w:val="auto"/>
        </w:rPr>
        <w:t>”), unless sooner terminated as provided in the Lease, as hereby amended. The period of time commencing on the Expansion Commencement Date and terminating on the New Expiration Date, shall be referred to herein as the "</w:t>
      </w:r>
      <w:r>
        <w:rPr>
          <w:rFonts w:ascii="Arial" w:cs="Arial" w:eastAsia="Arial" w:hAnsi="Arial"/>
          <w:sz w:val="20"/>
          <w:szCs w:val="20"/>
          <w:b w:val="1"/>
          <w:bCs w:val="1"/>
          <w:color w:val="auto"/>
        </w:rPr>
        <w:t>Expansion Term</w:t>
      </w:r>
      <w:r>
        <w:rPr>
          <w:rFonts w:ascii="Arial" w:cs="Arial" w:eastAsia="Arial" w:hAnsi="Arial"/>
          <w:sz w:val="20"/>
          <w:szCs w:val="20"/>
          <w:color w:val="auto"/>
        </w:rPr>
        <w:t>."</w:t>
      </w:r>
    </w:p>
    <w:p>
      <w:pPr>
        <w:spacing w:after="0" w:line="158" w:lineRule="exact"/>
        <w:rPr>
          <w:sz w:val="20"/>
          <w:szCs w:val="20"/>
          <w:color w:val="auto"/>
        </w:rPr>
      </w:pPr>
    </w:p>
    <w:p>
      <w:pPr>
        <w:jc w:val="both"/>
        <w:ind w:right="100" w:firstLine="1728"/>
        <w:spacing w:after="0" w:line="24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u w:val="single" w:color="auto"/>
          <w:color w:val="auto"/>
        </w:rPr>
        <w:t>Option Term</w:t>
      </w:r>
      <w:r>
        <w:rPr>
          <w:rFonts w:ascii="Arial" w:cs="Arial" w:eastAsia="Arial" w:hAnsi="Arial"/>
          <w:sz w:val="21"/>
          <w:szCs w:val="21"/>
          <w:color w:val="auto"/>
        </w:rPr>
        <w:t xml:space="preserve">. Landlord and Tenant acknowledge and agree that Tenant shall continue to have one (1) option to extend the Lease Term in accordance with, and pursuant to the terms of,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of the Original Lease; provided, however, (i) all references therein to the "initial Lease Term" shall be deemed to refer to the "Expansion Term", (ii) such right shall apply to the entire Premises (i.e., the Existing Premises and the Expansion Premises), (iii) Tenant may only exercise such option with respect to the entire Premises (i.e., the Existing Premises and the Expansion Premises), and (iv) such option shall be an option to extend the Lease Term for a period of ten (10) years (as opposed to five (5) years, as currently set forth in the Lease).</w:t>
      </w:r>
    </w:p>
    <w:p>
      <w:pPr>
        <w:spacing w:after="0" w:line="174" w:lineRule="exact"/>
        <w:rPr>
          <w:sz w:val="20"/>
          <w:szCs w:val="20"/>
          <w:color w:val="auto"/>
        </w:rPr>
      </w:pPr>
    </w:p>
    <w:p>
      <w:pPr>
        <w:ind w:left="1680" w:hanging="810"/>
        <w:spacing w:after="0"/>
        <w:tabs>
          <w:tab w:leader="none" w:pos="1680"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Base Rent</w:t>
      </w:r>
      <w:r>
        <w:rPr>
          <w:rFonts w:ascii="Arial" w:cs="Arial" w:eastAsia="Arial" w:hAnsi="Arial"/>
          <w:sz w:val="21"/>
          <w:szCs w:val="21"/>
          <w:color w:val="auto"/>
        </w:rPr>
        <w:t>.</w:t>
      </w:r>
    </w:p>
    <w:p>
      <w:pPr>
        <w:spacing w:after="0" w:line="212" w:lineRule="exact"/>
        <w:rPr>
          <w:sz w:val="20"/>
          <w:szCs w:val="20"/>
          <w:color w:val="auto"/>
        </w:rPr>
      </w:pPr>
    </w:p>
    <w:p>
      <w:pPr>
        <w:jc w:val="both"/>
        <w:ind w:right="100" w:firstLine="1728"/>
        <w:spacing w:after="0" w:line="250"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Existing Premises</w:t>
      </w:r>
      <w:r>
        <w:rPr>
          <w:rFonts w:ascii="Arial" w:cs="Arial" w:eastAsia="Arial" w:hAnsi="Arial"/>
          <w:sz w:val="21"/>
          <w:szCs w:val="21"/>
          <w:color w:val="auto"/>
        </w:rPr>
        <w:t>. Notwithstanding anything to the contrary in the Lease as hereby amended, prior to May 1, 2023, Tenant shall continue to pay Base Rent for the Existing Premises in accordance with the terms of the Lease. Commencing on May 1, 2023, and continuing throughout the Expansion Term, Tenant shall pay to Landlord monthly installments of Base Rent for the Existing Premises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2100" w:type="dxa"/>
            <w:vAlign w:val="bottom"/>
            <w:gridSpan w:val="2"/>
          </w:tcPr>
          <w:p>
            <w:pPr>
              <w:jc w:val="center"/>
              <w:ind w:right="720"/>
              <w:spacing w:after="0"/>
              <w:rPr>
                <w:sz w:val="20"/>
                <w:szCs w:val="20"/>
                <w:color w:val="auto"/>
              </w:rPr>
            </w:pPr>
            <w:r>
              <w:rPr>
                <w:rFonts w:ascii="Arial" w:cs="Arial" w:eastAsia="Arial" w:hAnsi="Arial"/>
                <w:sz w:val="21"/>
                <w:szCs w:val="21"/>
                <w:color w:val="auto"/>
                <w:w w:val="94"/>
              </w:rPr>
              <w:t>Period During</w:t>
            </w: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60" w:type="dxa"/>
            <w:vAlign w:val="bottom"/>
            <w:gridSpan w:val="5"/>
          </w:tcPr>
          <w:p>
            <w:pPr>
              <w:jc w:val="center"/>
              <w:ind w:left="184"/>
              <w:spacing w:after="0"/>
              <w:rPr>
                <w:sz w:val="20"/>
                <w:szCs w:val="20"/>
                <w:color w:val="auto"/>
              </w:rPr>
            </w:pPr>
            <w:r>
              <w:rPr>
                <w:rFonts w:ascii="Arial" w:cs="Arial" w:eastAsia="Arial" w:hAnsi="Arial"/>
                <w:sz w:val="21"/>
                <w:szCs w:val="21"/>
                <w:color w:val="auto"/>
                <w:w w:val="95"/>
              </w:rPr>
              <w:t>Monthly Installment of Base</w:t>
            </w:r>
          </w:p>
        </w:tc>
        <w:tc>
          <w:tcPr>
            <w:tcW w:w="2620" w:type="dxa"/>
            <w:vAlign w:val="bottom"/>
            <w:gridSpan w:val="5"/>
          </w:tcPr>
          <w:p>
            <w:pPr>
              <w:ind w:left="160"/>
              <w:spacing w:after="0"/>
              <w:rPr>
                <w:sz w:val="20"/>
                <w:szCs w:val="20"/>
                <w:color w:val="auto"/>
              </w:rPr>
            </w:pPr>
            <w:r>
              <w:rPr>
                <w:rFonts w:ascii="Arial" w:cs="Arial" w:eastAsia="Arial" w:hAnsi="Arial"/>
                <w:sz w:val="21"/>
                <w:szCs w:val="21"/>
                <w:color w:val="auto"/>
                <w:w w:val="94"/>
              </w:rPr>
              <w:t>Approximate Monthly Renta</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400" w:type="dxa"/>
            <w:vAlign w:val="bottom"/>
          </w:tcPr>
          <w:p>
            <w:pPr>
              <w:jc w:val="center"/>
              <w:spacing w:after="0" w:line="220" w:lineRule="exact"/>
              <w:rPr>
                <w:sz w:val="20"/>
                <w:szCs w:val="20"/>
                <w:color w:val="auto"/>
              </w:rPr>
            </w:pPr>
            <w:r>
              <w:rPr>
                <w:rFonts w:ascii="Arial" w:cs="Arial" w:eastAsia="Arial" w:hAnsi="Arial"/>
                <w:sz w:val="21"/>
                <w:szCs w:val="21"/>
                <w:color w:val="auto"/>
                <w:w w:val="91"/>
              </w:rPr>
              <w:t>Expansion Term</w:t>
            </w:r>
          </w:p>
        </w:tc>
        <w:tc>
          <w:tcPr>
            <w:tcW w:w="700" w:type="dxa"/>
            <w:vAlign w:val="bottom"/>
          </w:tcPr>
          <w:p>
            <w:pPr>
              <w:spacing w:after="0"/>
              <w:rPr>
                <w:sz w:val="19"/>
                <w:szCs w:val="19"/>
                <w:color w:val="auto"/>
              </w:rPr>
            </w:pPr>
          </w:p>
        </w:tc>
        <w:tc>
          <w:tcPr>
            <w:tcW w:w="2680" w:type="dxa"/>
            <w:vAlign w:val="bottom"/>
            <w:gridSpan w:val="3"/>
          </w:tcPr>
          <w:p>
            <w:pPr>
              <w:jc w:val="center"/>
              <w:ind w:left="162"/>
              <w:spacing w:after="0" w:line="220" w:lineRule="exact"/>
              <w:rPr>
                <w:sz w:val="20"/>
                <w:szCs w:val="20"/>
                <w:color w:val="auto"/>
              </w:rPr>
            </w:pPr>
            <w:r>
              <w:rPr>
                <w:rFonts w:ascii="Arial" w:cs="Arial" w:eastAsia="Arial" w:hAnsi="Arial"/>
                <w:sz w:val="21"/>
                <w:szCs w:val="21"/>
                <w:color w:val="auto"/>
                <w:w w:val="90"/>
              </w:rPr>
              <w:t>Annual Base Rent</w:t>
            </w:r>
          </w:p>
        </w:tc>
        <w:tc>
          <w:tcPr>
            <w:tcW w:w="2200" w:type="dxa"/>
            <w:vAlign w:val="bottom"/>
            <w:gridSpan w:val="3"/>
          </w:tcPr>
          <w:p>
            <w:pPr>
              <w:jc w:val="center"/>
              <w:ind w:left="1064"/>
              <w:spacing w:after="0" w:line="220" w:lineRule="exact"/>
              <w:rPr>
                <w:sz w:val="20"/>
                <w:szCs w:val="20"/>
                <w:color w:val="auto"/>
              </w:rPr>
            </w:pPr>
            <w:r>
              <w:rPr>
                <w:rFonts w:ascii="Arial" w:cs="Arial" w:eastAsia="Arial" w:hAnsi="Arial"/>
                <w:sz w:val="21"/>
                <w:szCs w:val="21"/>
                <w:color w:val="auto"/>
                <w:w w:val="90"/>
              </w:rPr>
              <w:t>Rent</w:t>
            </w: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jc w:val="center"/>
              <w:ind w:left="613"/>
              <w:spacing w:after="0" w:line="220" w:lineRule="exact"/>
              <w:rPr>
                <w:sz w:val="20"/>
                <w:szCs w:val="20"/>
                <w:color w:val="auto"/>
              </w:rPr>
            </w:pPr>
            <w:r>
              <w:rPr>
                <w:rFonts w:ascii="Arial" w:cs="Arial" w:eastAsia="Arial" w:hAnsi="Arial"/>
                <w:sz w:val="21"/>
                <w:szCs w:val="21"/>
                <w:color w:val="auto"/>
                <w:w w:val="90"/>
              </w:rPr>
              <w:t>Rate per RSF</w:t>
            </w:r>
          </w:p>
        </w:tc>
        <w:tc>
          <w:tcPr>
            <w:tcW w:w="500" w:type="dxa"/>
            <w:vAlign w:val="bottom"/>
            <w:tcBorders>
              <w:top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Arial" w:cs="Arial" w:eastAsia="Arial" w:hAnsi="Arial"/>
                <w:sz w:val="21"/>
                <w:szCs w:val="21"/>
                <w:color w:val="auto"/>
              </w:rPr>
              <w:t>May 1, 2023 –</w:t>
            </w:r>
          </w:p>
        </w:tc>
        <w:tc>
          <w:tcPr>
            <w:tcW w:w="700" w:type="dxa"/>
            <w:vAlign w:val="bottom"/>
          </w:tcPr>
          <w:p>
            <w:pPr>
              <w:spacing w:after="0"/>
              <w:rPr>
                <w:sz w:val="24"/>
                <w:szCs w:val="24"/>
                <w:color w:val="auto"/>
              </w:rPr>
            </w:pPr>
          </w:p>
        </w:tc>
        <w:tc>
          <w:tcPr>
            <w:tcW w:w="700" w:type="dxa"/>
            <w:vAlign w:val="bottom"/>
            <w:vMerge w:val="restart"/>
          </w:tcPr>
          <w:p>
            <w:pPr>
              <w:spacing w:after="0"/>
              <w:rPr>
                <w:sz w:val="24"/>
                <w:szCs w:val="24"/>
                <w:color w:val="auto"/>
              </w:rPr>
            </w:pPr>
          </w:p>
        </w:tc>
        <w:tc>
          <w:tcPr>
            <w:tcW w:w="1540" w:type="dxa"/>
            <w:vAlign w:val="bottom"/>
            <w:vMerge w:val="restart"/>
          </w:tcPr>
          <w:p>
            <w:pPr>
              <w:jc w:val="right"/>
              <w:ind w:right="53"/>
              <w:spacing w:after="0"/>
              <w:rPr>
                <w:sz w:val="20"/>
                <w:szCs w:val="20"/>
                <w:color w:val="auto"/>
              </w:rPr>
            </w:pPr>
            <w:r>
              <w:rPr>
                <w:rFonts w:ascii="Arial" w:cs="Arial" w:eastAsia="Arial" w:hAnsi="Arial"/>
                <w:sz w:val="21"/>
                <w:szCs w:val="21"/>
                <w:color w:val="auto"/>
              </w:rPr>
              <w:t>$2,801,851.55</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44"/>
              <w:spacing w:after="0"/>
              <w:rPr>
                <w:sz w:val="20"/>
                <w:szCs w:val="20"/>
                <w:color w:val="auto"/>
              </w:rPr>
            </w:pPr>
            <w:r>
              <w:rPr>
                <w:rFonts w:ascii="Arial" w:cs="Arial" w:eastAsia="Arial" w:hAnsi="Arial"/>
                <w:sz w:val="21"/>
                <w:szCs w:val="21"/>
                <w:color w:val="auto"/>
                <w:w w:val="90"/>
              </w:rPr>
              <w:t>$233,487.63</w:t>
            </w:r>
          </w:p>
        </w:tc>
        <w:tc>
          <w:tcPr>
            <w:tcW w:w="160" w:type="dxa"/>
            <w:vAlign w:val="bottom"/>
          </w:tcPr>
          <w:p>
            <w:pPr>
              <w:spacing w:after="0"/>
              <w:rPr>
                <w:sz w:val="24"/>
                <w:szCs w:val="24"/>
                <w:color w:val="auto"/>
              </w:rPr>
            </w:pPr>
          </w:p>
        </w:tc>
        <w:tc>
          <w:tcPr>
            <w:tcW w:w="2000" w:type="dxa"/>
            <w:vAlign w:val="bottom"/>
            <w:gridSpan w:val="2"/>
            <w:vMerge w:val="restart"/>
          </w:tcPr>
          <w:p>
            <w:pPr>
              <w:jc w:val="right"/>
              <w:ind w:right="340"/>
              <w:spacing w:after="0"/>
              <w:rPr>
                <w:sz w:val="20"/>
                <w:szCs w:val="20"/>
                <w:color w:val="auto"/>
              </w:rPr>
            </w:pPr>
            <w:r>
              <w:rPr>
                <w:rFonts w:ascii="Arial" w:cs="Arial" w:eastAsia="Arial" w:hAnsi="Arial"/>
                <w:sz w:val="21"/>
                <w:szCs w:val="21"/>
                <w:color w:val="auto"/>
              </w:rPr>
              <w:t>$5.57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80" w:type="dxa"/>
            <w:vAlign w:val="bottom"/>
          </w:tcPr>
          <w:p>
            <w:pPr>
              <w:spacing w:after="0"/>
              <w:rPr>
                <w:sz w:val="13"/>
                <w:szCs w:val="13"/>
                <w:color w:val="auto"/>
              </w:rPr>
            </w:pPr>
          </w:p>
        </w:tc>
        <w:tc>
          <w:tcPr>
            <w:tcW w:w="2100" w:type="dxa"/>
            <w:vAlign w:val="bottom"/>
            <w:gridSpan w:val="2"/>
            <w:vMerge w:val="restart"/>
          </w:tcPr>
          <w:p>
            <w:pPr>
              <w:jc w:val="center"/>
              <w:ind w:right="700"/>
              <w:spacing w:after="0"/>
              <w:rPr>
                <w:sz w:val="20"/>
                <w:szCs w:val="20"/>
                <w:color w:val="auto"/>
              </w:rPr>
            </w:pPr>
            <w:r>
              <w:rPr>
                <w:rFonts w:ascii="Arial" w:cs="Arial" w:eastAsia="Arial" w:hAnsi="Arial"/>
                <w:sz w:val="21"/>
                <w:szCs w:val="21"/>
                <w:color w:val="auto"/>
                <w:w w:val="95"/>
              </w:rPr>
              <w:t>April 30, 2024</w:t>
            </w:r>
          </w:p>
        </w:tc>
        <w:tc>
          <w:tcPr>
            <w:tcW w:w="7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8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880" w:type="dxa"/>
            <w:vAlign w:val="bottom"/>
          </w:tcPr>
          <w:p>
            <w:pPr>
              <w:spacing w:after="0"/>
              <w:rPr>
                <w:sz w:val="20"/>
                <w:szCs w:val="20"/>
                <w:color w:val="auto"/>
              </w:rPr>
            </w:pPr>
            <w:r>
              <w:rPr>
                <w:rFonts w:ascii="Arial" w:cs="Arial" w:eastAsia="Arial" w:hAnsi="Arial"/>
                <w:sz w:val="12"/>
                <w:szCs w:val="12"/>
                <w:color w:val="auto"/>
              </w:rPr>
              <w:t>./</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gridSpan w:val="2"/>
            <w:vMerge w:val="restart"/>
          </w:tcPr>
          <w:p>
            <w:pPr>
              <w:jc w:val="right"/>
              <w:ind w:right="853"/>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20"/>
                <w:szCs w:val="20"/>
                <w:color w:val="auto"/>
              </w:rPr>
            </w:pPr>
            <w:r>
              <w:rPr>
                <w:rFonts w:ascii="Arial" w:cs="Arial" w:eastAsia="Arial" w:hAnsi="Arial"/>
                <w:sz w:val="12"/>
                <w:szCs w:val="12"/>
                <w:color w:val="auto"/>
              </w:rPr>
              <w:t>-///</w:t>
            </w: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3060" w:type="dxa"/>
            <w:vAlign w:val="bottom"/>
            <w:gridSpan w:val="5"/>
          </w:tcPr>
          <w:p>
            <w:pPr>
              <w:ind w:left="1220"/>
              <w:spacing w:after="0"/>
              <w:rPr>
                <w:sz w:val="20"/>
                <w:szCs w:val="20"/>
                <w:color w:val="auto"/>
              </w:rPr>
            </w:pPr>
            <w:r>
              <w:rPr>
                <w:rFonts w:ascii="Arial" w:cs="Arial" w:eastAsia="Arial" w:hAnsi="Arial"/>
                <w:sz w:val="12"/>
                <w:szCs w:val="12"/>
                <w:color w:val="auto"/>
              </w:rPr>
              <w:t>[Revolution Medicines, Inc.]</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545" w:right="239" w:bottom="1440" w:gutter="0" w:footer="0" w:header="0"/>
        </w:sectPr>
      </w:pPr>
    </w:p>
    <w:bookmarkStart w:id="85" w:name="page86"/>
    <w:bookmarkEnd w:id="85"/>
    <w:tbl>
      <w:tblPr>
        <w:tblLayout w:type="fixed"/>
        <w:tblInd w:w="320" w:type="dxa"/>
        <w:tblCellMar>
          <w:top w:w="0" w:type="dxa"/>
          <w:left w:w="0" w:type="dxa"/>
          <w:bottom w:w="0" w:type="dxa"/>
          <w:right w:w="0" w:type="dxa"/>
        </w:tblCellMar>
      </w:tblPr>
      <w:tr>
        <w:trPr>
          <w:trHeight w:val="241"/>
        </w:trPr>
        <w:tc>
          <w:tcPr>
            <w:tcW w:w="3020" w:type="dxa"/>
            <w:vAlign w:val="bottom"/>
          </w:tcPr>
          <w:p>
            <w:pPr>
              <w:ind w:left="600"/>
              <w:spacing w:after="0"/>
              <w:rPr>
                <w:sz w:val="20"/>
                <w:szCs w:val="20"/>
                <w:color w:val="auto"/>
              </w:rPr>
            </w:pPr>
            <w:r>
              <w:rPr>
                <w:rFonts w:ascii="Arial" w:cs="Arial" w:eastAsia="Arial" w:hAnsi="Arial"/>
                <w:sz w:val="21"/>
                <w:szCs w:val="21"/>
                <w:color w:val="auto"/>
              </w:rPr>
              <w:t>May 1, 2024 –</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$2,899,916.35</w:t>
            </w:r>
          </w:p>
        </w:tc>
        <w:tc>
          <w:tcPr>
            <w:tcW w:w="140" w:type="dxa"/>
            <w:vAlign w:val="bottom"/>
          </w:tcPr>
          <w:p>
            <w:pPr>
              <w:spacing w:after="0"/>
              <w:rPr>
                <w:sz w:val="21"/>
                <w:szCs w:val="21"/>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$241,659.70</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$5.77</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640"/>
              <w:spacing w:after="0"/>
              <w:rPr>
                <w:sz w:val="20"/>
                <w:szCs w:val="20"/>
                <w:color w:val="auto"/>
              </w:rPr>
            </w:pPr>
            <w:r>
              <w:rPr>
                <w:rFonts w:ascii="Arial" w:cs="Arial" w:eastAsia="Arial" w:hAnsi="Arial"/>
                <w:sz w:val="21"/>
                <w:szCs w:val="21"/>
                <w:color w:val="auto"/>
              </w:rPr>
              <w:t>April 30, 2025</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020" w:type="dxa"/>
            <w:vAlign w:val="bottom"/>
          </w:tcPr>
          <w:p>
            <w:pPr>
              <w:ind w:left="600"/>
              <w:spacing w:after="0"/>
              <w:rPr>
                <w:sz w:val="20"/>
                <w:szCs w:val="20"/>
                <w:color w:val="auto"/>
              </w:rPr>
            </w:pPr>
            <w:r>
              <w:rPr>
                <w:rFonts w:ascii="Arial" w:cs="Arial" w:eastAsia="Arial" w:hAnsi="Arial"/>
                <w:sz w:val="21"/>
                <w:szCs w:val="21"/>
                <w:color w:val="auto"/>
              </w:rPr>
              <w:t>May 1, 2025 –</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$3,001,413.42</w:t>
            </w:r>
          </w:p>
        </w:tc>
        <w:tc>
          <w:tcPr>
            <w:tcW w:w="140" w:type="dxa"/>
            <w:vAlign w:val="bottom"/>
          </w:tcPr>
          <w:p>
            <w:pPr>
              <w:spacing w:after="0"/>
              <w:rPr>
                <w:sz w:val="24"/>
                <w:szCs w:val="24"/>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$250,117.79</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$5.97</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640"/>
              <w:spacing w:after="0"/>
              <w:rPr>
                <w:sz w:val="20"/>
                <w:szCs w:val="20"/>
                <w:color w:val="auto"/>
              </w:rPr>
            </w:pPr>
            <w:r>
              <w:rPr>
                <w:rFonts w:ascii="Arial" w:cs="Arial" w:eastAsia="Arial" w:hAnsi="Arial"/>
                <w:sz w:val="21"/>
                <w:szCs w:val="21"/>
                <w:color w:val="auto"/>
              </w:rPr>
              <w:t>April 30, 2026</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020" w:type="dxa"/>
            <w:vAlign w:val="bottom"/>
          </w:tcPr>
          <w:p>
            <w:pPr>
              <w:ind w:left="600"/>
              <w:spacing w:after="0"/>
              <w:rPr>
                <w:sz w:val="20"/>
                <w:szCs w:val="20"/>
                <w:color w:val="auto"/>
              </w:rPr>
            </w:pPr>
            <w:r>
              <w:rPr>
                <w:rFonts w:ascii="Arial" w:cs="Arial" w:eastAsia="Arial" w:hAnsi="Arial"/>
                <w:sz w:val="21"/>
                <w:szCs w:val="21"/>
                <w:color w:val="auto"/>
              </w:rPr>
              <w:t>May 1, 2026 –</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$3,106,462.89</w:t>
            </w:r>
          </w:p>
        </w:tc>
        <w:tc>
          <w:tcPr>
            <w:tcW w:w="140" w:type="dxa"/>
            <w:vAlign w:val="bottom"/>
          </w:tcPr>
          <w:p>
            <w:pPr>
              <w:spacing w:after="0"/>
              <w:rPr>
                <w:sz w:val="24"/>
                <w:szCs w:val="24"/>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$258,871.91</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$6.18</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640"/>
              <w:spacing w:after="0"/>
              <w:rPr>
                <w:sz w:val="20"/>
                <w:szCs w:val="20"/>
                <w:color w:val="auto"/>
              </w:rPr>
            </w:pPr>
            <w:r>
              <w:rPr>
                <w:rFonts w:ascii="Arial" w:cs="Arial" w:eastAsia="Arial" w:hAnsi="Arial"/>
                <w:sz w:val="21"/>
                <w:szCs w:val="21"/>
                <w:color w:val="auto"/>
              </w:rPr>
              <w:t>April 30, 2027</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020" w:type="dxa"/>
            <w:vAlign w:val="bottom"/>
          </w:tcPr>
          <w:p>
            <w:pPr>
              <w:ind w:left="600"/>
              <w:spacing w:after="0"/>
              <w:rPr>
                <w:sz w:val="20"/>
                <w:szCs w:val="20"/>
                <w:color w:val="auto"/>
              </w:rPr>
            </w:pPr>
            <w:r>
              <w:rPr>
                <w:rFonts w:ascii="Arial" w:cs="Arial" w:eastAsia="Arial" w:hAnsi="Arial"/>
                <w:sz w:val="21"/>
                <w:szCs w:val="21"/>
                <w:color w:val="auto"/>
              </w:rPr>
              <w:t>May 1, 2027 –</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$3,215,189.09</w:t>
            </w:r>
          </w:p>
        </w:tc>
        <w:tc>
          <w:tcPr>
            <w:tcW w:w="140" w:type="dxa"/>
            <w:vAlign w:val="bottom"/>
          </w:tcPr>
          <w:p>
            <w:pPr>
              <w:spacing w:after="0"/>
              <w:rPr>
                <w:sz w:val="24"/>
                <w:szCs w:val="24"/>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$267,932.42</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$6.39</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640"/>
              <w:spacing w:after="0"/>
              <w:rPr>
                <w:sz w:val="20"/>
                <w:szCs w:val="20"/>
                <w:color w:val="auto"/>
              </w:rPr>
            </w:pPr>
            <w:r>
              <w:rPr>
                <w:rFonts w:ascii="Arial" w:cs="Arial" w:eastAsia="Arial" w:hAnsi="Arial"/>
                <w:sz w:val="21"/>
                <w:szCs w:val="21"/>
                <w:color w:val="auto"/>
              </w:rPr>
              <w:t>April 30, 2028</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020" w:type="dxa"/>
            <w:vAlign w:val="bottom"/>
          </w:tcPr>
          <w:p>
            <w:pPr>
              <w:ind w:left="600"/>
              <w:spacing w:after="0"/>
              <w:rPr>
                <w:sz w:val="20"/>
                <w:szCs w:val="20"/>
                <w:color w:val="auto"/>
              </w:rPr>
            </w:pPr>
            <w:r>
              <w:rPr>
                <w:rFonts w:ascii="Arial" w:cs="Arial" w:eastAsia="Arial" w:hAnsi="Arial"/>
                <w:sz w:val="21"/>
                <w:szCs w:val="21"/>
                <w:color w:val="auto"/>
              </w:rPr>
              <w:t>May 1, 2028 –</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$3,327,720.71</w:t>
            </w:r>
          </w:p>
        </w:tc>
        <w:tc>
          <w:tcPr>
            <w:tcW w:w="140" w:type="dxa"/>
            <w:vAlign w:val="bottom"/>
          </w:tcPr>
          <w:p>
            <w:pPr>
              <w:spacing w:after="0"/>
              <w:rPr>
                <w:sz w:val="24"/>
                <w:szCs w:val="24"/>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$277,310.06</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$6.62</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640"/>
              <w:spacing w:after="0"/>
              <w:rPr>
                <w:sz w:val="20"/>
                <w:szCs w:val="20"/>
                <w:color w:val="auto"/>
              </w:rPr>
            </w:pPr>
            <w:r>
              <w:rPr>
                <w:rFonts w:ascii="Arial" w:cs="Arial" w:eastAsia="Arial" w:hAnsi="Arial"/>
                <w:sz w:val="21"/>
                <w:szCs w:val="21"/>
                <w:color w:val="auto"/>
              </w:rPr>
              <w:t>April 30, 2029</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020" w:type="dxa"/>
            <w:vAlign w:val="bottom"/>
          </w:tcPr>
          <w:p>
            <w:pPr>
              <w:ind w:left="600"/>
              <w:spacing w:after="0"/>
              <w:rPr>
                <w:sz w:val="20"/>
                <w:szCs w:val="20"/>
                <w:color w:val="auto"/>
              </w:rPr>
            </w:pPr>
            <w:r>
              <w:rPr>
                <w:rFonts w:ascii="Arial" w:cs="Arial" w:eastAsia="Arial" w:hAnsi="Arial"/>
                <w:sz w:val="21"/>
                <w:szCs w:val="21"/>
                <w:color w:val="auto"/>
              </w:rPr>
              <w:t>May 1, 2029 –</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$3,444,190.94</w:t>
            </w:r>
          </w:p>
        </w:tc>
        <w:tc>
          <w:tcPr>
            <w:tcW w:w="140" w:type="dxa"/>
            <w:vAlign w:val="bottom"/>
          </w:tcPr>
          <w:p>
            <w:pPr>
              <w:spacing w:after="0"/>
              <w:rPr>
                <w:sz w:val="24"/>
                <w:szCs w:val="24"/>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$287,015.91</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$6.85</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640"/>
              <w:spacing w:after="0"/>
              <w:rPr>
                <w:sz w:val="20"/>
                <w:szCs w:val="20"/>
                <w:color w:val="auto"/>
              </w:rPr>
            </w:pPr>
            <w:r>
              <w:rPr>
                <w:rFonts w:ascii="Arial" w:cs="Arial" w:eastAsia="Arial" w:hAnsi="Arial"/>
                <w:sz w:val="21"/>
                <w:szCs w:val="21"/>
                <w:color w:val="auto"/>
              </w:rPr>
              <w:t>April 30, 2030</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020" w:type="dxa"/>
            <w:vAlign w:val="bottom"/>
          </w:tcPr>
          <w:p>
            <w:pPr>
              <w:spacing w:after="0"/>
              <w:rPr>
                <w:sz w:val="20"/>
                <w:szCs w:val="20"/>
                <w:color w:val="auto"/>
              </w:rPr>
            </w:pPr>
            <w:r>
              <w:rPr>
                <w:rFonts w:ascii="Arial" w:cs="Arial" w:eastAsia="Arial" w:hAnsi="Arial"/>
                <w:sz w:val="21"/>
                <w:szCs w:val="21"/>
                <w:color w:val="auto"/>
              </w:rPr>
              <w:t>May 1, 2030 – December 31,</w:t>
            </w:r>
          </w:p>
        </w:tc>
        <w:tc>
          <w:tcPr>
            <w:tcW w:w="2480" w:type="dxa"/>
            <w:vAlign w:val="bottom"/>
            <w:gridSpan w:val="2"/>
            <w:vMerge w:val="restart"/>
          </w:tcPr>
          <w:p>
            <w:pPr>
              <w:jc w:val="right"/>
              <w:ind w:right="653"/>
              <w:spacing w:after="0"/>
              <w:rPr>
                <w:sz w:val="20"/>
                <w:szCs w:val="20"/>
                <w:color w:val="auto"/>
              </w:rPr>
            </w:pPr>
            <w:r>
              <w:rPr>
                <w:rFonts w:ascii="Arial" w:cs="Arial" w:eastAsia="Arial" w:hAnsi="Arial"/>
                <w:sz w:val="21"/>
                <w:szCs w:val="21"/>
                <w:color w:val="auto"/>
              </w:rPr>
              <w:t>$3,564,737.62</w:t>
            </w:r>
          </w:p>
        </w:tc>
        <w:tc>
          <w:tcPr>
            <w:tcW w:w="140" w:type="dxa"/>
            <w:vAlign w:val="bottom"/>
          </w:tcPr>
          <w:p>
            <w:pPr>
              <w:spacing w:after="0"/>
              <w:rPr>
                <w:sz w:val="24"/>
                <w:szCs w:val="24"/>
                <w:color w:val="auto"/>
              </w:rPr>
            </w:pPr>
          </w:p>
        </w:tc>
        <w:tc>
          <w:tcPr>
            <w:tcW w:w="2920" w:type="dxa"/>
            <w:vAlign w:val="bottom"/>
            <w:vMerge w:val="restart"/>
          </w:tcPr>
          <w:p>
            <w:pPr>
              <w:jc w:val="right"/>
              <w:ind w:right="913"/>
              <w:spacing w:after="0"/>
              <w:rPr>
                <w:sz w:val="20"/>
                <w:szCs w:val="20"/>
                <w:color w:val="auto"/>
              </w:rPr>
            </w:pPr>
            <w:r>
              <w:rPr>
                <w:rFonts w:ascii="Arial" w:cs="Arial" w:eastAsia="Arial" w:hAnsi="Arial"/>
                <w:sz w:val="21"/>
                <w:szCs w:val="21"/>
                <w:color w:val="auto"/>
              </w:rPr>
              <w:t>$297,061.47</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$7.09</w:t>
            </w:r>
          </w:p>
        </w:tc>
        <w:tc>
          <w:tcPr>
            <w:tcW w:w="0" w:type="dxa"/>
            <w:vAlign w:val="bottom"/>
          </w:tcPr>
          <w:p>
            <w:pPr>
              <w:spacing w:after="0"/>
              <w:rPr>
                <w:sz w:val="1"/>
                <w:szCs w:val="1"/>
                <w:color w:val="auto"/>
              </w:rPr>
            </w:pPr>
          </w:p>
        </w:tc>
      </w:tr>
      <w:tr>
        <w:trPr>
          <w:trHeight w:val="152"/>
        </w:trPr>
        <w:tc>
          <w:tcPr>
            <w:tcW w:w="3020" w:type="dxa"/>
            <w:vAlign w:val="bottom"/>
            <w:vMerge w:val="restart"/>
          </w:tcPr>
          <w:p>
            <w:pPr>
              <w:ind w:left="1040"/>
              <w:spacing w:after="0"/>
              <w:rPr>
                <w:sz w:val="20"/>
                <w:szCs w:val="20"/>
                <w:color w:val="auto"/>
              </w:rPr>
            </w:pPr>
            <w:r>
              <w:rPr>
                <w:rFonts w:ascii="Arial" w:cs="Arial" w:eastAsia="Arial" w:hAnsi="Arial"/>
                <w:sz w:val="21"/>
                <w:szCs w:val="21"/>
                <w:color w:val="auto"/>
              </w:rPr>
              <w:t>2030</w:t>
            </w:r>
          </w:p>
        </w:tc>
        <w:tc>
          <w:tcPr>
            <w:tcW w:w="2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3020" w:type="dxa"/>
            <w:vAlign w:val="bottom"/>
          </w:tcPr>
          <w:p>
            <w:pPr>
              <w:ind w:left="1420"/>
              <w:spacing w:after="0"/>
              <w:rPr>
                <w:sz w:val="20"/>
                <w:szCs w:val="20"/>
                <w:color w:val="auto"/>
              </w:rPr>
            </w:pPr>
            <w:r>
              <w:rPr>
                <w:rFonts w:ascii="Arial" w:cs="Arial" w:eastAsia="Arial" w:hAnsi="Arial"/>
                <w:sz w:val="21"/>
                <w:szCs w:val="21"/>
                <w:color w:val="auto"/>
              </w:rPr>
              <w:t>4.2.</w:t>
            </w:r>
          </w:p>
        </w:tc>
        <w:tc>
          <w:tcPr>
            <w:tcW w:w="64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21"/>
                <w:szCs w:val="21"/>
                <w:b w:val="1"/>
                <w:bCs w:val="1"/>
                <w:color w:val="auto"/>
                <w:w w:val="92"/>
              </w:rPr>
              <w:t>Expansion Premises</w:t>
            </w:r>
            <w:r>
              <w:rPr>
                <w:rFonts w:ascii="Arial" w:cs="Arial" w:eastAsia="Arial" w:hAnsi="Arial"/>
                <w:sz w:val="21"/>
                <w:szCs w:val="21"/>
                <w:color w:val="auto"/>
                <w:w w:val="92"/>
              </w:rPr>
              <w:t>.</w:t>
            </w:r>
          </w:p>
        </w:tc>
        <w:tc>
          <w:tcPr>
            <w:tcW w:w="5280" w:type="dxa"/>
            <w:vAlign w:val="bottom"/>
            <w:gridSpan w:val="2"/>
          </w:tcPr>
          <w:p>
            <w:pPr>
              <w:jc w:val="right"/>
              <w:spacing w:after="0"/>
              <w:rPr>
                <w:sz w:val="20"/>
                <w:szCs w:val="20"/>
                <w:color w:val="auto"/>
              </w:rPr>
            </w:pPr>
            <w:r>
              <w:rPr>
                <w:rFonts w:ascii="Arial" w:cs="Arial" w:eastAsia="Arial" w:hAnsi="Arial"/>
                <w:sz w:val="21"/>
                <w:szCs w:val="21"/>
                <w:color w:val="auto"/>
                <w:w w:val="96"/>
              </w:rPr>
              <w:t>Commencing on the Expansion Commencement Date and</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right="120"/>
        <w:spacing w:after="0" w:line="268" w:lineRule="auto"/>
        <w:rPr>
          <w:sz w:val="20"/>
          <w:szCs w:val="20"/>
          <w:color w:val="auto"/>
        </w:rPr>
      </w:pPr>
      <w:r>
        <w:rPr>
          <w:rFonts w:ascii="Arial" w:cs="Arial" w:eastAsia="Arial" w:hAnsi="Arial"/>
          <w:sz w:val="21"/>
          <w:szCs w:val="21"/>
          <w:color w:val="auto"/>
        </w:rPr>
        <w:t>continuing throughout the Expansion Term, Tenant shall pay to Landlord monthly installments of Base Rent for the Expansion Premises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1"/>
                <w:szCs w:val="21"/>
                <w:color w:val="auto"/>
              </w:rPr>
            </w:pPr>
          </w:p>
        </w:tc>
        <w:tc>
          <w:tcPr>
            <w:tcW w:w="2440" w:type="dxa"/>
            <w:vAlign w:val="bottom"/>
            <w:gridSpan w:val="2"/>
          </w:tcPr>
          <w:p>
            <w:pPr>
              <w:jc w:val="center"/>
              <w:ind w:right="1060"/>
              <w:spacing w:after="0"/>
              <w:rPr>
                <w:sz w:val="20"/>
                <w:szCs w:val="20"/>
                <w:color w:val="auto"/>
              </w:rPr>
            </w:pPr>
            <w:r>
              <w:rPr>
                <w:rFonts w:ascii="Arial" w:cs="Arial" w:eastAsia="Arial" w:hAnsi="Arial"/>
                <w:sz w:val="21"/>
                <w:szCs w:val="21"/>
                <w:color w:val="auto"/>
                <w:w w:val="94"/>
              </w:rPr>
              <w:t>Period During</w:t>
            </w: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60" w:type="dxa"/>
            <w:vAlign w:val="bottom"/>
            <w:gridSpan w:val="5"/>
          </w:tcPr>
          <w:p>
            <w:pPr>
              <w:jc w:val="center"/>
              <w:ind w:left="178"/>
              <w:spacing w:after="0"/>
              <w:rPr>
                <w:sz w:val="20"/>
                <w:szCs w:val="20"/>
                <w:color w:val="auto"/>
              </w:rPr>
            </w:pPr>
            <w:r>
              <w:rPr>
                <w:rFonts w:ascii="Arial" w:cs="Arial" w:eastAsia="Arial" w:hAnsi="Arial"/>
                <w:sz w:val="21"/>
                <w:szCs w:val="21"/>
                <w:color w:val="auto"/>
                <w:w w:val="95"/>
              </w:rPr>
              <w:t>Monthly Installment of Base</w:t>
            </w:r>
          </w:p>
        </w:tc>
        <w:tc>
          <w:tcPr>
            <w:tcW w:w="2620" w:type="dxa"/>
            <w:vAlign w:val="bottom"/>
            <w:gridSpan w:val="5"/>
          </w:tcPr>
          <w:p>
            <w:pPr>
              <w:ind w:left="160"/>
              <w:spacing w:after="0"/>
              <w:rPr>
                <w:sz w:val="20"/>
                <w:szCs w:val="20"/>
                <w:color w:val="auto"/>
              </w:rPr>
            </w:pPr>
            <w:r>
              <w:rPr>
                <w:rFonts w:ascii="Arial" w:cs="Arial" w:eastAsia="Arial" w:hAnsi="Arial"/>
                <w:sz w:val="21"/>
                <w:szCs w:val="21"/>
                <w:color w:val="auto"/>
                <w:w w:val="94"/>
              </w:rPr>
              <w:t>Approximate Monthly Renta</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400" w:type="dxa"/>
            <w:vAlign w:val="bottom"/>
          </w:tcPr>
          <w:p>
            <w:pPr>
              <w:jc w:val="center"/>
              <w:spacing w:after="0" w:line="220" w:lineRule="exact"/>
              <w:rPr>
                <w:sz w:val="20"/>
                <w:szCs w:val="20"/>
                <w:color w:val="auto"/>
              </w:rPr>
            </w:pPr>
            <w:r>
              <w:rPr>
                <w:rFonts w:ascii="Arial" w:cs="Arial" w:eastAsia="Arial" w:hAnsi="Arial"/>
                <w:sz w:val="21"/>
                <w:szCs w:val="21"/>
                <w:color w:val="auto"/>
                <w:w w:val="91"/>
              </w:rPr>
              <w:t>Expansion Term</w:t>
            </w:r>
          </w:p>
        </w:tc>
        <w:tc>
          <w:tcPr>
            <w:tcW w:w="1040" w:type="dxa"/>
            <w:vAlign w:val="bottom"/>
          </w:tcPr>
          <w:p>
            <w:pPr>
              <w:spacing w:after="0"/>
              <w:rPr>
                <w:sz w:val="19"/>
                <w:szCs w:val="19"/>
                <w:color w:val="auto"/>
              </w:rPr>
            </w:pPr>
          </w:p>
        </w:tc>
        <w:tc>
          <w:tcPr>
            <w:tcW w:w="2340" w:type="dxa"/>
            <w:vAlign w:val="bottom"/>
            <w:gridSpan w:val="3"/>
          </w:tcPr>
          <w:p>
            <w:pPr>
              <w:jc w:val="center"/>
              <w:ind w:right="80"/>
              <w:spacing w:after="0" w:line="220" w:lineRule="exact"/>
              <w:rPr>
                <w:sz w:val="20"/>
                <w:szCs w:val="20"/>
                <w:color w:val="auto"/>
              </w:rPr>
            </w:pPr>
            <w:r>
              <w:rPr>
                <w:rFonts w:ascii="Arial" w:cs="Arial" w:eastAsia="Arial" w:hAnsi="Arial"/>
                <w:sz w:val="21"/>
                <w:szCs w:val="21"/>
                <w:color w:val="auto"/>
                <w:w w:val="90"/>
              </w:rPr>
              <w:t>Annual Base Rent</w:t>
            </w:r>
          </w:p>
        </w:tc>
        <w:tc>
          <w:tcPr>
            <w:tcW w:w="2200" w:type="dxa"/>
            <w:vAlign w:val="bottom"/>
            <w:gridSpan w:val="3"/>
          </w:tcPr>
          <w:p>
            <w:pPr>
              <w:jc w:val="center"/>
              <w:ind w:left="1058"/>
              <w:spacing w:after="0" w:line="220" w:lineRule="exact"/>
              <w:rPr>
                <w:sz w:val="20"/>
                <w:szCs w:val="20"/>
                <w:color w:val="auto"/>
              </w:rPr>
            </w:pPr>
            <w:r>
              <w:rPr>
                <w:rFonts w:ascii="Arial" w:cs="Arial" w:eastAsia="Arial" w:hAnsi="Arial"/>
                <w:sz w:val="21"/>
                <w:szCs w:val="21"/>
                <w:color w:val="auto"/>
                <w:w w:val="90"/>
              </w:rPr>
              <w:t>Rent</w:t>
            </w: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jc w:val="center"/>
              <w:ind w:left="613"/>
              <w:spacing w:after="0" w:line="220" w:lineRule="exact"/>
              <w:rPr>
                <w:sz w:val="20"/>
                <w:szCs w:val="20"/>
                <w:color w:val="auto"/>
              </w:rPr>
            </w:pPr>
            <w:r>
              <w:rPr>
                <w:rFonts w:ascii="Arial" w:cs="Arial" w:eastAsia="Arial" w:hAnsi="Arial"/>
                <w:sz w:val="21"/>
                <w:szCs w:val="21"/>
                <w:color w:val="auto"/>
                <w:w w:val="90"/>
              </w:rPr>
              <w:t>Rate per RSF</w:t>
            </w:r>
          </w:p>
        </w:tc>
        <w:tc>
          <w:tcPr>
            <w:tcW w:w="500" w:type="dxa"/>
            <w:vAlign w:val="bottom"/>
            <w:tcBorders>
              <w:top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December 15, 2020 – December</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$1,215,739.20</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$101,311.60</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$5.20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90"/>
              </w:rPr>
              <w:t>31, 2021</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January 1, 2022 – December 31,</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$1,258,290.07</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$104,857.51</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$5.38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89"/>
              </w:rPr>
              <w:t>2022</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January 1, 2023 – December 31,</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$1,302,330.22</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$108,527.52</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$5.57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89"/>
              </w:rPr>
              <w:t>2023</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January 1, 2024 – December 31,</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$1,347,911.78</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$112,325.98</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$5.77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89"/>
              </w:rPr>
              <w:t>2024</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January 1, 2025 – December 31,</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$1,395,088.69</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$116,257.39</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$5.97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89"/>
              </w:rPr>
              <w:t>2025</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January 1, 2026 – December 31,</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$1,443,916.80</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$120,326.40</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$6.18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89"/>
              </w:rPr>
              <w:t>2026</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320" w:type="dxa"/>
            <w:vAlign w:val="bottom"/>
            <w:gridSpan w:val="3"/>
          </w:tcPr>
          <w:p>
            <w:pPr>
              <w:jc w:val="center"/>
              <w:ind w:right="160"/>
              <w:spacing w:after="0"/>
              <w:rPr>
                <w:sz w:val="20"/>
                <w:szCs w:val="20"/>
                <w:color w:val="auto"/>
              </w:rPr>
            </w:pPr>
            <w:r>
              <w:rPr>
                <w:rFonts w:ascii="Arial" w:cs="Arial" w:eastAsia="Arial" w:hAnsi="Arial"/>
                <w:sz w:val="21"/>
                <w:szCs w:val="21"/>
                <w:color w:val="auto"/>
                <w:w w:val="90"/>
              </w:rPr>
              <w:t>January 1, 2027 – December 31,</w:t>
            </w:r>
          </w:p>
        </w:tc>
        <w:tc>
          <w:tcPr>
            <w:tcW w:w="1900" w:type="dxa"/>
            <w:vAlign w:val="bottom"/>
            <w:gridSpan w:val="2"/>
            <w:vMerge w:val="restart"/>
          </w:tcPr>
          <w:p>
            <w:pPr>
              <w:jc w:val="center"/>
              <w:ind w:left="255"/>
              <w:spacing w:after="0"/>
              <w:rPr>
                <w:sz w:val="20"/>
                <w:szCs w:val="20"/>
                <w:color w:val="auto"/>
              </w:rPr>
            </w:pPr>
            <w:r>
              <w:rPr>
                <w:rFonts w:ascii="Arial" w:cs="Arial" w:eastAsia="Arial" w:hAnsi="Arial"/>
                <w:sz w:val="21"/>
                <w:szCs w:val="21"/>
                <w:color w:val="auto"/>
                <w:w w:val="90"/>
              </w:rPr>
              <w:t>$1,494,453.89</w:t>
            </w:r>
          </w:p>
        </w:tc>
        <w:tc>
          <w:tcPr>
            <w:tcW w:w="440" w:type="dxa"/>
            <w:vAlign w:val="bottom"/>
          </w:tcPr>
          <w:p>
            <w:pPr>
              <w:spacing w:after="0"/>
              <w:rPr>
                <w:sz w:val="24"/>
                <w:szCs w:val="24"/>
                <w:color w:val="auto"/>
              </w:rPr>
            </w:pPr>
          </w:p>
        </w:tc>
        <w:tc>
          <w:tcPr>
            <w:tcW w:w="2900" w:type="dxa"/>
            <w:vAlign w:val="bottom"/>
            <w:gridSpan w:val="4"/>
            <w:vMerge w:val="restart"/>
          </w:tcPr>
          <w:p>
            <w:pPr>
              <w:jc w:val="center"/>
              <w:ind w:left="338"/>
              <w:spacing w:after="0"/>
              <w:rPr>
                <w:sz w:val="20"/>
                <w:szCs w:val="20"/>
                <w:color w:val="auto"/>
              </w:rPr>
            </w:pPr>
            <w:r>
              <w:rPr>
                <w:rFonts w:ascii="Arial" w:cs="Arial" w:eastAsia="Arial" w:hAnsi="Arial"/>
                <w:sz w:val="21"/>
                <w:szCs w:val="21"/>
                <w:color w:val="auto"/>
                <w:w w:val="90"/>
              </w:rPr>
              <w:t>$124,537.82</w:t>
            </w:r>
          </w:p>
        </w:tc>
        <w:tc>
          <w:tcPr>
            <w:tcW w:w="160" w:type="dxa"/>
            <w:vAlign w:val="bottom"/>
          </w:tcPr>
          <w:p>
            <w:pPr>
              <w:spacing w:after="0"/>
              <w:rPr>
                <w:sz w:val="24"/>
                <w:szCs w:val="24"/>
                <w:color w:val="auto"/>
              </w:rPr>
            </w:pPr>
          </w:p>
        </w:tc>
        <w:tc>
          <w:tcPr>
            <w:tcW w:w="2000" w:type="dxa"/>
            <w:vAlign w:val="bottom"/>
            <w:gridSpan w:val="2"/>
            <w:vMerge w:val="restart"/>
          </w:tcPr>
          <w:p>
            <w:pPr>
              <w:jc w:val="center"/>
              <w:ind w:left="733"/>
              <w:spacing w:after="0"/>
              <w:rPr>
                <w:sz w:val="20"/>
                <w:szCs w:val="20"/>
                <w:color w:val="auto"/>
              </w:rPr>
            </w:pPr>
            <w:r>
              <w:rPr>
                <w:rFonts w:ascii="Arial" w:cs="Arial" w:eastAsia="Arial" w:hAnsi="Arial"/>
                <w:sz w:val="21"/>
                <w:szCs w:val="21"/>
                <w:color w:val="auto"/>
                <w:w w:val="91"/>
              </w:rPr>
              <w:t>$6.39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jc w:val="center"/>
              <w:ind w:left="759"/>
              <w:spacing w:after="0"/>
              <w:rPr>
                <w:sz w:val="20"/>
                <w:szCs w:val="20"/>
                <w:color w:val="auto"/>
              </w:rPr>
            </w:pPr>
            <w:r>
              <w:rPr>
                <w:rFonts w:ascii="Arial" w:cs="Arial" w:eastAsia="Arial" w:hAnsi="Arial"/>
                <w:sz w:val="21"/>
                <w:szCs w:val="21"/>
                <w:color w:val="auto"/>
                <w:w w:val="89"/>
              </w:rPr>
              <w:t>2027</w:t>
            </w: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880" w:type="dxa"/>
            <w:vAlign w:val="bottom"/>
          </w:tcPr>
          <w:p>
            <w:pPr>
              <w:spacing w:after="0"/>
              <w:rPr>
                <w:sz w:val="20"/>
                <w:szCs w:val="20"/>
                <w:color w:val="auto"/>
              </w:rPr>
            </w:pPr>
            <w:r>
              <w:rPr>
                <w:rFonts w:ascii="Arial" w:cs="Arial" w:eastAsia="Arial" w:hAnsi="Arial"/>
                <w:sz w:val="12"/>
                <w:szCs w:val="12"/>
                <w:color w:val="auto"/>
              </w:rPr>
              <w:t>./</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gridSpan w:val="2"/>
            <w:vMerge w:val="restart"/>
          </w:tcPr>
          <w:p>
            <w:pPr>
              <w:jc w:val="right"/>
              <w:ind w:right="9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20"/>
                <w:szCs w:val="20"/>
                <w:color w:val="auto"/>
              </w:rPr>
            </w:pPr>
            <w:r>
              <w:rPr>
                <w:rFonts w:ascii="Arial" w:cs="Arial" w:eastAsia="Arial" w:hAnsi="Arial"/>
                <w:sz w:val="12"/>
                <w:szCs w:val="12"/>
                <w:color w:val="auto"/>
              </w:rPr>
              <w:t>-///</w:t>
            </w:r>
          </w:p>
        </w:tc>
        <w:tc>
          <w:tcPr>
            <w:tcW w:w="1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3060" w:type="dxa"/>
            <w:vAlign w:val="bottom"/>
            <w:gridSpan w:val="5"/>
          </w:tcPr>
          <w:p>
            <w:pPr>
              <w:ind w:left="1220"/>
              <w:spacing w:after="0"/>
              <w:rPr>
                <w:sz w:val="20"/>
                <w:szCs w:val="20"/>
                <w:color w:val="auto"/>
              </w:rPr>
            </w:pPr>
            <w:r>
              <w:rPr>
                <w:rFonts w:ascii="Arial" w:cs="Arial" w:eastAsia="Arial" w:hAnsi="Arial"/>
                <w:sz w:val="12"/>
                <w:szCs w:val="12"/>
                <w:color w:val="auto"/>
              </w:rPr>
              <w:t>[Revolution Medicines, Inc.]</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436" w:right="239" w:bottom="1440" w:gutter="0" w:footer="0" w:header="0"/>
        </w:sectPr>
      </w:pPr>
    </w:p>
    <w:bookmarkStart w:id="86" w:name="page87"/>
    <w:bookmarkEnd w:id="86"/>
    <w:tbl>
      <w:tblPr>
        <w:tblLayout w:type="fixed"/>
        <w:tblInd w:w="200" w:type="dxa"/>
        <w:tblCellMar>
          <w:top w:w="0" w:type="dxa"/>
          <w:left w:w="0" w:type="dxa"/>
          <w:bottom w:w="0" w:type="dxa"/>
          <w:right w:w="0" w:type="dxa"/>
        </w:tblCellMar>
      </w:tblPr>
      <w:tr>
        <w:trPr>
          <w:trHeight w:val="241"/>
        </w:trPr>
        <w:tc>
          <w:tcPr>
            <w:tcW w:w="3200" w:type="dxa"/>
            <w:vAlign w:val="bottom"/>
          </w:tcPr>
          <w:p>
            <w:pPr>
              <w:jc w:val="center"/>
              <w:ind w:right="333"/>
              <w:spacing w:after="0"/>
              <w:rPr>
                <w:sz w:val="20"/>
                <w:szCs w:val="20"/>
                <w:color w:val="auto"/>
              </w:rPr>
            </w:pPr>
            <w:r>
              <w:rPr>
                <w:rFonts w:ascii="Arial" w:cs="Arial" w:eastAsia="Arial" w:hAnsi="Arial"/>
                <w:sz w:val="21"/>
                <w:szCs w:val="21"/>
                <w:color w:val="auto"/>
                <w:w w:val="90"/>
              </w:rPr>
              <w:t>January 1, 2028 – December 31,</w:t>
            </w:r>
          </w:p>
        </w:tc>
        <w:tc>
          <w:tcPr>
            <w:tcW w:w="2540" w:type="dxa"/>
            <w:vAlign w:val="bottom"/>
            <w:gridSpan w:val="2"/>
            <w:vMerge w:val="restart"/>
          </w:tcPr>
          <w:p>
            <w:pPr>
              <w:jc w:val="right"/>
              <w:ind w:right="773"/>
              <w:spacing w:after="0"/>
              <w:rPr>
                <w:sz w:val="20"/>
                <w:szCs w:val="20"/>
                <w:color w:val="auto"/>
              </w:rPr>
            </w:pPr>
            <w:r>
              <w:rPr>
                <w:rFonts w:ascii="Arial" w:cs="Arial" w:eastAsia="Arial" w:hAnsi="Arial"/>
                <w:sz w:val="21"/>
                <w:szCs w:val="21"/>
                <w:color w:val="auto"/>
              </w:rPr>
              <w:t>$1,546,759.77</w:t>
            </w:r>
          </w:p>
        </w:tc>
        <w:tc>
          <w:tcPr>
            <w:tcW w:w="2940" w:type="dxa"/>
            <w:vAlign w:val="bottom"/>
            <w:gridSpan w:val="2"/>
            <w:vMerge w:val="restart"/>
          </w:tcPr>
          <w:p>
            <w:pPr>
              <w:jc w:val="right"/>
              <w:ind w:right="1020"/>
              <w:spacing w:after="0"/>
              <w:rPr>
                <w:sz w:val="20"/>
                <w:szCs w:val="20"/>
                <w:color w:val="auto"/>
              </w:rPr>
            </w:pPr>
            <w:r>
              <w:rPr>
                <w:rFonts w:ascii="Arial" w:cs="Arial" w:eastAsia="Arial" w:hAnsi="Arial"/>
                <w:sz w:val="21"/>
                <w:szCs w:val="21"/>
                <w:color w:val="auto"/>
              </w:rPr>
              <w:t>$128,896.65</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$6.62</w:t>
            </w:r>
          </w:p>
        </w:tc>
        <w:tc>
          <w:tcPr>
            <w:tcW w:w="0" w:type="dxa"/>
            <w:vAlign w:val="bottom"/>
          </w:tcPr>
          <w:p>
            <w:pPr>
              <w:spacing w:after="0"/>
              <w:rPr>
                <w:sz w:val="1"/>
                <w:szCs w:val="1"/>
                <w:color w:val="auto"/>
              </w:rPr>
            </w:pPr>
          </w:p>
        </w:tc>
      </w:tr>
      <w:tr>
        <w:trPr>
          <w:trHeight w:val="152"/>
        </w:trPr>
        <w:tc>
          <w:tcPr>
            <w:tcW w:w="3200" w:type="dxa"/>
            <w:vAlign w:val="bottom"/>
            <w:vMerge w:val="restart"/>
          </w:tcPr>
          <w:p>
            <w:pPr>
              <w:jc w:val="center"/>
              <w:ind w:right="353"/>
              <w:spacing w:after="0"/>
              <w:rPr>
                <w:sz w:val="20"/>
                <w:szCs w:val="20"/>
                <w:color w:val="auto"/>
              </w:rPr>
            </w:pPr>
            <w:r>
              <w:rPr>
                <w:rFonts w:ascii="Arial" w:cs="Arial" w:eastAsia="Arial" w:hAnsi="Arial"/>
                <w:sz w:val="21"/>
                <w:szCs w:val="21"/>
                <w:color w:val="auto"/>
                <w:w w:val="89"/>
              </w:rPr>
              <w:t>2028</w:t>
            </w:r>
          </w:p>
        </w:tc>
        <w:tc>
          <w:tcPr>
            <w:tcW w:w="2540" w:type="dxa"/>
            <w:vAlign w:val="bottom"/>
            <w:gridSpan w:val="2"/>
            <w:vMerge w:val="continue"/>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2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200" w:type="dxa"/>
            <w:vAlign w:val="bottom"/>
          </w:tcPr>
          <w:p>
            <w:pPr>
              <w:jc w:val="center"/>
              <w:ind w:right="333"/>
              <w:spacing w:after="0"/>
              <w:rPr>
                <w:sz w:val="20"/>
                <w:szCs w:val="20"/>
                <w:color w:val="auto"/>
              </w:rPr>
            </w:pPr>
            <w:r>
              <w:rPr>
                <w:rFonts w:ascii="Arial" w:cs="Arial" w:eastAsia="Arial" w:hAnsi="Arial"/>
                <w:sz w:val="21"/>
                <w:szCs w:val="21"/>
                <w:color w:val="auto"/>
                <w:w w:val="90"/>
              </w:rPr>
              <w:t>January 1, 2029 – December 31,</w:t>
            </w:r>
          </w:p>
        </w:tc>
        <w:tc>
          <w:tcPr>
            <w:tcW w:w="2540" w:type="dxa"/>
            <w:vAlign w:val="bottom"/>
            <w:gridSpan w:val="2"/>
            <w:vMerge w:val="restart"/>
          </w:tcPr>
          <w:p>
            <w:pPr>
              <w:jc w:val="right"/>
              <w:ind w:right="773"/>
              <w:spacing w:after="0"/>
              <w:rPr>
                <w:sz w:val="20"/>
                <w:szCs w:val="20"/>
                <w:color w:val="auto"/>
              </w:rPr>
            </w:pPr>
            <w:r>
              <w:rPr>
                <w:rFonts w:ascii="Arial" w:cs="Arial" w:eastAsia="Arial" w:hAnsi="Arial"/>
                <w:sz w:val="21"/>
                <w:szCs w:val="21"/>
                <w:color w:val="auto"/>
              </w:rPr>
              <w:t>$1,600,896.37</w:t>
            </w:r>
          </w:p>
        </w:tc>
        <w:tc>
          <w:tcPr>
            <w:tcW w:w="2940" w:type="dxa"/>
            <w:vAlign w:val="bottom"/>
            <w:gridSpan w:val="2"/>
            <w:vMerge w:val="restart"/>
          </w:tcPr>
          <w:p>
            <w:pPr>
              <w:jc w:val="right"/>
              <w:ind w:right="1020"/>
              <w:spacing w:after="0"/>
              <w:rPr>
                <w:sz w:val="20"/>
                <w:szCs w:val="20"/>
                <w:color w:val="auto"/>
              </w:rPr>
            </w:pPr>
            <w:r>
              <w:rPr>
                <w:rFonts w:ascii="Arial" w:cs="Arial" w:eastAsia="Arial" w:hAnsi="Arial"/>
                <w:sz w:val="21"/>
                <w:szCs w:val="21"/>
                <w:color w:val="auto"/>
              </w:rPr>
              <w:t>$133,408.03</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$6.85</w:t>
            </w:r>
          </w:p>
        </w:tc>
        <w:tc>
          <w:tcPr>
            <w:tcW w:w="0" w:type="dxa"/>
            <w:vAlign w:val="bottom"/>
          </w:tcPr>
          <w:p>
            <w:pPr>
              <w:spacing w:after="0"/>
              <w:rPr>
                <w:sz w:val="1"/>
                <w:szCs w:val="1"/>
                <w:color w:val="auto"/>
              </w:rPr>
            </w:pPr>
          </w:p>
        </w:tc>
      </w:tr>
      <w:tr>
        <w:trPr>
          <w:trHeight w:val="152"/>
        </w:trPr>
        <w:tc>
          <w:tcPr>
            <w:tcW w:w="3200" w:type="dxa"/>
            <w:vAlign w:val="bottom"/>
            <w:vMerge w:val="restart"/>
          </w:tcPr>
          <w:p>
            <w:pPr>
              <w:jc w:val="center"/>
              <w:ind w:right="353"/>
              <w:spacing w:after="0"/>
              <w:rPr>
                <w:sz w:val="20"/>
                <w:szCs w:val="20"/>
                <w:color w:val="auto"/>
              </w:rPr>
            </w:pPr>
            <w:r>
              <w:rPr>
                <w:rFonts w:ascii="Arial" w:cs="Arial" w:eastAsia="Arial" w:hAnsi="Arial"/>
                <w:sz w:val="21"/>
                <w:szCs w:val="21"/>
                <w:color w:val="auto"/>
                <w:w w:val="89"/>
              </w:rPr>
              <w:t>2029</w:t>
            </w:r>
          </w:p>
        </w:tc>
        <w:tc>
          <w:tcPr>
            <w:tcW w:w="2540" w:type="dxa"/>
            <w:vAlign w:val="bottom"/>
            <w:gridSpan w:val="2"/>
            <w:vMerge w:val="continue"/>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2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3200" w:type="dxa"/>
            <w:vAlign w:val="bottom"/>
          </w:tcPr>
          <w:p>
            <w:pPr>
              <w:jc w:val="center"/>
              <w:ind w:right="333"/>
              <w:spacing w:after="0"/>
              <w:rPr>
                <w:sz w:val="20"/>
                <w:szCs w:val="20"/>
                <w:color w:val="auto"/>
              </w:rPr>
            </w:pPr>
            <w:r>
              <w:rPr>
                <w:rFonts w:ascii="Arial" w:cs="Arial" w:eastAsia="Arial" w:hAnsi="Arial"/>
                <w:sz w:val="21"/>
                <w:szCs w:val="21"/>
                <w:color w:val="auto"/>
                <w:w w:val="90"/>
              </w:rPr>
              <w:t>January 1, 2030 – December 31,</w:t>
            </w:r>
          </w:p>
        </w:tc>
        <w:tc>
          <w:tcPr>
            <w:tcW w:w="2540" w:type="dxa"/>
            <w:vAlign w:val="bottom"/>
            <w:gridSpan w:val="2"/>
            <w:vMerge w:val="restart"/>
          </w:tcPr>
          <w:p>
            <w:pPr>
              <w:jc w:val="right"/>
              <w:ind w:right="773"/>
              <w:spacing w:after="0"/>
              <w:rPr>
                <w:sz w:val="20"/>
                <w:szCs w:val="20"/>
                <w:color w:val="auto"/>
              </w:rPr>
            </w:pPr>
            <w:r>
              <w:rPr>
                <w:rFonts w:ascii="Arial" w:cs="Arial" w:eastAsia="Arial" w:hAnsi="Arial"/>
                <w:sz w:val="21"/>
                <w:szCs w:val="21"/>
                <w:color w:val="auto"/>
              </w:rPr>
              <w:t>$1,656,927.74</w:t>
            </w:r>
          </w:p>
        </w:tc>
        <w:tc>
          <w:tcPr>
            <w:tcW w:w="2940" w:type="dxa"/>
            <w:vAlign w:val="bottom"/>
            <w:gridSpan w:val="2"/>
            <w:vMerge w:val="restart"/>
          </w:tcPr>
          <w:p>
            <w:pPr>
              <w:jc w:val="right"/>
              <w:ind w:right="1020"/>
              <w:spacing w:after="0"/>
              <w:rPr>
                <w:sz w:val="20"/>
                <w:szCs w:val="20"/>
                <w:color w:val="auto"/>
              </w:rPr>
            </w:pPr>
            <w:r>
              <w:rPr>
                <w:rFonts w:ascii="Arial" w:cs="Arial" w:eastAsia="Arial" w:hAnsi="Arial"/>
                <w:sz w:val="21"/>
                <w:szCs w:val="21"/>
                <w:color w:val="auto"/>
              </w:rPr>
              <w:t>$138,077.31</w:t>
            </w:r>
          </w:p>
        </w:tc>
        <w:tc>
          <w:tcPr>
            <w:tcW w:w="2360" w:type="dxa"/>
            <w:vAlign w:val="bottom"/>
            <w:vMerge w:val="restart"/>
          </w:tcPr>
          <w:p>
            <w:pPr>
              <w:jc w:val="right"/>
              <w:ind w:right="753"/>
              <w:spacing w:after="0"/>
              <w:rPr>
                <w:sz w:val="20"/>
                <w:szCs w:val="20"/>
                <w:color w:val="auto"/>
              </w:rPr>
            </w:pPr>
            <w:r>
              <w:rPr>
                <w:rFonts w:ascii="Arial" w:cs="Arial" w:eastAsia="Arial" w:hAnsi="Arial"/>
                <w:sz w:val="21"/>
                <w:szCs w:val="21"/>
                <w:color w:val="auto"/>
              </w:rPr>
              <w:t>$7.09</w:t>
            </w:r>
          </w:p>
        </w:tc>
        <w:tc>
          <w:tcPr>
            <w:tcW w:w="0" w:type="dxa"/>
            <w:vAlign w:val="bottom"/>
          </w:tcPr>
          <w:p>
            <w:pPr>
              <w:spacing w:after="0"/>
              <w:rPr>
                <w:sz w:val="1"/>
                <w:szCs w:val="1"/>
                <w:color w:val="auto"/>
              </w:rPr>
            </w:pPr>
          </w:p>
        </w:tc>
      </w:tr>
      <w:tr>
        <w:trPr>
          <w:trHeight w:val="152"/>
        </w:trPr>
        <w:tc>
          <w:tcPr>
            <w:tcW w:w="3200" w:type="dxa"/>
            <w:vAlign w:val="bottom"/>
            <w:vMerge w:val="restart"/>
          </w:tcPr>
          <w:p>
            <w:pPr>
              <w:jc w:val="center"/>
              <w:ind w:right="353"/>
              <w:spacing w:after="0"/>
              <w:rPr>
                <w:sz w:val="20"/>
                <w:szCs w:val="20"/>
                <w:color w:val="auto"/>
              </w:rPr>
            </w:pPr>
            <w:r>
              <w:rPr>
                <w:rFonts w:ascii="Arial" w:cs="Arial" w:eastAsia="Arial" w:hAnsi="Arial"/>
                <w:sz w:val="21"/>
                <w:szCs w:val="21"/>
                <w:color w:val="auto"/>
                <w:w w:val="89"/>
              </w:rPr>
              <w:t>2030</w:t>
            </w:r>
          </w:p>
        </w:tc>
        <w:tc>
          <w:tcPr>
            <w:tcW w:w="2540" w:type="dxa"/>
            <w:vAlign w:val="bottom"/>
            <w:gridSpan w:val="2"/>
            <w:vMerge w:val="continue"/>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2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3200" w:type="dxa"/>
            <w:vAlign w:val="bottom"/>
          </w:tcPr>
          <w:p>
            <w:pPr>
              <w:jc w:val="right"/>
              <w:ind w:right="1233"/>
              <w:spacing w:after="0"/>
              <w:rPr>
                <w:sz w:val="20"/>
                <w:szCs w:val="20"/>
                <w:color w:val="auto"/>
              </w:rPr>
            </w:pPr>
            <w:r>
              <w:rPr>
                <w:rFonts w:ascii="Arial" w:cs="Arial" w:eastAsia="Arial" w:hAnsi="Arial"/>
                <w:sz w:val="21"/>
                <w:szCs w:val="21"/>
                <w:color w:val="auto"/>
              </w:rPr>
              <w:t>4.3.</w:t>
            </w:r>
          </w:p>
        </w:tc>
        <w:tc>
          <w:tcPr>
            <w:tcW w:w="580" w:type="dxa"/>
            <w:vAlign w:val="bottom"/>
          </w:tcPr>
          <w:p>
            <w:pPr>
              <w:spacing w:after="0"/>
              <w:rPr>
                <w:sz w:val="24"/>
                <w:szCs w:val="24"/>
                <w:color w:val="auto"/>
              </w:rPr>
            </w:pPr>
          </w:p>
        </w:tc>
        <w:tc>
          <w:tcPr>
            <w:tcW w:w="7260" w:type="dxa"/>
            <w:vAlign w:val="bottom"/>
            <w:gridSpan w:val="4"/>
          </w:tcPr>
          <w:p>
            <w:pPr>
              <w:jc w:val="right"/>
              <w:spacing w:after="0"/>
              <w:rPr>
                <w:sz w:val="20"/>
                <w:szCs w:val="20"/>
                <w:color w:val="auto"/>
              </w:rPr>
            </w:pPr>
            <w:r>
              <w:rPr>
                <w:rFonts w:ascii="Arial" w:cs="Arial" w:eastAsia="Arial" w:hAnsi="Arial"/>
                <w:sz w:val="21"/>
                <w:szCs w:val="21"/>
                <w:b w:val="1"/>
                <w:bCs w:val="1"/>
                <w:color w:val="auto"/>
                <w:w w:val="91"/>
              </w:rPr>
              <w:t>Expansion Premises Abated Base Rent</w:t>
            </w:r>
            <w:r>
              <w:rPr>
                <w:rFonts w:ascii="Arial" w:cs="Arial" w:eastAsia="Arial" w:hAnsi="Arial"/>
                <w:sz w:val="21"/>
                <w:szCs w:val="21"/>
                <w:color w:val="auto"/>
                <w:w w:val="91"/>
              </w:rPr>
              <w:t>. Provided that Tenant is not then in default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of the Lease (as hereby amended), then during the period commencing on January 1, 2021 and ending on June 30, 2021 (the "</w:t>
      </w:r>
      <w:r>
        <w:rPr>
          <w:rFonts w:ascii="Arial" w:cs="Arial" w:eastAsia="Arial" w:hAnsi="Arial"/>
          <w:sz w:val="19"/>
          <w:szCs w:val="19"/>
          <w:b w:val="1"/>
          <w:bCs w:val="1"/>
          <w:color w:val="auto"/>
        </w:rPr>
        <w:t>Expansion Rent Abatement Period</w:t>
      </w:r>
      <w:r>
        <w:rPr>
          <w:rFonts w:ascii="Arial" w:cs="Arial" w:eastAsia="Arial" w:hAnsi="Arial"/>
          <w:sz w:val="19"/>
          <w:szCs w:val="19"/>
          <w:color w:val="auto"/>
        </w:rPr>
        <w:t>"), Tenant shall not be obligated to pay any Base Rent otherwise attributable to the Expansion Premises only during such Expansion Rent Abatement Period (the "</w:t>
      </w:r>
      <w:r>
        <w:rPr>
          <w:rFonts w:ascii="Arial" w:cs="Arial" w:eastAsia="Arial" w:hAnsi="Arial"/>
          <w:sz w:val="19"/>
          <w:szCs w:val="19"/>
          <w:b w:val="1"/>
          <w:bCs w:val="1"/>
          <w:color w:val="auto"/>
        </w:rPr>
        <w:t>Expansion Rent Abatement</w:t>
      </w:r>
      <w:r>
        <w:rPr>
          <w:rFonts w:ascii="Arial" w:cs="Arial" w:eastAsia="Arial" w:hAnsi="Arial"/>
          <w:sz w:val="19"/>
          <w:szCs w:val="19"/>
          <w:color w:val="auto"/>
        </w:rPr>
        <w:t>"). Landlord and Tenant acknowledge that the aggregate amount of the Expansion Rent Abatement equals $607,869.60 (i.e., $101,311.60 per month). Tenant acknowledges and agrees that the foregoing Expansion Rent Abatement has been granted to Tenant as additional consideration for entering into this Second Amendment, and for agreeing to pay the Rent and performing the terms and conditions otherwise required under the Lease (as hereby amended). If Tenant shall be in default under the Lease (as hereby amended) during the Expansion Rent Abatement Period and shall fail to cure such default within the notice and cure period, if any, permitted for cure pursuant to the Lease (as hereby amended), then the dollar amount of the unapplied portion of the Expansion Rent Abatement as of the expiration of such cure period shall be converted to a credit to be applied to the Base Rent applicable at the end of the Expansion Term and Tenant shall then be obligated to begin paying Base Rent for the Expansion Premises.</w:t>
      </w:r>
    </w:p>
    <w:p>
      <w:pPr>
        <w:spacing w:after="0" w:line="152" w:lineRule="exact"/>
        <w:rPr>
          <w:sz w:val="20"/>
          <w:szCs w:val="20"/>
          <w:color w:val="auto"/>
        </w:rPr>
      </w:pPr>
    </w:p>
    <w:p>
      <w:pPr>
        <w:ind w:left="1680" w:hanging="810"/>
        <w:spacing w:after="0"/>
        <w:tabs>
          <w:tab w:leader="none" w:pos="1680"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Tenant's Share of Direct Expenses</w:t>
      </w:r>
      <w:r>
        <w:rPr>
          <w:rFonts w:ascii="Arial" w:cs="Arial" w:eastAsia="Arial" w:hAnsi="Arial"/>
          <w:sz w:val="21"/>
          <w:szCs w:val="2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jc w:val="right"/>
              <w:ind w:right="1813"/>
              <w:spacing w:after="0"/>
              <w:rPr>
                <w:sz w:val="20"/>
                <w:szCs w:val="20"/>
                <w:color w:val="auto"/>
              </w:rPr>
            </w:pPr>
            <w:r>
              <w:rPr>
                <w:rFonts w:ascii="Arial" w:cs="Arial" w:eastAsia="Arial" w:hAnsi="Arial"/>
                <w:sz w:val="21"/>
                <w:szCs w:val="21"/>
                <w:color w:val="auto"/>
              </w:rPr>
              <w:t>5.1.</w:t>
            </w:r>
          </w:p>
        </w:tc>
        <w:tc>
          <w:tcPr>
            <w:tcW w:w="7260" w:type="dxa"/>
            <w:vAlign w:val="bottom"/>
            <w:gridSpan w:val="3"/>
          </w:tcPr>
          <w:p>
            <w:pPr>
              <w:spacing w:after="0"/>
              <w:rPr>
                <w:sz w:val="20"/>
                <w:szCs w:val="20"/>
                <w:color w:val="auto"/>
              </w:rPr>
            </w:pPr>
            <w:r>
              <w:rPr>
                <w:rFonts w:ascii="Arial" w:cs="Arial" w:eastAsia="Arial" w:hAnsi="Arial"/>
                <w:sz w:val="21"/>
                <w:szCs w:val="21"/>
                <w:b w:val="1"/>
                <w:bCs w:val="1"/>
                <w:color w:val="auto"/>
                <w:w w:val="92"/>
              </w:rPr>
              <w:t>Existing Premises</w:t>
            </w:r>
            <w:r>
              <w:rPr>
                <w:rFonts w:ascii="Arial" w:cs="Arial" w:eastAsia="Arial" w:hAnsi="Arial"/>
                <w:sz w:val="21"/>
                <w:szCs w:val="21"/>
                <w:color w:val="auto"/>
                <w:w w:val="92"/>
              </w:rPr>
              <w:t>. Tenant shall continue to pay Tenant's Share of Direct Expenses</w:t>
            </w:r>
          </w:p>
        </w:tc>
      </w:tr>
      <w:tr>
        <w:trPr>
          <w:trHeight w:val="20"/>
        </w:trPr>
        <w:tc>
          <w:tcPr>
            <w:tcW w:w="39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71"/>
        </w:trPr>
        <w:tc>
          <w:tcPr>
            <w:tcW w:w="11240" w:type="dxa"/>
            <w:vAlign w:val="bottom"/>
            <w:gridSpan w:val="4"/>
          </w:tcPr>
          <w:p>
            <w:pPr>
              <w:spacing w:after="0"/>
              <w:rPr>
                <w:sz w:val="20"/>
                <w:szCs w:val="20"/>
                <w:color w:val="auto"/>
              </w:rPr>
            </w:pPr>
            <w:r>
              <w:rPr>
                <w:rFonts w:ascii="Arial" w:cs="Arial" w:eastAsia="Arial" w:hAnsi="Arial"/>
                <w:sz w:val="21"/>
                <w:szCs w:val="21"/>
                <w:color w:val="auto"/>
              </w:rPr>
              <w:t>in connection with the Existing Premises in accordance with the terms of the Lease.</w:t>
            </w:r>
          </w:p>
        </w:tc>
      </w:tr>
      <w:tr>
        <w:trPr>
          <w:trHeight w:val="402"/>
        </w:trPr>
        <w:tc>
          <w:tcPr>
            <w:tcW w:w="3980" w:type="dxa"/>
            <w:vAlign w:val="bottom"/>
          </w:tcPr>
          <w:p>
            <w:pPr>
              <w:jc w:val="right"/>
              <w:ind w:right="1813"/>
              <w:spacing w:after="0"/>
              <w:rPr>
                <w:sz w:val="20"/>
                <w:szCs w:val="20"/>
                <w:color w:val="auto"/>
              </w:rPr>
            </w:pPr>
            <w:r>
              <w:rPr>
                <w:rFonts w:ascii="Arial" w:cs="Arial" w:eastAsia="Arial" w:hAnsi="Arial"/>
                <w:sz w:val="21"/>
                <w:szCs w:val="21"/>
                <w:color w:val="auto"/>
              </w:rPr>
              <w:t>5.2.</w:t>
            </w:r>
          </w:p>
        </w:tc>
        <w:tc>
          <w:tcPr>
            <w:tcW w:w="7260" w:type="dxa"/>
            <w:vAlign w:val="bottom"/>
            <w:gridSpan w:val="3"/>
          </w:tcPr>
          <w:p>
            <w:pPr>
              <w:spacing w:after="0"/>
              <w:rPr>
                <w:sz w:val="20"/>
                <w:szCs w:val="20"/>
                <w:color w:val="auto"/>
              </w:rPr>
            </w:pPr>
            <w:r>
              <w:rPr>
                <w:rFonts w:ascii="Arial" w:cs="Arial" w:eastAsia="Arial" w:hAnsi="Arial"/>
                <w:sz w:val="21"/>
                <w:szCs w:val="21"/>
                <w:b w:val="1"/>
                <w:bCs w:val="1"/>
                <w:color w:val="auto"/>
                <w:w w:val="90"/>
              </w:rPr>
              <w:t>Expansion Premises</w:t>
            </w:r>
            <w:r>
              <w:rPr>
                <w:rFonts w:ascii="Arial" w:cs="Arial" w:eastAsia="Arial" w:hAnsi="Arial"/>
                <w:sz w:val="21"/>
                <w:szCs w:val="21"/>
                <w:color w:val="auto"/>
                <w:w w:val="90"/>
              </w:rPr>
              <w:t>. Commencing on the Expansion Commencement Date, Tenant</w:t>
            </w:r>
          </w:p>
        </w:tc>
      </w:tr>
      <w:tr>
        <w:trPr>
          <w:trHeight w:val="20"/>
        </w:trPr>
        <w:tc>
          <w:tcPr>
            <w:tcW w:w="39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shall pay Tenant's Share of Direct Expenses in connection with the Expansion Premises in accordance with the terms of the Lease, provided that with respect to the calculation of Tenant's Share of Direct Expenses in connection with the Expansion Premises, Tenant's Share shall equal 100% of the 300 Building.</w:t>
      </w:r>
    </w:p>
    <w:p>
      <w:pPr>
        <w:spacing w:after="0" w:line="163" w:lineRule="exact"/>
        <w:rPr>
          <w:sz w:val="20"/>
          <w:szCs w:val="20"/>
          <w:color w:val="auto"/>
        </w:rPr>
      </w:pPr>
    </w:p>
    <w:p>
      <w:pPr>
        <w:jc w:val="both"/>
        <w:ind w:firstLine="870"/>
        <w:spacing w:after="0" w:line="257" w:lineRule="auto"/>
        <w:tabs>
          <w:tab w:leader="none" w:pos="1663" w:val="left"/>
        </w:tabs>
        <w:numPr>
          <w:ilvl w:val="0"/>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 of Expansion Premises</w:t>
      </w:r>
      <w:r>
        <w:rPr>
          <w:rFonts w:ascii="Arial" w:cs="Arial" w:eastAsia="Arial" w:hAnsi="Arial"/>
          <w:sz w:val="20"/>
          <w:szCs w:val="20"/>
          <w:color w:val="auto"/>
        </w:rPr>
        <w:t>. Except as specifically set forth herein, Landlord shall not be obligated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provide or pay for any improvement work or services related to the improvement of the Expansion Premises, and Tenant shall accept the Expansion Premises in its presently existing, "as-is" condition. Notwithstanding the foregoing, Landlord shall cause certain portions of the HVAC system within or serving the Expansion Premises to be repaired and/or replaced as specifically set forth on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xml:space="preserve"> attached hereto (“</w:t>
      </w:r>
      <w:r>
        <w:rPr>
          <w:rFonts w:ascii="Arial" w:cs="Arial" w:eastAsia="Arial" w:hAnsi="Arial"/>
          <w:sz w:val="20"/>
          <w:szCs w:val="20"/>
          <w:b w:val="1"/>
          <w:bCs w:val="1"/>
          <w:color w:val="auto"/>
        </w:rPr>
        <w:t>Landlord Work</w:t>
      </w:r>
      <w:r>
        <w:rPr>
          <w:rFonts w:ascii="Arial" w:cs="Arial" w:eastAsia="Arial" w:hAnsi="Arial"/>
          <w:sz w:val="20"/>
          <w:szCs w:val="20"/>
          <w:color w:val="auto"/>
        </w:rPr>
        <w:t>”), which Landlord Work shall be at Landlord’s sole cost and expense (and not a part of Direct Expenses or the Tenant Improvement Allowance (as defined in the Tenant Work Letter)). Following execution of this Second Amendment and the Expansion Possession Date, Landlord and Tenant shall reasonably and mutually cooperate to agree upon a schedule for the performance of the Landlord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-4-</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7" w:name="page88"/>
    <w:bookmarkEnd w:id="87"/>
    <w:p>
      <w:pPr>
        <w:jc w:val="both"/>
        <w:spacing w:after="0" w:line="253" w:lineRule="auto"/>
        <w:rPr>
          <w:sz w:val="20"/>
          <w:szCs w:val="20"/>
          <w:color w:val="auto"/>
        </w:rPr>
      </w:pPr>
      <w:r>
        <w:rPr>
          <w:rFonts w:ascii="Arial" w:cs="Arial" w:eastAsia="Arial" w:hAnsi="Arial"/>
          <w:sz w:val="20"/>
          <w:szCs w:val="20"/>
          <w:color w:val="auto"/>
        </w:rPr>
        <w:t>Work. Tenant shall accept all laboratory services, process utilities and emergency generator in their presently existing, as-is condition and Tenant shall be solely responsible for all costs related to their conditional use. Notwithstanding anything in the Lease to the contrary, Landlord shall, at Landlord's sole cost and expense (which shall not be deemed an Operating Expense), repair or replace any failed or inoperable portion of the roof, roof membrane or Building Systems serving the Expansion Premises during the first (1</w:t>
      </w:r>
      <w:r>
        <w:rPr>
          <w:rFonts w:ascii="Arial" w:cs="Arial" w:eastAsia="Arial" w:hAnsi="Arial"/>
          <w:sz w:val="17"/>
          <w:szCs w:val="17"/>
          <w:color w:val="auto"/>
        </w:rPr>
        <w:t>st</w:t>
      </w:r>
      <w:r>
        <w:rPr>
          <w:rFonts w:ascii="Arial" w:cs="Arial" w:eastAsia="Arial" w:hAnsi="Arial"/>
          <w:sz w:val="20"/>
          <w:szCs w:val="20"/>
          <w:color w:val="auto"/>
        </w:rPr>
        <w:t>) year following the Expansion Possession Date ("</w:t>
      </w:r>
      <w:r>
        <w:rPr>
          <w:rFonts w:ascii="Arial" w:cs="Arial" w:eastAsia="Arial" w:hAnsi="Arial"/>
          <w:sz w:val="20"/>
          <w:szCs w:val="20"/>
          <w:b w:val="1"/>
          <w:bCs w:val="1"/>
          <w:color w:val="auto"/>
        </w:rPr>
        <w:t>Warranty Period</w:t>
      </w:r>
      <w:r>
        <w:rPr>
          <w:rFonts w:ascii="Arial" w:cs="Arial" w:eastAsia="Arial" w:hAnsi="Arial"/>
          <w:sz w:val="20"/>
          <w:szCs w:val="20"/>
          <w:color w:val="auto"/>
        </w:rPr>
        <w:t>"), provided that the need to repair or replace was not caused by the misuse, misconduct, damage, destruction, omissions, and/or negligence of Tenant, its subtenants and/or assignees, if any, or any company which is acquired, sold or merged with Tenant (collectively, "</w:t>
      </w:r>
      <w:r>
        <w:rPr>
          <w:rFonts w:ascii="Arial" w:cs="Arial" w:eastAsia="Arial" w:hAnsi="Arial"/>
          <w:sz w:val="20"/>
          <w:szCs w:val="20"/>
          <w:b w:val="1"/>
          <w:bCs w:val="1"/>
          <w:color w:val="auto"/>
        </w:rPr>
        <w:t>Tenant Damage</w:t>
      </w:r>
      <w:r>
        <w:rPr>
          <w:rFonts w:ascii="Arial" w:cs="Arial" w:eastAsia="Arial" w:hAnsi="Arial"/>
          <w:sz w:val="20"/>
          <w:szCs w:val="20"/>
          <w:color w:val="auto"/>
        </w:rPr>
        <w:t xml:space="preserve">"), or by any modifications, Alterations or improvements constructed by or on behalf of Tenant. Landlord shall coordinate such work with Tenant and shall utilize commercially reasonable efforts to perform the same in a manner designed to minimize interference with Tenant's use of the Premises. To the extent repairs which Landlord is required to make pursuant to this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are necessitated in part by Tenant Damage, then to the extent the same are not covered by Landlord’s insurance, Tenant shall reimburse Landlord for an equitable proportion of the cost of such repair. Tenant shall construct the improvements in the Expansion Premises pursuant to the terms of the Tenant Work Letter.</w:t>
      </w:r>
    </w:p>
    <w:p>
      <w:pPr>
        <w:spacing w:after="0" w:line="174" w:lineRule="exact"/>
        <w:rPr>
          <w:sz w:val="20"/>
          <w:szCs w:val="20"/>
          <w:color w:val="auto"/>
        </w:rPr>
      </w:pPr>
    </w:p>
    <w:p>
      <w:pPr>
        <w:ind w:left="1680" w:hanging="810"/>
        <w:spacing w:after="0"/>
        <w:tabs>
          <w:tab w:leader="none" w:pos="1680"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Damage and Destruction</w:t>
      </w:r>
      <w:r>
        <w:rPr>
          <w:rFonts w:ascii="Arial" w:cs="Arial" w:eastAsia="Arial" w:hAnsi="Arial"/>
          <w:sz w:val="21"/>
          <w:szCs w:val="21"/>
          <w:color w:val="auto"/>
        </w:rPr>
        <w:t>.</w:t>
      </w:r>
    </w:p>
    <w:p>
      <w:pPr>
        <w:spacing w:after="0" w:line="218"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7.1. As of the date of this Second Amendment, all references in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of the Lease to “Building” are hereby revised to state "the 700 Building or the 300 Building, as applicable." Further, in addition to Landlord’s rights under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of the Lease to terminate the Lease, as amended, in the event that the conditions specified in such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11.2</w:t>
      </w:r>
      <w:r>
        <w:rPr>
          <w:rFonts w:ascii="Arial" w:cs="Arial" w:eastAsia="Arial" w:hAnsi="Arial"/>
          <w:sz w:val="21"/>
          <w:szCs w:val="21"/>
          <w:color w:val="auto"/>
        </w:rPr>
        <w:t xml:space="preserve"> are satisfied, Landlord shall also have the right to elect to terminate Tenant’s lease of the portion of the Premises in only one of the 700 Building or the 300 Building, and in such event Tenant’s lease of the portion of the Premises in the non-terminated Building shall remain in full force and effect.</w:t>
      </w:r>
    </w:p>
    <w:p>
      <w:pPr>
        <w:spacing w:after="0" w:line="180" w:lineRule="exact"/>
        <w:rPr>
          <w:sz w:val="20"/>
          <w:szCs w:val="20"/>
          <w:color w:val="auto"/>
        </w:rPr>
      </w:pPr>
    </w:p>
    <w:p>
      <w:pPr>
        <w:ind w:left="1740"/>
        <w:spacing w:after="0"/>
        <w:tabs>
          <w:tab w:leader="none" w:pos="396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color w:val="auto"/>
        </w:rPr>
        <w:t xml:space="preserve">The following sentence is hereby added at the end of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of the Lease:</w:t>
      </w:r>
    </w:p>
    <w:p>
      <w:pPr>
        <w:spacing w:after="0" w:line="212" w:lineRule="exact"/>
        <w:rPr>
          <w:sz w:val="20"/>
          <w:szCs w:val="20"/>
          <w:color w:val="auto"/>
        </w:rPr>
      </w:pPr>
    </w:p>
    <w:p>
      <w:pPr>
        <w:jc w:val="both"/>
        <w:ind w:left="1740" w:right="860"/>
        <w:spacing w:after="0" w:line="244" w:lineRule="auto"/>
        <w:rPr>
          <w:sz w:val="20"/>
          <w:szCs w:val="20"/>
          <w:color w:val="auto"/>
        </w:rPr>
      </w:pPr>
      <w:r>
        <w:rPr>
          <w:rFonts w:ascii="Arial" w:cs="Arial" w:eastAsia="Arial" w:hAnsi="Arial"/>
          <w:sz w:val="21"/>
          <w:szCs w:val="21"/>
          <w:color w:val="auto"/>
        </w:rPr>
        <w:t xml:space="preserve">“Alternatively, upon the termination of Tenant’s lease of the portion of the Premises in one or the other of the 700 Building or the 300 Building under any of the provisions of this </w:t>
      </w:r>
      <w:r>
        <w:rPr>
          <w:rFonts w:ascii="Arial" w:cs="Arial" w:eastAsia="Arial" w:hAnsi="Arial"/>
          <w:sz w:val="21"/>
          <w:szCs w:val="21"/>
          <w:u w:val="single" w:color="auto"/>
          <w:color w:val="auto"/>
        </w:rPr>
        <w:t>Article 11</w:t>
      </w:r>
      <w:r>
        <w:rPr>
          <w:rFonts w:ascii="Arial" w:cs="Arial" w:eastAsia="Arial" w:hAnsi="Arial"/>
          <w:sz w:val="21"/>
          <w:szCs w:val="21"/>
          <w:color w:val="auto"/>
        </w:rPr>
        <w:t>, the parties shall be released with respect to the provisions of the Lease which are applicable to the terminated portion of the Premises without further obligation to the other from the date possession of the terminated portion of the Premises is surrendered to Landlord, except for items which have theretofore accrued and are then unpaid.”</w:t>
      </w:r>
    </w:p>
    <w:p>
      <w:pPr>
        <w:spacing w:after="0" w:line="174" w:lineRule="exact"/>
        <w:rPr>
          <w:sz w:val="20"/>
          <w:szCs w:val="20"/>
          <w:color w:val="auto"/>
        </w:rPr>
      </w:pPr>
    </w:p>
    <w:p>
      <w:pPr>
        <w:jc w:val="both"/>
        <w:ind w:firstLine="870"/>
        <w:spacing w:after="0" w:line="245" w:lineRule="auto"/>
        <w:tabs>
          <w:tab w:leader="none" w:pos="1663"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Lease Bifurcation</w:t>
      </w:r>
      <w:r>
        <w:rPr>
          <w:rFonts w:ascii="Arial" w:cs="Arial" w:eastAsia="Arial" w:hAnsi="Arial"/>
          <w:sz w:val="21"/>
          <w:szCs w:val="21"/>
          <w:color w:val="auto"/>
        </w:rPr>
        <w:t>. Landlord and Tenant hereby acknowledge that Landlord may, in its reasonable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(e.g., in connection with the financing, refinancing, or sale of any or all of the Project), require that separate leases exist with regard to each of the 700 Building and the 300 Building. If Landlord so reasonably requires, the parties agree to bifurcate the Lease, as amended, into separate leases at Landlord’s sole cost and expense; provided, however, such resulting, bifurcated leases shall, on a collective basis, (i) be on the same terms as set forth in the Lease, as amended hereby (provided that in no event shall certain rights of Tenant which 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-5-</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8" w:name="page89"/>
    <w:bookmarkEnd w:id="88"/>
    <w:p>
      <w:pPr>
        <w:jc w:val="both"/>
        <w:spacing w:after="0" w:line="248" w:lineRule="auto"/>
        <w:rPr>
          <w:sz w:val="20"/>
          <w:szCs w:val="20"/>
          <w:color w:val="auto"/>
        </w:rPr>
      </w:pPr>
      <w:r>
        <w:rPr>
          <w:rFonts w:ascii="Arial" w:cs="Arial" w:eastAsia="Arial" w:hAnsi="Arial"/>
          <w:sz w:val="21"/>
          <w:szCs w:val="21"/>
          <w:color w:val="auto"/>
        </w:rPr>
        <w:t xml:space="preserve">reasonably assignable to only one of such leases be duplicated in the other of such leases), and (ii) be in form and substance reasonably approved by Tenant. Such bifurcated, replacement leases shall, if so required by Landlord and to the extent the same otherwise satisfy the requirements of this </w:t>
      </w:r>
      <w:r>
        <w:rPr>
          <w:rFonts w:ascii="Arial" w:cs="Arial" w:eastAsia="Arial" w:hAnsi="Arial"/>
          <w:sz w:val="21"/>
          <w:szCs w:val="21"/>
          <w:u w:val="single" w:color="auto"/>
          <w:color w:val="auto"/>
        </w:rPr>
        <w:t>Section 8</w:t>
      </w:r>
      <w:r>
        <w:rPr>
          <w:rFonts w:ascii="Arial" w:cs="Arial" w:eastAsia="Arial" w:hAnsi="Arial"/>
          <w:sz w:val="21"/>
          <w:szCs w:val="21"/>
          <w:color w:val="auto"/>
        </w:rPr>
        <w:t>, be executed by Landlord and Tenant within thirty (30) days following Landlord's written election and delivery of the same to Tenant.</w:t>
      </w:r>
    </w:p>
    <w:p>
      <w:pPr>
        <w:spacing w:after="0" w:line="169" w:lineRule="exact"/>
        <w:rPr>
          <w:sz w:val="20"/>
          <w:szCs w:val="20"/>
          <w:color w:val="auto"/>
        </w:rPr>
      </w:pPr>
    </w:p>
    <w:p>
      <w:pPr>
        <w:jc w:val="both"/>
        <w:ind w:firstLine="870"/>
        <w:spacing w:after="0" w:line="271" w:lineRule="auto"/>
        <w:tabs>
          <w:tab w:leader="none" w:pos="1663"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Landlord and Tenant hereby warrant to each other that they have had no dealings with any real estate</w:t>
      </w:r>
      <w:r>
        <w:rPr>
          <w:rFonts w:ascii="Arial" w:cs="Arial" w:eastAsia="Arial" w:hAnsi="Arial"/>
          <w:sz w:val="19"/>
          <w:szCs w:val="19"/>
          <w:b w:val="1"/>
          <w:bCs w:val="1"/>
          <w:color w:val="auto"/>
        </w:rPr>
        <w:t xml:space="preserve"> </w:t>
      </w:r>
      <w:r>
        <w:rPr>
          <w:rFonts w:ascii="Arial" w:cs="Arial" w:eastAsia="Arial" w:hAnsi="Arial"/>
          <w:sz w:val="19"/>
          <w:szCs w:val="19"/>
          <w:color w:val="auto"/>
        </w:rPr>
        <w:t>broker or agent in connection with the negotiation of this Second Amendment other than Jones Lang LaSalle and CBRE, Inc. (the "</w:t>
      </w:r>
      <w:r>
        <w:rPr>
          <w:rFonts w:ascii="Arial" w:cs="Arial" w:eastAsia="Arial" w:hAnsi="Arial"/>
          <w:sz w:val="19"/>
          <w:szCs w:val="19"/>
          <w:b w:val="1"/>
          <w:bCs w:val="1"/>
          <w:color w:val="auto"/>
        </w:rPr>
        <w:t>Brokers</w:t>
      </w:r>
      <w:r>
        <w:rPr>
          <w:rFonts w:ascii="Arial" w:cs="Arial" w:eastAsia="Arial" w:hAnsi="Arial"/>
          <w:sz w:val="19"/>
          <w:szCs w:val="19"/>
          <w:color w:val="auto"/>
        </w:rPr>
        <w:t xml:space="preserve">"), and that they know of no other real estate broker or agent who is entitled to a commission in connection with this Second Amendment. Each party agrees to indemnify and defend the other party against and hold the other party harmless from and against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 occurring by, through, or under the indemnifying party. Landlord shall pay the fees and commissions of the Brokers pursuant to a separate agreement. The terms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survive the expiration or earlier termination of the term of the Lease, as hereby amended.</w:t>
      </w:r>
    </w:p>
    <w:p>
      <w:pPr>
        <w:spacing w:after="0" w:line="151" w:lineRule="exact"/>
        <w:rPr>
          <w:rFonts w:ascii="Arial" w:cs="Arial" w:eastAsia="Arial" w:hAnsi="Arial"/>
          <w:sz w:val="19"/>
          <w:szCs w:val="19"/>
          <w:color w:val="auto"/>
        </w:rPr>
      </w:pPr>
    </w:p>
    <w:p>
      <w:pPr>
        <w:ind w:firstLine="870"/>
        <w:spacing w:after="0" w:line="300" w:lineRule="auto"/>
        <w:tabs>
          <w:tab w:leader="none" w:pos="1770" w:val="left"/>
        </w:tabs>
        <w:numPr>
          <w:ilvl w:val="0"/>
          <w:numId w:val="59"/>
        </w:numPr>
        <w:rPr>
          <w:rFonts w:ascii="Arial" w:cs="Arial" w:eastAsia="Arial" w:hAnsi="Arial"/>
          <w:sz w:val="20"/>
          <w:szCs w:val="20"/>
          <w:color w:val="auto"/>
        </w:rPr>
      </w:pPr>
      <w:r>
        <w:rPr>
          <w:rFonts w:ascii="Arial" w:cs="Arial" w:eastAsia="Arial" w:hAnsi="Arial"/>
          <w:sz w:val="20"/>
          <w:szCs w:val="20"/>
          <w:b w:val="1"/>
          <w:bCs w:val="1"/>
          <w:u w:val="single" w:color="auto"/>
          <w:color w:val="auto"/>
        </w:rPr>
        <w:t>Parking</w:t>
      </w:r>
      <w:r>
        <w:rPr>
          <w:rFonts w:ascii="Arial" w:cs="Arial" w:eastAsia="Arial" w:hAnsi="Arial"/>
          <w:sz w:val="20"/>
          <w:szCs w:val="20"/>
          <w:color w:val="auto"/>
        </w:rPr>
        <w:t>. Effective as of the Expansion Commencement Date and continuing throughout the Expansion Term,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parking ratio set forth in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the Summary of the Lease shall also apply to the Expansion Premises.</w:t>
      </w:r>
    </w:p>
    <w:p>
      <w:pPr>
        <w:spacing w:after="0" w:line="118" w:lineRule="exact"/>
        <w:rPr>
          <w:rFonts w:ascii="Arial" w:cs="Arial" w:eastAsia="Arial" w:hAnsi="Arial"/>
          <w:sz w:val="20"/>
          <w:szCs w:val="20"/>
          <w:color w:val="auto"/>
        </w:rPr>
      </w:pPr>
    </w:p>
    <w:p>
      <w:pPr>
        <w:ind w:right="20" w:firstLine="870"/>
        <w:spacing w:after="0" w:line="274" w:lineRule="auto"/>
        <w:tabs>
          <w:tab w:leader="none" w:pos="1762"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Signage</w:t>
      </w:r>
      <w:r>
        <w:rPr>
          <w:rFonts w:ascii="Arial" w:cs="Arial" w:eastAsia="Arial" w:hAnsi="Arial"/>
          <w:sz w:val="21"/>
          <w:szCs w:val="21"/>
          <w:color w:val="auto"/>
        </w:rPr>
        <w:t>. Effective as of the Expansion Commencement Date, the terms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23</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Original Lease</w:t>
      </w:r>
      <w:r>
        <w:rPr>
          <w:rFonts w:ascii="Arial" w:cs="Arial" w:eastAsia="Arial" w:hAnsi="Arial"/>
          <w:sz w:val="21"/>
          <w:szCs w:val="21"/>
          <w:b w:val="1"/>
          <w:bCs w:val="1"/>
          <w:color w:val="auto"/>
        </w:rPr>
        <w:t xml:space="preserve"> </w:t>
      </w:r>
      <w:r>
        <w:rPr>
          <w:rFonts w:ascii="Arial" w:cs="Arial" w:eastAsia="Arial" w:hAnsi="Arial"/>
          <w:sz w:val="21"/>
          <w:szCs w:val="21"/>
          <w:color w:val="auto"/>
        </w:rPr>
        <w:t>shall also apply to the Expansion Premises.</w:t>
      </w:r>
    </w:p>
    <w:p>
      <w:pPr>
        <w:spacing w:after="0" w:line="141" w:lineRule="exact"/>
        <w:rPr>
          <w:rFonts w:ascii="Arial" w:cs="Arial" w:eastAsia="Arial" w:hAnsi="Arial"/>
          <w:sz w:val="21"/>
          <w:szCs w:val="21"/>
          <w:color w:val="auto"/>
        </w:rPr>
      </w:pPr>
    </w:p>
    <w:p>
      <w:pPr>
        <w:jc w:val="both"/>
        <w:ind w:firstLine="870"/>
        <w:spacing w:after="0" w:line="245" w:lineRule="auto"/>
        <w:tabs>
          <w:tab w:leader="none" w:pos="1770"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Return of Security Deposit</w:t>
      </w:r>
      <w:r>
        <w:rPr>
          <w:rFonts w:ascii="Arial" w:cs="Arial" w:eastAsia="Arial" w:hAnsi="Arial"/>
          <w:sz w:val="21"/>
          <w:szCs w:val="21"/>
          <w:color w:val="auto"/>
        </w:rPr>
        <w:t>. Landlord and Tenant acknowledge that, in accordance with the Lease, Tenant</w:t>
      </w:r>
      <w:r>
        <w:rPr>
          <w:rFonts w:ascii="Arial" w:cs="Arial" w:eastAsia="Arial" w:hAnsi="Arial"/>
          <w:sz w:val="21"/>
          <w:szCs w:val="21"/>
          <w:b w:val="1"/>
          <w:bCs w:val="1"/>
          <w:color w:val="auto"/>
        </w:rPr>
        <w:t xml:space="preserve"> </w:t>
      </w:r>
      <w:r>
        <w:rPr>
          <w:rFonts w:ascii="Arial" w:cs="Arial" w:eastAsia="Arial" w:hAnsi="Arial"/>
          <w:sz w:val="21"/>
          <w:szCs w:val="21"/>
          <w:color w:val="auto"/>
        </w:rPr>
        <w:t>has previously delivered the sum of $340,144.92 (the "</w:t>
      </w:r>
      <w:r>
        <w:rPr>
          <w:rFonts w:ascii="Arial" w:cs="Arial" w:eastAsia="Arial" w:hAnsi="Arial"/>
          <w:sz w:val="21"/>
          <w:szCs w:val="21"/>
          <w:b w:val="1"/>
          <w:bCs w:val="1"/>
          <w:color w:val="auto"/>
        </w:rPr>
        <w:t>Existing Security Deposit</w:t>
      </w:r>
      <w:r>
        <w:rPr>
          <w:rFonts w:ascii="Arial" w:cs="Arial" w:eastAsia="Arial" w:hAnsi="Arial"/>
          <w:sz w:val="21"/>
          <w:szCs w:val="21"/>
          <w:color w:val="auto"/>
        </w:rPr>
        <w:t>") to Landlord as security for the faithful performance by Tenant of the terms, covenants and conditions of the Lease. Within forty-five (45) days following the later to occur of (i) the full execution and delivery of this Second Amendment by Landlord and Tenant, and (ii) Landlord's receipt of the "L-C" (as defined in Section 13.1 below) as required by the terms of Section 13 below, Landlord shall return to Tenant the full amount of the Existing Security Deposit.</w:t>
      </w:r>
    </w:p>
    <w:p>
      <w:pPr>
        <w:spacing w:after="0" w:line="173" w:lineRule="exact"/>
        <w:rPr>
          <w:rFonts w:ascii="Arial" w:cs="Arial" w:eastAsia="Arial" w:hAnsi="Arial"/>
          <w:sz w:val="21"/>
          <w:szCs w:val="21"/>
          <w:color w:val="auto"/>
        </w:rPr>
      </w:pPr>
    </w:p>
    <w:p>
      <w:pPr>
        <w:ind w:left="1780" w:hanging="910"/>
        <w:spacing w:after="0"/>
        <w:tabs>
          <w:tab w:leader="none" w:pos="1780"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Letter of Credit</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4" w:lineRule="exact"/>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b w:val="1"/>
          <w:bCs w:val="1"/>
          <w:u w:val="single" w:color="auto"/>
          <w:color w:val="auto"/>
        </w:rPr>
        <w:t>Delivery of Letter of Credit</w:t>
      </w:r>
      <w:r>
        <w:rPr>
          <w:rFonts w:ascii="Arial" w:cs="Arial" w:eastAsia="Arial" w:hAnsi="Arial"/>
          <w:sz w:val="21"/>
          <w:szCs w:val="21"/>
          <w:color w:val="auto"/>
        </w:rPr>
        <w:t>. Tenant shall deliver to Landlord, within fifteen (15) days following Tenant's execution of this Second Amendment, an unconditional, clean, irrevocable letter of credit (the "</w:t>
      </w:r>
      <w:r>
        <w:rPr>
          <w:rFonts w:ascii="Arial" w:cs="Arial" w:eastAsia="Arial" w:hAnsi="Arial"/>
          <w:sz w:val="21"/>
          <w:szCs w:val="21"/>
          <w:b w:val="1"/>
          <w:bCs w:val="1"/>
          <w:color w:val="auto"/>
        </w:rPr>
        <w:t>L</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w:t>
      </w:r>
      <w:r>
        <w:rPr>
          <w:rFonts w:ascii="Arial" w:cs="Arial" w:eastAsia="Arial" w:hAnsi="Arial"/>
          <w:sz w:val="21"/>
          <w:szCs w:val="21"/>
          <w:color w:val="auto"/>
        </w:rPr>
        <w:t>") in the amount of $870,277.56 (the "</w:t>
      </w:r>
      <w:r>
        <w:rPr>
          <w:rFonts w:ascii="Arial" w:cs="Arial" w:eastAsia="Arial" w:hAnsi="Arial"/>
          <w:sz w:val="21"/>
          <w:szCs w:val="21"/>
          <w:b w:val="1"/>
          <w:bCs w:val="1"/>
          <w:color w:val="auto"/>
        </w:rPr>
        <w:t>L</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 Amount</w:t>
      </w:r>
      <w:r>
        <w:rPr>
          <w:rFonts w:ascii="Arial" w:cs="Arial" w:eastAsia="Arial" w:hAnsi="Arial"/>
          <w:sz w:val="21"/>
          <w:szCs w:val="21"/>
          <w:color w:val="auto"/>
        </w:rPr>
        <w:t>"), which L</w:t>
      </w:r>
      <w:r>
        <w:rPr>
          <w:rFonts w:ascii="MS PGothic" w:cs="MS PGothic" w:eastAsia="MS PGothic" w:hAnsi="MS PGothic"/>
          <w:sz w:val="21"/>
          <w:szCs w:val="21"/>
          <w:color w:val="auto"/>
        </w:rPr>
        <w:t>‑</w:t>
      </w:r>
      <w:r>
        <w:rPr>
          <w:rFonts w:ascii="Arial" w:cs="Arial" w:eastAsia="Arial" w:hAnsi="Arial"/>
          <w:sz w:val="21"/>
          <w:szCs w:val="21"/>
          <w:color w:val="auto"/>
        </w:rPr>
        <w:t>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Arial" w:cs="Arial" w:eastAsia="Arial" w:hAnsi="Arial"/>
          <w:sz w:val="21"/>
          <w:szCs w:val="21"/>
          <w:b w:val="1"/>
          <w:bCs w:val="1"/>
          <w:color w:val="auto"/>
        </w:rPr>
        <w:t>Bank</w:t>
      </w:r>
      <w:r>
        <w:rPr>
          <w:rFonts w:ascii="Arial" w:cs="Arial" w:eastAsia="Arial" w:hAnsi="Arial"/>
          <w:sz w:val="21"/>
          <w:szCs w:val="21"/>
          <w:color w:val="auto"/>
        </w:rPr>
        <w:t>"), which Bank must have a rating from Standard and Poors Corporation of A- or better (or any 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Arial" w:cs="Arial" w:eastAsia="Arial" w:hAnsi="Arial"/>
          <w:sz w:val="21"/>
          <w:szCs w:val="21"/>
          <w:b w:val="1"/>
          <w:bCs w:val="1"/>
          <w:color w:val="auto"/>
        </w:rPr>
        <w:t>Bank’s Credit Rating Threshold</w:t>
      </w:r>
      <w:r>
        <w:rPr>
          <w:rFonts w:ascii="Arial" w:cs="Arial" w:eastAsia="Arial" w:hAnsi="Arial"/>
          <w:sz w:val="21"/>
          <w:szCs w:val="21"/>
          <w:color w:val="auto"/>
        </w:rPr>
        <w:t>”), and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-6-</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jc w:val="both"/>
        <w:spacing w:after="0" w:line="242" w:lineRule="exact"/>
        <w:rPr>
          <w:sz w:val="20"/>
          <w:szCs w:val="20"/>
          <w:color w:val="auto"/>
        </w:rPr>
      </w:pPr>
      <w:r>
        <w:rPr>
          <w:rFonts w:ascii="Arial" w:cs="Arial" w:eastAsia="Arial" w:hAnsi="Arial"/>
          <w:sz w:val="19"/>
          <w:szCs w:val="19"/>
          <w:color w:val="auto"/>
        </w:rPr>
        <w:t>which L</w:t>
      </w:r>
      <w:r>
        <w:rPr>
          <w:rFonts w:ascii="MS PGothic" w:cs="MS PGothic" w:eastAsia="MS PGothic" w:hAnsi="MS PGothic"/>
          <w:sz w:val="19"/>
          <w:szCs w:val="19"/>
          <w:color w:val="auto"/>
        </w:rPr>
        <w:t>‑</w:t>
      </w:r>
      <w:r>
        <w:rPr>
          <w:rFonts w:ascii="Arial" w:cs="Arial" w:eastAsia="Arial" w:hAnsi="Arial"/>
          <w:sz w:val="19"/>
          <w:szCs w:val="19"/>
          <w:color w:val="auto"/>
        </w:rPr>
        <w:t xml:space="preserve">C shall be substantially in the form of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attached hereto. Tenant shall pay all expenses, points and/or fees incurred by Tenant in obtaining the L</w:t>
      </w:r>
      <w:r>
        <w:rPr>
          <w:rFonts w:ascii="MS PGothic" w:cs="MS PGothic" w:eastAsia="MS PGothic" w:hAnsi="MS PGothic"/>
          <w:sz w:val="19"/>
          <w:szCs w:val="19"/>
          <w:color w:val="auto"/>
        </w:rPr>
        <w:t>‑</w:t>
      </w:r>
      <w:r>
        <w:rPr>
          <w:rFonts w:ascii="Arial" w:cs="Arial" w:eastAsia="Arial" w:hAnsi="Arial"/>
          <w:sz w:val="19"/>
          <w:szCs w:val="19"/>
          <w:color w:val="auto"/>
        </w:rPr>
        <w:t>C. The L</w:t>
      </w:r>
      <w:r>
        <w:rPr>
          <w:rFonts w:ascii="MS PGothic" w:cs="MS PGothic" w:eastAsia="MS PGothic" w:hAnsi="MS PGothic"/>
          <w:sz w:val="19"/>
          <w:szCs w:val="19"/>
          <w:color w:val="auto"/>
        </w:rPr>
        <w:t>‑</w:t>
      </w:r>
      <w:r>
        <w:rPr>
          <w:rFonts w:ascii="Arial" w:cs="Arial" w:eastAsia="Arial" w:hAnsi="Arial"/>
          <w:sz w:val="19"/>
          <w:szCs w:val="19"/>
          <w:color w:val="auto"/>
        </w:rPr>
        <w:t>C shall (i) be "callable" at sight, irrevocable and unconditional, (ii) be maintained in effect, whether through renewal or extension, for the period commencing on the date of this Third Amendment and continuing until the date (the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Expiration Date</w:t>
      </w:r>
      <w:r>
        <w:rPr>
          <w:rFonts w:ascii="Arial" w:cs="Arial" w:eastAsia="Arial" w:hAnsi="Arial"/>
          <w:sz w:val="19"/>
          <w:szCs w:val="19"/>
          <w:color w:val="auto"/>
        </w:rPr>
        <w:t>") that is no less than sixty (60) days after the expiration of the Lease Term as the same may be extended, and Tenant shall deliver a new L</w:t>
      </w:r>
      <w:r>
        <w:rPr>
          <w:rFonts w:ascii="MS PGothic" w:cs="MS PGothic" w:eastAsia="MS PGothic" w:hAnsi="MS PGothic"/>
          <w:sz w:val="19"/>
          <w:szCs w:val="19"/>
          <w:color w:val="auto"/>
        </w:rPr>
        <w:t>‑</w:t>
      </w:r>
      <w:r>
        <w:rPr>
          <w:rFonts w:ascii="Arial" w:cs="Arial" w:eastAsia="Arial" w:hAnsi="Arial"/>
          <w:sz w:val="19"/>
          <w:szCs w:val="19"/>
          <w:color w:val="auto"/>
        </w:rPr>
        <w:t>C or certificate of renewal or extension to Landlord at least thirty (30) days prior to the expiration of the L</w:t>
      </w:r>
      <w:r>
        <w:rPr>
          <w:rFonts w:ascii="MS PGothic" w:cs="MS PGothic" w:eastAsia="MS PGothic" w:hAnsi="MS PGothic"/>
          <w:sz w:val="19"/>
          <w:szCs w:val="19"/>
          <w:color w:val="auto"/>
        </w:rPr>
        <w:t>‑</w:t>
      </w:r>
      <w:r>
        <w:rPr>
          <w:rFonts w:ascii="Arial" w:cs="Arial" w:eastAsia="Arial" w:hAnsi="Arial"/>
          <w:sz w:val="19"/>
          <w:szCs w:val="19"/>
          <w:color w:val="auto"/>
        </w:rPr>
        <w:t>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 International Chamber of Commerce Publication #590. Landlord, or its then managing agent, shall have the right to draw down an amount up to the face amount of the L</w:t>
      </w:r>
      <w:r>
        <w:rPr>
          <w:rFonts w:ascii="MS PGothic" w:cs="MS PGothic" w:eastAsia="MS PGothic" w:hAnsi="MS PGothic"/>
          <w:sz w:val="19"/>
          <w:szCs w:val="19"/>
          <w:color w:val="auto"/>
        </w:rPr>
        <w:t>‑</w:t>
      </w:r>
      <w:r>
        <w:rPr>
          <w:rFonts w:ascii="Arial" w:cs="Arial" w:eastAsia="Arial" w:hAnsi="Arial"/>
          <w:sz w:val="19"/>
          <w:szCs w:val="19"/>
          <w:color w:val="auto"/>
        </w:rPr>
        <w:t>C if any of the following shall have occurred or be applicable: (A) such amount is due to Landlord under the terms and conditions of the Lease, and has not been paid within applicable notice and cure periods (or, if Landlord is prevented by law from providing notice, within the period for payment set forth in the Lease), or (B) Tenant has filed a voluntary petition under the U. S. Bankruptcy Code or any state bankruptcy code (collectively, "</w:t>
      </w:r>
      <w:r>
        <w:rPr>
          <w:rFonts w:ascii="Arial" w:cs="Arial" w:eastAsia="Arial" w:hAnsi="Arial"/>
          <w:sz w:val="19"/>
          <w:szCs w:val="19"/>
          <w:b w:val="1"/>
          <w:bCs w:val="1"/>
          <w:color w:val="auto"/>
        </w:rPr>
        <w:t>Bankruptcy Code</w:t>
      </w:r>
      <w:r>
        <w:rPr>
          <w:rFonts w:ascii="Arial" w:cs="Arial" w:eastAsia="Arial" w:hAnsi="Arial"/>
          <w:sz w:val="19"/>
          <w:szCs w:val="19"/>
          <w:color w:val="auto"/>
        </w:rPr>
        <w:t>"), or (C) an involuntary petition has been filed against Tenant under the Bankruptcy Code that is not dismissed within thirty (30) days,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r>
      <w:r>
        <w:rPr>
          <w:rFonts w:ascii="MS PGothic" w:cs="MS PGothic" w:eastAsia="MS PGothic" w:hAnsi="MS PGothic"/>
          <w:sz w:val="19"/>
          <w:szCs w:val="19"/>
          <w:color w:val="auto"/>
        </w:rPr>
        <w:t>‑</w:t>
      </w:r>
      <w:r>
        <w:rPr>
          <w:rFonts w:ascii="Arial" w:cs="Arial" w:eastAsia="Arial" w:hAnsi="Arial"/>
          <w:sz w:val="19"/>
          <w:szCs w:val="19"/>
          <w:color w:val="auto"/>
        </w:rPr>
        <w:t>C will not be renewed or extended through the L</w:t>
      </w:r>
      <w:r>
        <w:rPr>
          <w:rFonts w:ascii="MS PGothic" w:cs="MS PGothic" w:eastAsia="MS PGothic" w:hAnsi="MS PGothic"/>
          <w:sz w:val="19"/>
          <w:szCs w:val="19"/>
          <w:color w:val="auto"/>
        </w:rPr>
        <w:t>‑</w:t>
      </w:r>
      <w:r>
        <w:rPr>
          <w:rFonts w:ascii="Arial" w:cs="Arial" w:eastAsia="Arial" w:hAnsi="Arial"/>
          <w:sz w:val="19"/>
          <w:szCs w:val="19"/>
          <w:color w:val="auto"/>
        </w:rPr>
        <w:t xml:space="preserve">C Expiration Date, and Tenant has not provided a replacement L-C that satisfies the requirements of this Third Amendment at least thirty (30) days prior to such expiration, or (F) Tenant is placed into receivership or conservatorship, or becomes subject to similar proceedings under Federal or State law,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(including, but not limited to, the requirements placed on the issuing Bank more particularly set forth in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above), in the amount of the applicable L</w:t>
      </w:r>
      <w:r>
        <w:rPr>
          <w:rFonts w:ascii="MS PGothic" w:cs="MS PGothic" w:eastAsia="MS PGothic" w:hAnsi="MS PGothic"/>
          <w:sz w:val="19"/>
          <w:szCs w:val="19"/>
          <w:color w:val="auto"/>
        </w:rPr>
        <w:t>‑</w:t>
      </w:r>
      <w:r>
        <w:rPr>
          <w:rFonts w:ascii="Arial" w:cs="Arial" w:eastAsia="Arial" w:hAnsi="Arial"/>
          <w:sz w:val="19"/>
          <w:szCs w:val="19"/>
          <w:color w:val="auto"/>
        </w:rPr>
        <w:t>C Amount, within ten (10) business days following Landlord’s written demand therefor (with no other notice or cure or grace period being applicable thereto, notwithstanding anything in the Lease to the contrary) (each of the foregoing being an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Draw Event</w:t>
      </w:r>
      <w:r>
        <w:rPr>
          <w:rFonts w:ascii="Arial" w:cs="Arial" w:eastAsia="Arial" w:hAnsi="Arial"/>
          <w:sz w:val="19"/>
          <w:szCs w:val="19"/>
          <w:color w:val="auto"/>
        </w:rPr>
        <w:t>"). The L</w:t>
      </w:r>
      <w:r>
        <w:rPr>
          <w:rFonts w:ascii="MS PGothic" w:cs="MS PGothic" w:eastAsia="MS PGothic" w:hAnsi="MS PGothic"/>
          <w:sz w:val="19"/>
          <w:szCs w:val="19"/>
          <w:color w:val="auto"/>
        </w:rPr>
        <w:t>‑</w:t>
      </w:r>
      <w:r>
        <w:rPr>
          <w:rFonts w:ascii="Arial" w:cs="Arial" w:eastAsia="Arial" w:hAnsi="Arial"/>
          <w:sz w:val="19"/>
          <w:szCs w:val="19"/>
          <w:color w:val="auto"/>
        </w:rPr>
        <w:t>C shall be honored by the Bank regardless of whether Tenant disputes Landlord's right to draw upon the L</w:t>
      </w:r>
      <w:r>
        <w:rPr>
          <w:rFonts w:ascii="MS PGothic" w:cs="MS PGothic" w:eastAsia="MS PGothic" w:hAnsi="MS PGothic"/>
          <w:sz w:val="19"/>
          <w:szCs w:val="19"/>
          <w:color w:val="auto"/>
        </w:rPr>
        <w:t>‑</w:t>
      </w:r>
      <w:r>
        <w:rPr>
          <w:rFonts w:ascii="Arial" w:cs="Arial" w:eastAsia="Arial" w:hAnsi="Arial"/>
          <w:sz w:val="19"/>
          <w:szCs w:val="19"/>
          <w:color w:val="auto"/>
        </w:rPr>
        <w:t>C. In addition, in the event the Bank is placed into receivership or conservatorship by the Federal Deposit Insurance Corporation or any successor or similar entity, then, effective as of the date such receivership or conservatorship occurs, said L</w:t>
      </w:r>
      <w:r>
        <w:rPr>
          <w:rFonts w:ascii="MS PGothic" w:cs="MS PGothic" w:eastAsia="MS PGothic" w:hAnsi="MS PGothic"/>
          <w:sz w:val="19"/>
          <w:szCs w:val="19"/>
          <w:color w:val="auto"/>
        </w:rPr>
        <w:t>‑</w:t>
      </w:r>
      <w:r>
        <w:rPr>
          <w:rFonts w:ascii="Arial" w:cs="Arial" w:eastAsia="Arial" w:hAnsi="Arial"/>
          <w:sz w:val="19"/>
          <w:szCs w:val="19"/>
          <w:color w:val="auto"/>
        </w:rPr>
        <w:t xml:space="preserve">C shall be deemed to fail to meet the requirements of this </w:t>
      </w:r>
      <w:r>
        <w:rPr>
          <w:rFonts w:ascii="Arial" w:cs="Arial" w:eastAsia="Arial" w:hAnsi="Arial"/>
          <w:sz w:val="19"/>
          <w:szCs w:val="19"/>
          <w:u w:val="single" w:color="auto"/>
          <w:color w:val="auto"/>
        </w:rPr>
        <w:t>Section 13</w:t>
      </w:r>
      <w:r>
        <w:rPr>
          <w:rFonts w:ascii="Arial" w:cs="Arial" w:eastAsia="Arial" w:hAnsi="Arial"/>
          <w:sz w:val="19"/>
          <w:szCs w:val="19"/>
          <w:color w:val="auto"/>
        </w:rPr>
        <w:t>, and, within ten (10) business days following Landlord's notice to Tenant of such receivership or conservatorship (the "</w:t>
      </w:r>
      <w:r>
        <w:rPr>
          <w:rFonts w:ascii="Arial" w:cs="Arial" w:eastAsia="Arial" w:hAnsi="Arial"/>
          <w:sz w:val="19"/>
          <w:szCs w:val="19"/>
          <w:b w:val="1"/>
          <w:bCs w:val="1"/>
          <w:color w:val="auto"/>
        </w:rPr>
        <w:t>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 FDIC Replacement Notice</w:t>
      </w:r>
      <w:r>
        <w:rPr>
          <w:rFonts w:ascii="Arial" w:cs="Arial" w:eastAsia="Arial" w:hAnsi="Arial"/>
          <w:sz w:val="19"/>
          <w:szCs w:val="19"/>
          <w:color w:val="auto"/>
        </w:rPr>
        <w:t>"), Tenant shall replace such L</w:t>
      </w:r>
      <w:r>
        <w:rPr>
          <w:rFonts w:ascii="MS PGothic" w:cs="MS PGothic" w:eastAsia="MS PGothic" w:hAnsi="MS PGothic"/>
          <w:sz w:val="19"/>
          <w:szCs w:val="19"/>
          <w:color w:val="auto"/>
        </w:rPr>
        <w:t>‑</w:t>
      </w:r>
      <w:r>
        <w:rPr>
          <w:rFonts w:ascii="Arial" w:cs="Arial" w:eastAsia="Arial" w:hAnsi="Arial"/>
          <w:sz w:val="19"/>
          <w:szCs w:val="19"/>
          <w:color w:val="auto"/>
        </w:rPr>
        <w:t xml:space="preserve">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9"/>
          <w:szCs w:val="19"/>
          <w:u w:val="single" w:color="auto"/>
          <w:color w:val="auto"/>
        </w:rPr>
        <w:t>Section 13</w:t>
      </w:r>
      <w:r>
        <w:rPr>
          <w:rFonts w:ascii="Arial" w:cs="Arial" w:eastAsia="Arial" w:hAnsi="Arial"/>
          <w:sz w:val="19"/>
          <w:szCs w:val="19"/>
          <w:color w:val="auto"/>
        </w:rPr>
        <w:t>. If Tenant fails to replace such L</w:t>
      </w:r>
      <w:r>
        <w:rPr>
          <w:rFonts w:ascii="MS PGothic" w:cs="MS PGothic" w:eastAsia="MS PGothic" w:hAnsi="MS PGothic"/>
          <w:sz w:val="19"/>
          <w:szCs w:val="19"/>
          <w:color w:val="auto"/>
        </w:rPr>
        <w:t>‑</w:t>
      </w:r>
      <w:r>
        <w:rPr>
          <w:rFonts w:ascii="Arial" w:cs="Arial" w:eastAsia="Arial" w:hAnsi="Arial"/>
          <w:sz w:val="19"/>
          <w:szCs w:val="19"/>
          <w:color w:val="auto"/>
        </w:rPr>
        <w:t>C with such conforming, substitute letter of credit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-7-</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90" w:name="page91"/>
    <w:bookmarkEnd w:id="90"/>
    <w:p>
      <w:pPr>
        <w:jc w:val="both"/>
        <w:spacing w:after="0" w:line="243" w:lineRule="exact"/>
        <w:rPr>
          <w:sz w:val="20"/>
          <w:szCs w:val="20"/>
          <w:color w:val="auto"/>
        </w:rPr>
      </w:pPr>
      <w:r>
        <w:rPr>
          <w:rFonts w:ascii="Arial" w:cs="Arial" w:eastAsia="Arial" w:hAnsi="Arial"/>
          <w:sz w:val="21"/>
          <w:szCs w:val="21"/>
          <w:color w:val="auto"/>
        </w:rPr>
        <w:t xml:space="preserve">pursuant to the terms and conditions of this </w:t>
      </w:r>
      <w:r>
        <w:rPr>
          <w:rFonts w:ascii="Arial" w:cs="Arial" w:eastAsia="Arial" w:hAnsi="Arial"/>
          <w:sz w:val="21"/>
          <w:szCs w:val="21"/>
          <w:u w:val="single" w:color="auto"/>
          <w:color w:val="auto"/>
        </w:rPr>
        <w:t>Section 13.1</w:t>
      </w:r>
      <w:r>
        <w:rPr>
          <w:rFonts w:ascii="Arial" w:cs="Arial" w:eastAsia="Arial" w:hAnsi="Arial"/>
          <w:sz w:val="21"/>
          <w:szCs w:val="21"/>
          <w:color w:val="auto"/>
        </w:rPr>
        <w:t>, then, notwithstanding anything in the Lease to the contrary, Landlord shall have the right to declare Tenant in default of the Lease for which there shall be no notice or grace or cure periods being applicable thereto (other than the aforesaid ten (10) business day period). Tenant shall be responsible for the payment of any and all Tenant’s and Bank’s costs incurred with the review of any replacement L</w:t>
      </w:r>
      <w:r>
        <w:rPr>
          <w:rFonts w:ascii="MS PGothic" w:cs="MS PGothic" w:eastAsia="MS PGothic" w:hAnsi="MS PGothic"/>
          <w:sz w:val="21"/>
          <w:szCs w:val="21"/>
          <w:color w:val="auto"/>
        </w:rPr>
        <w:t>‑</w:t>
      </w:r>
      <w:r>
        <w:rPr>
          <w:rFonts w:ascii="Arial" w:cs="Arial" w:eastAsia="Arial" w:hAnsi="Arial"/>
          <w:sz w:val="21"/>
          <w:szCs w:val="21"/>
          <w:color w:val="auto"/>
        </w:rPr>
        <w:t>C, which replacement is required pursuant to this Section or is otherwise requested by Tenant.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184" w:lineRule="exact"/>
        <w:rPr>
          <w:sz w:val="20"/>
          <w:szCs w:val="20"/>
          <w:color w:val="auto"/>
        </w:rPr>
      </w:pPr>
    </w:p>
    <w:p>
      <w:pPr>
        <w:jc w:val="both"/>
        <w:ind w:firstLine="1728"/>
        <w:spacing w:after="0" w:line="242" w:lineRule="exact"/>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u w:val="single" w:color="auto"/>
          <w:color w:val="auto"/>
        </w:rPr>
        <w:t>Application of L</w:t>
      </w:r>
      <w:r>
        <w:rPr>
          <w:rFonts w:ascii="MS PGothic" w:cs="MS PGothic" w:eastAsia="MS PGothic" w:hAnsi="MS PGothic"/>
          <w:sz w:val="20"/>
          <w:szCs w:val="20"/>
          <w:u w:val="single" w:color="auto"/>
          <w:color w:val="auto"/>
        </w:rPr>
        <w:t>‑</w:t>
      </w:r>
      <w:r>
        <w:rPr>
          <w:rFonts w:ascii="Arial" w:cs="Arial" w:eastAsia="Arial" w:hAnsi="Arial"/>
          <w:sz w:val="20"/>
          <w:szCs w:val="20"/>
          <w:b w:val="1"/>
          <w:bCs w:val="1"/>
          <w:u w:val="single" w:color="auto"/>
          <w:color w:val="auto"/>
        </w:rPr>
        <w:t>C</w:t>
      </w:r>
      <w:r>
        <w:rPr>
          <w:rFonts w:ascii="Arial" w:cs="Arial" w:eastAsia="Arial" w:hAnsi="Arial"/>
          <w:sz w:val="20"/>
          <w:szCs w:val="20"/>
          <w:color w:val="auto"/>
        </w:rPr>
        <w:t>. Tenant hereby acknowledges and agrees that Landlord is entering into this Third Amendment in material reliance upon the ability of Landlord to draw upon the L</w:t>
      </w:r>
      <w:r>
        <w:rPr>
          <w:rFonts w:ascii="MS PGothic" w:cs="MS PGothic" w:eastAsia="MS PGothic" w:hAnsi="MS PGothic"/>
          <w:sz w:val="20"/>
          <w:szCs w:val="20"/>
          <w:color w:val="auto"/>
        </w:rPr>
        <w:t>‑</w:t>
      </w:r>
      <w:r>
        <w:rPr>
          <w:rFonts w:ascii="Arial" w:cs="Arial" w:eastAsia="Arial" w:hAnsi="Arial"/>
          <w:sz w:val="20"/>
          <w:szCs w:val="20"/>
          <w:color w:val="auto"/>
        </w:rPr>
        <w:t>C upon the occurrence of any L</w:t>
      </w:r>
      <w:r>
        <w:rPr>
          <w:rFonts w:ascii="MS PGothic" w:cs="MS PGothic" w:eastAsia="MS PGothic" w:hAnsi="MS PGothic"/>
          <w:sz w:val="20"/>
          <w:szCs w:val="20"/>
          <w:color w:val="auto"/>
        </w:rPr>
        <w:t>‑</w:t>
      </w:r>
      <w:r>
        <w:rPr>
          <w:rFonts w:ascii="Arial" w:cs="Arial" w:eastAsia="Arial" w:hAnsi="Arial"/>
          <w:sz w:val="20"/>
          <w:szCs w:val="20"/>
          <w:color w:val="auto"/>
        </w:rPr>
        <w:t xml:space="preserve">C Draw Event and apply the proceeds of the L-C in accordance with this Section 13, Landlord may, but without obligation to do so, and without notice to Tenant (except in connection with an L-C Draw Event under </w:t>
      </w:r>
      <w:r>
        <w:rPr>
          <w:rFonts w:ascii="Arial" w:cs="Arial" w:eastAsia="Arial" w:hAnsi="Arial"/>
          <w:sz w:val="20"/>
          <w:szCs w:val="20"/>
          <w:u w:val="single" w:color="auto"/>
          <w:color w:val="auto"/>
        </w:rPr>
        <w:t>Section 13.1(H)</w:t>
      </w:r>
      <w:r>
        <w:rPr>
          <w:rFonts w:ascii="Arial" w:cs="Arial" w:eastAsia="Arial" w:hAnsi="Arial"/>
          <w:sz w:val="20"/>
          <w:szCs w:val="20"/>
          <w:color w:val="auto"/>
        </w:rPr>
        <w:t xml:space="preserve"> above), draw upon the L</w:t>
      </w:r>
      <w:r>
        <w:rPr>
          <w:rFonts w:ascii="MS PGothic" w:cs="MS PGothic" w:eastAsia="MS PGothic" w:hAnsi="MS PGothic"/>
          <w:sz w:val="20"/>
          <w:szCs w:val="20"/>
          <w:color w:val="auto"/>
        </w:rPr>
        <w:t>‑</w:t>
      </w:r>
      <w:r>
        <w:rPr>
          <w:rFonts w:ascii="Arial" w:cs="Arial" w:eastAsia="Arial" w:hAnsi="Arial"/>
          <w:sz w:val="20"/>
          <w:szCs w:val="20"/>
          <w:color w:val="auto"/>
        </w:rPr>
        <w:t>C, in part or in 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the Lease, including, without limitation, those specifically identified in Section 1951.2 of the California Civil Code. The use, application or retention of the L</w:t>
      </w:r>
      <w:r>
        <w:rPr>
          <w:rFonts w:ascii="MS PGothic" w:cs="MS PGothic" w:eastAsia="MS PGothic" w:hAnsi="MS PGothic"/>
          <w:sz w:val="20"/>
          <w:szCs w:val="20"/>
          <w:color w:val="auto"/>
        </w:rPr>
        <w:t>‑</w:t>
      </w:r>
      <w:r>
        <w:rPr>
          <w:rFonts w:ascii="Arial" w:cs="Arial" w:eastAsia="Arial" w:hAnsi="Arial"/>
          <w:sz w:val="20"/>
          <w:szCs w:val="20"/>
          <w:color w:val="auto"/>
        </w:rPr>
        <w:t>C proceeds, or any portion thereof, by Landlord shall not prevent Landlord from exercising any other right or remedy provided by the Lease or by any applicable law, it being intended that Landlord shall not first be required to proceed against the L</w:t>
      </w:r>
      <w:r>
        <w:rPr>
          <w:rFonts w:ascii="MS PGothic" w:cs="MS PGothic" w:eastAsia="MS PGothic" w:hAnsi="MS PGothic"/>
          <w:sz w:val="20"/>
          <w:szCs w:val="20"/>
          <w:color w:val="auto"/>
        </w:rPr>
        <w:t>‑</w:t>
      </w:r>
      <w:r>
        <w:rPr>
          <w:rFonts w:ascii="Arial" w:cs="Arial" w:eastAsia="Arial" w:hAnsi="Arial"/>
          <w:sz w:val="20"/>
          <w:szCs w:val="20"/>
          <w:color w:val="auto"/>
        </w:rPr>
        <w:t>C, and such L</w:t>
      </w:r>
      <w:r>
        <w:rPr>
          <w:rFonts w:ascii="MS PGothic" w:cs="MS PGothic" w:eastAsia="MS PGothic" w:hAnsi="MS PGothic"/>
          <w:sz w:val="20"/>
          <w:szCs w:val="20"/>
          <w:color w:val="auto"/>
        </w:rPr>
        <w:t>‑</w:t>
      </w:r>
      <w:r>
        <w:rPr>
          <w:rFonts w:ascii="Arial" w:cs="Arial" w:eastAsia="Arial" w:hAnsi="Arial"/>
          <w:sz w:val="20"/>
          <w:szCs w:val="20"/>
          <w:color w:val="auto"/>
        </w:rPr>
        <w:t>C shall not operate as a limitation on any recovery to which Landlord may otherwise be entitled. Tenant agrees and acknowledges that (i) the L</w:t>
      </w:r>
      <w:r>
        <w:rPr>
          <w:rFonts w:ascii="MS PGothic" w:cs="MS PGothic" w:eastAsia="MS PGothic" w:hAnsi="MS PGothic"/>
          <w:sz w:val="20"/>
          <w:szCs w:val="20"/>
          <w:color w:val="auto"/>
        </w:rPr>
        <w:t>‑</w:t>
      </w:r>
      <w:r>
        <w:rPr>
          <w:rFonts w:ascii="Arial" w:cs="Arial" w:eastAsia="Arial" w:hAnsi="Arial"/>
          <w:sz w:val="20"/>
          <w:szCs w:val="20"/>
          <w:color w:val="auto"/>
        </w:rPr>
        <w:t>C constitutes a separate and independent contract between Landlord and the Bank, (ii) Tenant is not a third party beneficiary of such contract, (iii) Tenant has no property interest whatsoever in the L</w:t>
      </w:r>
      <w:r>
        <w:rPr>
          <w:rFonts w:ascii="MS PGothic" w:cs="MS PGothic" w:eastAsia="MS PGothic" w:hAnsi="MS PGothic"/>
          <w:sz w:val="20"/>
          <w:szCs w:val="20"/>
          <w:color w:val="auto"/>
        </w:rPr>
        <w:t>‑</w:t>
      </w:r>
      <w:r>
        <w:rPr>
          <w:rFonts w:ascii="Arial" w:cs="Arial" w:eastAsia="Arial" w:hAnsi="Arial"/>
          <w:sz w:val="20"/>
          <w:szCs w:val="20"/>
          <w:color w:val="auto"/>
        </w:rPr>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r>
      <w:r>
        <w:rPr>
          <w:rFonts w:ascii="MS PGothic" w:cs="MS PGothic" w:eastAsia="MS PGothic" w:hAnsi="MS PGothic"/>
          <w:sz w:val="20"/>
          <w:szCs w:val="20"/>
          <w:color w:val="auto"/>
        </w:rPr>
        <w:t>‑</w:t>
      </w:r>
      <w:r>
        <w:rPr>
          <w:rFonts w:ascii="Arial" w:cs="Arial" w:eastAsia="Arial" w:hAnsi="Arial"/>
          <w:sz w:val="20"/>
          <w:szCs w:val="20"/>
          <w:color w:val="auto"/>
        </w:rPr>
        <w:t>C and/or the proceeds thereof by application of Section 502(b)(6) of the U. S. Bankruptcy Code or otherwise.</w:t>
      </w:r>
    </w:p>
    <w:p>
      <w:pPr>
        <w:spacing w:after="0" w:line="185" w:lineRule="exact"/>
        <w:rPr>
          <w:sz w:val="20"/>
          <w:szCs w:val="20"/>
          <w:color w:val="auto"/>
        </w:rPr>
      </w:pPr>
    </w:p>
    <w:p>
      <w:pPr>
        <w:jc w:val="both"/>
        <w:ind w:firstLine="1728"/>
        <w:spacing w:after="0" w:line="245" w:lineRule="exact"/>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b w:val="1"/>
          <w:bCs w:val="1"/>
          <w:u w:val="single" w:color="auto"/>
          <w:color w:val="auto"/>
        </w:rPr>
        <w:t>Maintenance of L-C by Tenant</w:t>
      </w:r>
      <w:r>
        <w:rPr>
          <w:rFonts w:ascii="Arial" w:cs="Arial" w:eastAsia="Arial" w:hAnsi="Arial"/>
          <w:sz w:val="20"/>
          <w:szCs w:val="20"/>
          <w:color w:val="auto"/>
        </w:rPr>
        <w:t xml:space="preserve">. If, as a result of any proper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20"/>
          <w:szCs w:val="20"/>
          <w:u w:val="single" w:color="auto"/>
          <w:color w:val="auto"/>
        </w:rPr>
        <w:t>Section 13</w:t>
      </w:r>
      <w:r>
        <w:rPr>
          <w:rFonts w:ascii="Arial" w:cs="Arial" w:eastAsia="Arial" w:hAnsi="Arial"/>
          <w:sz w:val="20"/>
          <w:szCs w:val="20"/>
          <w:color w:val="auto"/>
        </w:rPr>
        <w:t>.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w:t>
      </w:r>
      <w:r>
        <w:rPr>
          <w:rFonts w:ascii="MS PGothic" w:cs="MS PGothic" w:eastAsia="MS PGothic" w:hAnsi="MS PGothic"/>
          <w:sz w:val="20"/>
          <w:szCs w:val="20"/>
          <w:color w:val="auto"/>
        </w:rPr>
        <w:t>‑</w:t>
      </w:r>
      <w:r>
        <w:rPr>
          <w:rFonts w:ascii="Arial" w:cs="Arial" w:eastAsia="Arial" w:hAnsi="Arial"/>
          <w:sz w:val="20"/>
          <w:szCs w:val="20"/>
          <w:color w:val="auto"/>
        </w:rPr>
        <w:t>C Expiration Date, Landlord will accept a renewal thereof (such renewal letter of credit to be in effect and delivered to Landlord, as applicable, not later than thirty (30) days prior to the expiration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-8-</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1" w:name="page92"/>
    <w:bookmarkEnd w:id="91"/>
    <w:p>
      <w:pPr>
        <w:jc w:val="both"/>
        <w:spacing w:after="0" w:line="243" w:lineRule="exact"/>
        <w:rPr>
          <w:sz w:val="20"/>
          <w:szCs w:val="20"/>
          <w:color w:val="auto"/>
        </w:rPr>
      </w:pPr>
      <w:r>
        <w:rPr>
          <w:rFonts w:ascii="Arial" w:cs="Arial" w:eastAsia="Arial" w:hAnsi="Arial"/>
          <w:sz w:val="19"/>
          <w:szCs w:val="19"/>
          <w:color w:val="auto"/>
        </w:rPr>
        <w:t>of the L-C), which shall be irrevocable and automatically renewable as above provided through the L</w:t>
      </w:r>
      <w:r>
        <w:rPr>
          <w:rFonts w:ascii="MS PGothic" w:cs="MS PGothic" w:eastAsia="MS PGothic" w:hAnsi="MS PGothic"/>
          <w:sz w:val="19"/>
          <w:szCs w:val="19"/>
          <w:color w:val="auto"/>
        </w:rPr>
        <w:t>‑</w:t>
      </w:r>
      <w:r>
        <w:rPr>
          <w:rFonts w:ascii="Arial" w:cs="Arial" w:eastAsia="Arial" w:hAnsi="Arial"/>
          <w:sz w:val="19"/>
          <w:szCs w:val="19"/>
          <w:color w:val="auto"/>
        </w:rPr>
        <w:t>C Expiration Date upon the same terms as the expiring L</w:t>
      </w:r>
      <w:r>
        <w:rPr>
          <w:rFonts w:ascii="MS PGothic" w:cs="MS PGothic" w:eastAsia="MS PGothic" w:hAnsi="MS PGothic"/>
          <w:sz w:val="19"/>
          <w:szCs w:val="19"/>
          <w:color w:val="auto"/>
        </w:rPr>
        <w:t>‑</w:t>
      </w:r>
      <w:r>
        <w:rPr>
          <w:rFonts w:ascii="Arial" w:cs="Arial" w:eastAsia="Arial" w:hAnsi="Arial"/>
          <w:sz w:val="19"/>
          <w:szCs w:val="19"/>
          <w:color w:val="auto"/>
        </w:rPr>
        <w:t>C or such other terms as may be acceptable to Landlord in its sole discretion. If Tenant exercises its option to extend the Lease Term pursuant to the Lease then, not later than thirty (30) days prior to the commencement of the Option Term, Tenant shall deliver to Landlord a new L C or certificate of renewal or extension evidencing the L-C Expiration Date as thirty (30) days after the expiration of the Option Term. However, if the L</w:t>
      </w:r>
      <w:r>
        <w:rPr>
          <w:rFonts w:ascii="MS PGothic" w:cs="MS PGothic" w:eastAsia="MS PGothic" w:hAnsi="MS PGothic"/>
          <w:sz w:val="19"/>
          <w:szCs w:val="19"/>
          <w:color w:val="auto"/>
        </w:rPr>
        <w:t>‑</w:t>
      </w:r>
      <w:r>
        <w:rPr>
          <w:rFonts w:ascii="Arial" w:cs="Arial" w:eastAsia="Arial" w:hAnsi="Arial"/>
          <w:sz w:val="19"/>
          <w:szCs w:val="19"/>
          <w:color w:val="auto"/>
        </w:rPr>
        <w:t>C is not timely renewed, or if Tenant fails to maintain the L</w:t>
      </w:r>
      <w:r>
        <w:rPr>
          <w:rFonts w:ascii="MS PGothic" w:cs="MS PGothic" w:eastAsia="MS PGothic" w:hAnsi="MS PGothic"/>
          <w:sz w:val="19"/>
          <w:szCs w:val="19"/>
          <w:color w:val="auto"/>
        </w:rPr>
        <w:t>‑</w:t>
      </w:r>
      <w:r>
        <w:rPr>
          <w:rFonts w:ascii="Arial" w:cs="Arial" w:eastAsia="Arial" w:hAnsi="Arial"/>
          <w:sz w:val="19"/>
          <w:szCs w:val="19"/>
          <w:color w:val="auto"/>
        </w:rPr>
        <w:t xml:space="preserve">C in the amount and in accordance with the terms set forth in this </w:t>
      </w:r>
      <w:r>
        <w:rPr>
          <w:rFonts w:ascii="Arial" w:cs="Arial" w:eastAsia="Arial" w:hAnsi="Arial"/>
          <w:sz w:val="19"/>
          <w:szCs w:val="19"/>
          <w:u w:val="single" w:color="auto"/>
          <w:color w:val="auto"/>
        </w:rPr>
        <w:t>Section 13</w:t>
      </w:r>
      <w:r>
        <w:rPr>
          <w:rFonts w:ascii="Arial" w:cs="Arial" w:eastAsia="Arial" w:hAnsi="Arial"/>
          <w:sz w:val="19"/>
          <w:szCs w:val="19"/>
          <w:color w:val="auto"/>
        </w:rPr>
        <w:t>, Landlord shall have the right to present the L</w:t>
      </w:r>
      <w:r>
        <w:rPr>
          <w:rFonts w:ascii="MS PGothic" w:cs="MS PGothic" w:eastAsia="MS PGothic" w:hAnsi="MS PGothic"/>
          <w:sz w:val="19"/>
          <w:szCs w:val="19"/>
          <w:color w:val="auto"/>
        </w:rPr>
        <w:t>‑</w:t>
      </w:r>
      <w:r>
        <w:rPr>
          <w:rFonts w:ascii="Arial" w:cs="Arial" w:eastAsia="Arial" w:hAnsi="Arial"/>
          <w:sz w:val="19"/>
          <w:szCs w:val="19"/>
          <w:color w:val="auto"/>
        </w:rPr>
        <w:t xml:space="preserve">C to the Bank in accordance with the terms of this </w:t>
      </w:r>
      <w:r>
        <w:rPr>
          <w:rFonts w:ascii="Arial" w:cs="Arial" w:eastAsia="Arial" w:hAnsi="Arial"/>
          <w:sz w:val="19"/>
          <w:szCs w:val="19"/>
          <w:u w:val="single" w:color="auto"/>
          <w:color w:val="auto"/>
        </w:rPr>
        <w:t>Section 13</w:t>
      </w:r>
      <w:r>
        <w:rPr>
          <w:rFonts w:ascii="Arial" w:cs="Arial" w:eastAsia="Arial" w:hAnsi="Arial"/>
          <w:sz w:val="19"/>
          <w:szCs w:val="19"/>
          <w:color w:val="auto"/>
        </w:rPr>
        <w:t>, and the proceeds of the L-C may be applied by Landlord against any Rent payable by Tenant under the Lease that is not paid when due and/or to pay for all losses and damages that Landlord has suffered or that Landlord reasonably estimates that it will suffer as a result of any breach or default by Tenant under the Lease. In the event Landlord elects to exercise its rights as provided above,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r>
      <w:r>
        <w:rPr>
          <w:rFonts w:ascii="MS PGothic" w:cs="MS PGothic" w:eastAsia="MS PGothic" w:hAnsi="MS PGothic"/>
          <w:sz w:val="19"/>
          <w:szCs w:val="19"/>
          <w:color w:val="auto"/>
        </w:rPr>
        <w:t>‑</w:t>
      </w:r>
      <w:r>
        <w:rPr>
          <w:rFonts w:ascii="Arial" w:cs="Arial" w:eastAsia="Arial" w:hAnsi="Arial"/>
          <w:sz w:val="19"/>
          <w:szCs w:val="19"/>
          <w:color w:val="auto"/>
        </w:rPr>
        <w:t>C Expiration Date the amount of any proceeds of the L-C received by Landlord and not applied against any Rent payable by Tenant under the Lease that was not paid when due or used to pay for any losses and/or damages suffered by Landlord (or reasonably estimated by Landlord that it will suffer) as a result of any breach or default by Tenant under the Lease; provided, however, that if prior to the L</w:t>
      </w:r>
      <w:r>
        <w:rPr>
          <w:rFonts w:ascii="MS PGothic" w:cs="MS PGothic" w:eastAsia="MS PGothic" w:hAnsi="MS PGothic"/>
          <w:sz w:val="19"/>
          <w:szCs w:val="19"/>
          <w:color w:val="auto"/>
        </w:rPr>
        <w:t>‑</w:t>
      </w:r>
      <w:r>
        <w:rPr>
          <w:rFonts w:ascii="Arial" w:cs="Arial" w:eastAsia="Arial" w:hAnsi="Arial"/>
          <w:sz w:val="19"/>
          <w:szCs w:val="19"/>
          <w:color w:val="auto"/>
        </w:rPr>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the Lease have been resolved in such bankruptcy or reorganization case or such bankruptcy or reorganization case has been dismissed. If Landlord draws on the L-C due to Tenant’s failure to timely renew or provide a replacement L-C, such failure shall not be considered a default under the Lease and Landlord shall return such cash proceeds upon Tenant’s presentation of a replacement L-C that satisfies the requirements of this Third Amendment, subject to reasonable satisfaction of any preference risk to Landlord.</w:t>
      </w:r>
    </w:p>
    <w:p>
      <w:pPr>
        <w:spacing w:after="0" w:line="397"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b w:val="1"/>
          <w:bCs w:val="1"/>
          <w:u w:val="single" w:color="auto"/>
          <w:color w:val="auto"/>
        </w:rPr>
        <w:t>Transfer and Encumbrance</w:t>
      </w:r>
      <w:r>
        <w:rPr>
          <w:rFonts w:ascii="Arial" w:cs="Arial" w:eastAsia="Arial" w:hAnsi="Arial"/>
          <w:sz w:val="20"/>
          <w:szCs w:val="20"/>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the Lease. In the event of a transfer of Landlord's interest in the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business days after Tenant's receipt of an invoice from Landlord therefor.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-9-</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jc w:val="both"/>
        <w:ind w:firstLine="1728"/>
        <w:spacing w:after="0" w:line="243" w:lineRule="exact"/>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b w:val="1"/>
          <w:bCs w:val="1"/>
          <w:u w:val="single" w:color="auto"/>
          <w:color w:val="auto"/>
        </w:rPr>
        <w:t>L-C Not a Security Deposit</w:t>
      </w:r>
      <w:r>
        <w:rPr>
          <w:rFonts w:ascii="Arial" w:cs="Arial" w:eastAsia="Arial" w:hAnsi="Arial"/>
          <w:sz w:val="19"/>
          <w:szCs w:val="19"/>
          <w:color w:val="auto"/>
        </w:rPr>
        <w:t>. Landlord and Tenant (1) acknowledge and agree that in no event or circumstance shall the L</w:t>
      </w:r>
      <w:r>
        <w:rPr>
          <w:rFonts w:ascii="MS PGothic" w:cs="MS PGothic" w:eastAsia="MS PGothic" w:hAnsi="MS PGothic"/>
          <w:sz w:val="19"/>
          <w:szCs w:val="19"/>
          <w:color w:val="auto"/>
        </w:rPr>
        <w:t>‑</w:t>
      </w:r>
      <w:r>
        <w:rPr>
          <w:rFonts w:ascii="Arial" w:cs="Arial" w:eastAsia="Arial" w:hAnsi="Arial"/>
          <w:sz w:val="19"/>
          <w:szCs w:val="19"/>
          <w:color w:val="auto"/>
        </w:rPr>
        <w:t>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9"/>
          <w:szCs w:val="19"/>
          <w:b w:val="1"/>
          <w:bCs w:val="1"/>
          <w:u w:val="single" w:color="auto"/>
          <w:color w:val="auto"/>
        </w:rPr>
        <w:t>Security Deposit Laws”</w:t>
      </w:r>
      <w:r>
        <w:rPr>
          <w:rFonts w:ascii="Arial" w:cs="Arial" w:eastAsia="Arial" w:hAnsi="Arial"/>
          <w:sz w:val="19"/>
          <w:szCs w:val="19"/>
          <w:color w:val="auto"/>
        </w:rPr>
        <w:t>), (2) acknowledge and agree that the L</w:t>
      </w:r>
      <w:r>
        <w:rPr>
          <w:rFonts w:ascii="MS PGothic" w:cs="MS PGothic" w:eastAsia="MS PGothic" w:hAnsi="MS PGothic"/>
          <w:sz w:val="19"/>
          <w:szCs w:val="19"/>
          <w:color w:val="auto"/>
        </w:rPr>
        <w:t>‑</w:t>
      </w:r>
      <w:r>
        <w:rPr>
          <w:rFonts w:ascii="Arial" w:cs="Arial" w:eastAsia="Arial" w:hAnsi="Arial"/>
          <w:sz w:val="19"/>
          <w:szCs w:val="19"/>
          <w:color w:val="auto"/>
        </w:rPr>
        <w:t>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w:t>
      </w:r>
    </w:p>
    <w:p>
      <w:pPr>
        <w:spacing w:after="0" w:line="4" w:lineRule="exact"/>
        <w:rPr>
          <w:sz w:val="20"/>
          <w:szCs w:val="20"/>
          <w:color w:val="auto"/>
        </w:rPr>
      </w:pPr>
    </w:p>
    <w:p>
      <w:pPr>
        <w:jc w:val="both"/>
        <w:ind w:firstLine="7"/>
        <w:spacing w:after="0" w:line="241" w:lineRule="exact"/>
        <w:tabs>
          <w:tab w:leader="none" w:pos="3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and/or those sums reasonably necessary to (a) compensate Landlord for any loss or damage caused by Tenant's breach of the Lease, including any damages Landlord suffers following termination of the Lease, and/or (b) compensate Landlord for any and all damages arising out of, or incurred in connection with, the termination of the Lease, including, without limitation, those specifically identified in Section 1951.2 of the California Civil Code</w:t>
      </w:r>
      <w:r>
        <w:rPr>
          <w:rFonts w:ascii="Arial" w:cs="Arial" w:eastAsia="Arial" w:hAnsi="Arial"/>
          <w:sz w:val="20"/>
          <w:szCs w:val="20"/>
          <w:i w:val="1"/>
          <w:iCs w:val="1"/>
          <w:color w:val="auto"/>
        </w:rPr>
        <w:t>.</w:t>
      </w:r>
      <w:r>
        <w:rPr>
          <w:rFonts w:ascii="Arial" w:cs="Arial" w:eastAsia="Arial" w:hAnsi="Arial"/>
          <w:sz w:val="20"/>
          <w:szCs w:val="20"/>
          <w:color w:val="auto"/>
        </w:rPr>
        <w:t xml:space="preserve">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the Lease shall be deemed to render the L</w:t>
      </w:r>
      <w:r>
        <w:rPr>
          <w:rFonts w:ascii="MS PGothic" w:cs="MS PGothic" w:eastAsia="MS PGothic" w:hAnsi="MS PGothic"/>
          <w:sz w:val="20"/>
          <w:szCs w:val="20"/>
          <w:color w:val="auto"/>
        </w:rPr>
        <w:t>‑</w:t>
      </w:r>
      <w:r>
        <w:rPr>
          <w:rFonts w:ascii="Arial" w:cs="Arial" w:eastAsia="Arial" w:hAnsi="Arial"/>
          <w:sz w:val="20"/>
          <w:szCs w:val="20"/>
          <w:color w:val="auto"/>
        </w:rPr>
        <w:t>C conditional and thereby afford the Bank a justification for failing to honor a drawing upon such L-C in a timely manner. Tenant shall not request or instruct the Bank of any L</w:t>
      </w:r>
      <w:r>
        <w:rPr>
          <w:rFonts w:ascii="MS PGothic" w:cs="MS PGothic" w:eastAsia="MS PGothic" w:hAnsi="MS PGothic"/>
          <w:sz w:val="20"/>
          <w:szCs w:val="20"/>
          <w:color w:val="auto"/>
        </w:rPr>
        <w:t>‑</w:t>
      </w:r>
      <w:r>
        <w:rPr>
          <w:rFonts w:ascii="Arial" w:cs="Arial" w:eastAsia="Arial" w:hAnsi="Arial"/>
          <w:sz w:val="20"/>
          <w:szCs w:val="20"/>
          <w:color w:val="auto"/>
        </w:rPr>
        <w:t>C to refrain from paying sight draft(s) drawn under such L</w:t>
      </w:r>
      <w:r>
        <w:rPr>
          <w:rFonts w:ascii="MS PGothic" w:cs="MS PGothic" w:eastAsia="MS PGothic" w:hAnsi="MS PGothic"/>
          <w:sz w:val="20"/>
          <w:szCs w:val="20"/>
          <w:color w:val="auto"/>
        </w:rPr>
        <w:t>‑</w:t>
      </w:r>
      <w:r>
        <w:rPr>
          <w:rFonts w:ascii="Arial" w:cs="Arial" w:eastAsia="Arial" w:hAnsi="Arial"/>
          <w:sz w:val="20"/>
          <w:szCs w:val="20"/>
          <w:color w:val="auto"/>
        </w:rPr>
        <w:t>C.</w:t>
      </w:r>
    </w:p>
    <w:p>
      <w:pPr>
        <w:spacing w:after="0" w:line="182" w:lineRule="exact"/>
        <w:rPr>
          <w:sz w:val="20"/>
          <w:szCs w:val="20"/>
          <w:color w:val="auto"/>
        </w:rPr>
      </w:pPr>
    </w:p>
    <w:p>
      <w:pPr>
        <w:jc w:val="both"/>
        <w:ind w:firstLine="1728"/>
        <w:spacing w:after="0" w:line="243" w:lineRule="exact"/>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b w:val="1"/>
          <w:bCs w:val="1"/>
          <w:u w:val="single" w:color="auto"/>
          <w:color w:val="auto"/>
        </w:rPr>
        <w:t>Remedy for Improper Drafts</w:t>
      </w:r>
      <w:r>
        <w:rPr>
          <w:rFonts w:ascii="Arial" w:cs="Arial" w:eastAsia="Arial" w:hAnsi="Arial"/>
          <w:sz w:val="21"/>
          <w:szCs w:val="21"/>
          <w:color w:val="auto"/>
        </w:rPr>
        <w:t>. Tenant's sole remedy in connection with Landlord’s improper draw against the L-C or Landlord’s improper application of any proceeds of sight drafts drawn under the L</w:t>
      </w:r>
      <w:r>
        <w:rPr>
          <w:rFonts w:ascii="MS PGothic" w:cs="MS PGothic" w:eastAsia="MS PGothic" w:hAnsi="MS PGothic"/>
          <w:sz w:val="21"/>
          <w:szCs w:val="21"/>
          <w:color w:val="auto"/>
        </w:rPr>
        <w:t>‑</w:t>
      </w:r>
      <w:r>
        <w:rPr>
          <w:rFonts w:ascii="Arial" w:cs="Arial" w:eastAsia="Arial" w:hAnsi="Arial"/>
          <w:sz w:val="21"/>
          <w:szCs w:val="21"/>
          <w:color w:val="auto"/>
        </w:rPr>
        <w:t>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w:t>
      </w:r>
      <w:r>
        <w:rPr>
          <w:rFonts w:ascii="MS PGothic" w:cs="MS PGothic" w:eastAsia="MS PGothic" w:hAnsi="MS PGothic"/>
          <w:sz w:val="21"/>
          <w:szCs w:val="21"/>
          <w:color w:val="auto"/>
        </w:rPr>
        <w:t>‑</w:t>
      </w:r>
      <w:r>
        <w:rPr>
          <w:rFonts w:ascii="Arial" w:cs="Arial" w:eastAsia="Arial" w:hAnsi="Arial"/>
          <w:sz w:val="21"/>
          <w:szCs w:val="21"/>
          <w:color w:val="auto"/>
        </w:rPr>
        <w:t>C to the amount (if any) then required under the applicable provisions of this Third Amendment. Tenant acknowledges that Landlord’s draw against the L-C, application or retention of any proceeds thereof, the presentment of sight drafts drawn under any L</w:t>
      </w:r>
      <w:r>
        <w:rPr>
          <w:rFonts w:ascii="MS PGothic" w:cs="MS PGothic" w:eastAsia="MS PGothic" w:hAnsi="MS PGothic"/>
          <w:sz w:val="21"/>
          <w:szCs w:val="21"/>
          <w:color w:val="auto"/>
        </w:rPr>
        <w:t>‑</w:t>
      </w:r>
      <w:r>
        <w:rPr>
          <w:rFonts w:ascii="Arial" w:cs="Arial" w:eastAsia="Arial" w:hAnsi="Arial"/>
          <w:sz w:val="21"/>
          <w:szCs w:val="21"/>
          <w:color w:val="auto"/>
        </w:rPr>
        <w:t>C, or the Bank's payment of sight drafts drawn under such L</w:t>
      </w:r>
      <w:r>
        <w:rPr>
          <w:rFonts w:ascii="MS PGothic" w:cs="MS PGothic" w:eastAsia="MS PGothic" w:hAnsi="MS PGothic"/>
          <w:sz w:val="21"/>
          <w:szCs w:val="21"/>
          <w:color w:val="auto"/>
        </w:rPr>
        <w:t>‑</w:t>
      </w:r>
      <w:r>
        <w:rPr>
          <w:rFonts w:ascii="Arial" w:cs="Arial" w:eastAsia="Arial" w:hAnsi="Arial"/>
          <w:sz w:val="21"/>
          <w:szCs w:val="21"/>
          <w:color w:val="auto"/>
        </w:rPr>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185" w:lineRule="exact"/>
        <w:rPr>
          <w:sz w:val="20"/>
          <w:szCs w:val="20"/>
          <w:color w:val="auto"/>
        </w:rPr>
      </w:pPr>
    </w:p>
    <w:p>
      <w:pPr>
        <w:jc w:val="both"/>
        <w:ind w:firstLine="870"/>
        <w:spacing w:after="0" w:line="256" w:lineRule="auto"/>
        <w:tabs>
          <w:tab w:leader="none" w:pos="1770" w:val="left"/>
        </w:tabs>
        <w:numPr>
          <w:ilvl w:val="0"/>
          <w:numId w:val="61"/>
        </w:numPr>
        <w:rPr>
          <w:rFonts w:ascii="Arial" w:cs="Arial" w:eastAsia="Arial" w:hAnsi="Arial"/>
          <w:sz w:val="21"/>
          <w:szCs w:val="21"/>
          <w:color w:val="auto"/>
        </w:rPr>
      </w:pPr>
      <w:r>
        <w:rPr>
          <w:rFonts w:ascii="Arial" w:cs="Arial" w:eastAsia="Arial" w:hAnsi="Arial"/>
          <w:sz w:val="21"/>
          <w:szCs w:val="21"/>
          <w:b w:val="1"/>
          <w:bCs w:val="1"/>
          <w:u w:val="single" w:color="auto"/>
          <w:color w:val="auto"/>
        </w:rPr>
        <w:t>Statutory Disclosure and Related Terms</w:t>
      </w:r>
      <w:r>
        <w:rPr>
          <w:rFonts w:ascii="Arial" w:cs="Arial" w:eastAsia="Arial" w:hAnsi="Arial"/>
          <w:sz w:val="21"/>
          <w:szCs w:val="21"/>
          <w:color w:val="auto"/>
        </w:rPr>
        <w:t>. For purposes of Section 1938 of the California Civil Code,</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hereby discloses to Tenant, and Tenant hereby acknowledges, that the Project, Building, Existing Premises and Expansion Premises have not undergone inspection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restart"/>
          </w:tcPr>
          <w:p>
            <w:pPr>
              <w:jc w:val="right"/>
              <w:ind w:right="1191"/>
              <w:spacing w:after="0"/>
              <w:rPr>
                <w:sz w:val="20"/>
                <w:szCs w:val="20"/>
                <w:color w:val="auto"/>
              </w:rPr>
            </w:pPr>
            <w:r>
              <w:rPr>
                <w:rFonts w:ascii="Arial" w:cs="Arial" w:eastAsia="Arial" w:hAnsi="Arial"/>
                <w:sz w:val="18"/>
                <w:szCs w:val="18"/>
                <w:color w:val="auto"/>
              </w:rPr>
              <w:t>-10-</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continue"/>
          </w:tcPr>
          <w:p>
            <w:pPr>
              <w:spacing w:after="0"/>
              <w:rPr>
                <w:sz w:val="13"/>
                <w:szCs w:val="13"/>
                <w:color w:val="auto"/>
              </w:rPr>
            </w:pPr>
          </w:p>
        </w:tc>
        <w:tc>
          <w:tcPr>
            <w:tcW w:w="2720" w:type="dxa"/>
            <w:vAlign w:val="bottom"/>
          </w:tcPr>
          <w:p>
            <w:pPr>
              <w:ind w:left="128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3" w:name="page94"/>
    <w:bookmarkEnd w:id="93"/>
    <w:p>
      <w:pPr>
        <w:jc w:val="both"/>
        <w:spacing w:after="0" w:line="268" w:lineRule="auto"/>
        <w:rPr>
          <w:sz w:val="20"/>
          <w:szCs w:val="20"/>
          <w:color w:val="auto"/>
        </w:rPr>
      </w:pPr>
      <w:r>
        <w:rPr>
          <w:rFonts w:ascii="Arial" w:cs="Arial" w:eastAsia="Arial" w:hAnsi="Arial"/>
          <w:sz w:val="19"/>
          <w:szCs w:val="19"/>
          <w:color w:val="auto"/>
        </w:rPr>
        <w:t>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Article 24 of the Original Lease,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50" w:lineRule="exact"/>
        <w:rPr>
          <w:sz w:val="20"/>
          <w:szCs w:val="20"/>
          <w:color w:val="auto"/>
        </w:rPr>
      </w:pPr>
    </w:p>
    <w:p>
      <w:pPr>
        <w:ind w:firstLine="870"/>
        <w:spacing w:after="0" w:line="300" w:lineRule="auto"/>
        <w:tabs>
          <w:tab w:leader="none" w:pos="1770"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No Further Modification</w:t>
      </w:r>
      <w:r>
        <w:rPr>
          <w:rFonts w:ascii="Arial" w:cs="Arial" w:eastAsia="Arial" w:hAnsi="Arial"/>
          <w:sz w:val="20"/>
          <w:szCs w:val="20"/>
          <w:color w:val="auto"/>
        </w:rPr>
        <w:t>. Except as set forth in this Second Amendment, all of the terms and provisions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Lease shall apply with respect to the Expansion Premises and shall remain unmodified and in full force and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restart"/>
          </w:tcPr>
          <w:p>
            <w:pPr>
              <w:jc w:val="right"/>
              <w:ind w:right="1211"/>
              <w:spacing w:after="0"/>
              <w:rPr>
                <w:sz w:val="20"/>
                <w:szCs w:val="20"/>
                <w:color w:val="auto"/>
              </w:rPr>
            </w:pPr>
            <w:r>
              <w:rPr>
                <w:rFonts w:ascii="Arial" w:cs="Arial" w:eastAsia="Arial" w:hAnsi="Arial"/>
                <w:sz w:val="18"/>
                <w:szCs w:val="18"/>
                <w:color w:val="auto"/>
              </w:rPr>
              <w:t>-11-</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continue"/>
          </w:tcPr>
          <w:p>
            <w:pPr>
              <w:spacing w:after="0"/>
              <w:rPr>
                <w:sz w:val="13"/>
                <w:szCs w:val="13"/>
                <w:color w:val="auto"/>
              </w:rPr>
            </w:pPr>
          </w:p>
        </w:tc>
        <w:tc>
          <w:tcPr>
            <w:tcW w:w="2720" w:type="dxa"/>
            <w:vAlign w:val="bottom"/>
          </w:tcPr>
          <w:p>
            <w:pPr>
              <w:ind w:left="128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ind w:left="880"/>
        <w:spacing w:after="0"/>
        <w:rPr>
          <w:sz w:val="20"/>
          <w:szCs w:val="20"/>
          <w:color w:val="auto"/>
        </w:rPr>
      </w:pPr>
      <w:r>
        <w:rPr>
          <w:rFonts w:ascii="Arial" w:cs="Arial" w:eastAsia="Arial" w:hAnsi="Arial"/>
          <w:sz w:val="19"/>
          <w:szCs w:val="19"/>
          <w:color w:val="auto"/>
        </w:rPr>
        <w:t>IN WITNESS WHEREOF, this Second Amendment has been executed as of the day and year first above written.</w:t>
      </w:r>
    </w:p>
    <w:p>
      <w:pPr>
        <w:sectPr>
          <w:pgSz w:w="11900" w:h="16838" w:orient="portrait"/>
          <w:cols w:equalWidth="0" w:num="1">
            <w:col w:w="10540"/>
          </w:cols>
          <w:pgMar w:left="320" w:top="544" w:right="10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LANDLORD</w:t>
      </w:r>
      <w:r>
        <w:rPr>
          <w:rFonts w:ascii="Arial" w:cs="Arial" w:eastAsia="Arial" w:hAnsi="Arial"/>
          <w:sz w:val="21"/>
          <w:szCs w:val="21"/>
          <w:color w:val="auto"/>
        </w:rPr>
        <w:t>:</w:t>
      </w:r>
    </w:p>
    <w:p>
      <w:pPr>
        <w:spacing w:after="0" w:line="318" w:lineRule="exact"/>
        <w:rPr>
          <w:sz w:val="20"/>
          <w:szCs w:val="20"/>
          <w:color w:val="auto"/>
        </w:rPr>
      </w:pPr>
    </w:p>
    <w:p>
      <w:pPr>
        <w:ind w:right="280"/>
        <w:spacing w:after="0" w:line="300" w:lineRule="auto"/>
        <w:rPr>
          <w:sz w:val="20"/>
          <w:szCs w:val="20"/>
          <w:color w:val="auto"/>
        </w:rPr>
      </w:pPr>
      <w:r>
        <w:rPr>
          <w:rFonts w:ascii="Arial" w:cs="Arial" w:eastAsia="Arial" w:hAnsi="Arial"/>
          <w:sz w:val="20"/>
          <w:szCs w:val="20"/>
          <w:b w:val="1"/>
          <w:bCs w:val="1"/>
          <w:color w:val="auto"/>
        </w:rPr>
        <w:t>HCP LS REDWOOD CITY, LLC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Delaware limited liability company</w:t>
      </w: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Scott Bohn</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Scott Bohn</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Senior Vice President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TENANT</w:t>
      </w:r>
      <w:r>
        <w:rPr>
          <w:rFonts w:ascii="Arial" w:cs="Arial" w:eastAsia="Arial" w:hAnsi="Arial"/>
          <w:sz w:val="21"/>
          <w:szCs w:val="21"/>
          <w:color w:val="auto"/>
        </w:rPr>
        <w: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REVOLUTION MEDICINES, INC.</w:t>
      </w:r>
      <w:r>
        <w:rPr>
          <w:rFonts w:ascii="Arial" w:cs="Arial" w:eastAsia="Arial" w:hAnsi="Arial"/>
          <w:sz w:val="21"/>
          <w:szCs w:val="2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By: /s/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wp:posOffset>
            </wp:positionV>
            <wp:extent cx="22415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2241550" cy="8255"/>
                    </a:xfrm>
                    <a:prstGeom prst="rect">
                      <a:avLst/>
                    </a:prstGeom>
                    <a:noFill/>
                  </pic:spPr>
                </pic:pic>
              </a:graphicData>
            </a:graphic>
          </wp:anchor>
        </w:drawing>
      </w:r>
    </w:p>
    <w:p>
      <w:pPr>
        <w:spacing w:after="0" w:line="192" w:lineRule="exact"/>
        <w:rPr>
          <w:sz w:val="20"/>
          <w:szCs w:val="20"/>
          <w:color w:val="auto"/>
        </w:rPr>
      </w:pPr>
    </w:p>
    <w:p>
      <w:pPr>
        <w:spacing w:after="0"/>
        <w:tabs>
          <w:tab w:leader="none" w:pos="3840" w:val="left"/>
        </w:tabs>
        <w:rPr>
          <w:sz w:val="20"/>
          <w:szCs w:val="20"/>
          <w:color w:val="auto"/>
        </w:rPr>
      </w:pPr>
      <w:r>
        <w:rPr>
          <w:rFonts w:ascii="Arial" w:cs="Arial" w:eastAsia="Arial" w:hAnsi="Arial"/>
          <w:sz w:val="21"/>
          <w:szCs w:val="21"/>
          <w:color w:val="auto"/>
        </w:rPr>
        <w:t>Mark A. Goldsmith</w:t>
      </w:r>
      <w:r>
        <w:rPr>
          <w:sz w:val="20"/>
          <w:szCs w:val="20"/>
          <w:color w:val="auto"/>
        </w:rPr>
        <w:tab/>
      </w:r>
      <w:r>
        <w:rPr>
          <w:rFonts w:ascii="Arial" w:cs="Arial" w:eastAsia="Arial" w:hAnsi="Arial"/>
          <w:sz w:val="18"/>
          <w:szCs w:val="18"/>
          <w:color w:val="auto"/>
        </w:rPr>
        <w:t>President</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and CEO</w:t>
      </w:r>
    </w:p>
    <w:p>
      <w:pPr>
        <w:spacing w:after="0" w:line="200" w:lineRule="exact"/>
        <w:rPr>
          <w:sz w:val="20"/>
          <w:szCs w:val="20"/>
          <w:color w:val="auto"/>
        </w:rPr>
      </w:pPr>
    </w:p>
    <w:p>
      <w:pPr>
        <w:sectPr>
          <w:pgSz w:w="11900" w:h="16838" w:orient="portrait"/>
          <w:cols w:equalWidth="0" w:num="2">
            <w:col w:w="3460" w:space="720"/>
            <w:col w:w="6360"/>
          </w:cols>
          <w:pgMar w:left="320" w:top="544" w:right="10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restart"/>
          </w:tcPr>
          <w:p>
            <w:pPr>
              <w:jc w:val="right"/>
              <w:ind w:right="1191"/>
              <w:spacing w:after="0"/>
              <w:rPr>
                <w:sz w:val="20"/>
                <w:szCs w:val="20"/>
                <w:color w:val="auto"/>
              </w:rPr>
            </w:pPr>
            <w:r>
              <w:rPr>
                <w:rFonts w:ascii="Arial" w:cs="Arial" w:eastAsia="Arial" w:hAnsi="Arial"/>
                <w:sz w:val="18"/>
                <w:szCs w:val="18"/>
                <w:color w:val="auto"/>
              </w:rPr>
              <w:t>-12-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continue"/>
          </w:tcPr>
          <w:p>
            <w:pPr>
              <w:spacing w:after="0"/>
              <w:rPr>
                <w:sz w:val="13"/>
                <w:szCs w:val="13"/>
                <w:color w:val="auto"/>
              </w:rPr>
            </w:pPr>
          </w:p>
        </w:tc>
        <w:tc>
          <w:tcPr>
            <w:tcW w:w="2720" w:type="dxa"/>
            <w:vAlign w:val="bottom"/>
          </w:tcPr>
          <w:p>
            <w:pPr>
              <w:ind w:left="128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540"/>
          </w:cols>
          <w:pgMar w:left="320" w:top="544" w:right="1039" w:bottom="1440" w:gutter="0" w:footer="0" w:header="0"/>
          <w:type w:val="continuous"/>
        </w:sectPr>
      </w:pPr>
    </w:p>
    <w:bookmarkStart w:id="95" w:name="page96"/>
    <w:bookmarkEnd w:id="95"/>
    <w:p>
      <w:pPr>
        <w:ind w:left="5060"/>
        <w:spacing w:after="0"/>
        <w:rPr>
          <w:sz w:val="20"/>
          <w:szCs w:val="20"/>
          <w:color w:val="auto"/>
        </w:rPr>
      </w:pPr>
      <w:r>
        <w:rPr>
          <w:rFonts w:ascii="Arial" w:cs="Arial" w:eastAsia="Arial" w:hAnsi="Arial"/>
          <w:sz w:val="21"/>
          <w:szCs w:val="21"/>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151765</wp:posOffset>
            </wp:positionV>
            <wp:extent cx="4798060" cy="39179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4798060" cy="391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-1-</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TENANT WORK LETTER</w:t>
      </w:r>
    </w:p>
    <w:p>
      <w:pPr>
        <w:spacing w:after="0" w:line="21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20"/>
          <w:szCs w:val="20"/>
          <w:color w:val="auto"/>
        </w:rPr>
        <w:t>This Tenant Work Letter shall set forth the terms and conditions relating to the initial improvement of the Premises for Tenant following the date of this Second Amendment. This Tenant Work Letter is essentially organized chronologically and addresses the issues of construction, in sequence, as such issues will arise during construction in the Premises.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SECTION 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CONDITION OF PREMISES</w:t>
      </w:r>
    </w:p>
    <w:p>
      <w:pPr>
        <w:spacing w:after="0" w:line="111" w:lineRule="exact"/>
        <w:rPr>
          <w:sz w:val="20"/>
          <w:szCs w:val="20"/>
          <w:color w:val="auto"/>
        </w:rPr>
      </w:pPr>
    </w:p>
    <w:p>
      <w:pPr>
        <w:jc w:val="both"/>
        <w:ind w:firstLine="840"/>
        <w:spacing w:after="0" w:line="248" w:lineRule="auto"/>
        <w:rPr>
          <w:sz w:val="20"/>
          <w:szCs w:val="20"/>
          <w:color w:val="auto"/>
        </w:rPr>
      </w:pPr>
      <w:r>
        <w:rPr>
          <w:rFonts w:ascii="Arial" w:cs="Arial" w:eastAsia="Arial" w:hAnsi="Arial"/>
          <w:sz w:val="21"/>
          <w:szCs w:val="21"/>
          <w:color w:val="auto"/>
        </w:rPr>
        <w:t xml:space="preserve">Tenant acknowledges that Tenant shall accept the Expansion Premises in their existing, "as-is" condition on the date of delivery thereof to Tenant and Tenant shall continue to accept the Existing Premises in their existing, "as-is" condition. Except for the payment of the Tenant Improvement Allowance as provided in </w:t>
      </w:r>
      <w:r>
        <w:rPr>
          <w:rFonts w:ascii="Arial" w:cs="Arial" w:eastAsia="Arial" w:hAnsi="Arial"/>
          <w:sz w:val="21"/>
          <w:szCs w:val="21"/>
          <w:u w:val="single" w:color="auto"/>
          <w:color w:val="auto"/>
        </w:rPr>
        <w:t>Section 2</w:t>
      </w:r>
      <w:r>
        <w:rPr>
          <w:rFonts w:ascii="Arial" w:cs="Arial" w:eastAsia="Arial" w:hAnsi="Arial"/>
          <w:sz w:val="21"/>
          <w:szCs w:val="21"/>
          <w:color w:val="auto"/>
        </w:rPr>
        <w:t>, below, Landlord shall have no obligation to make or pay for any improvements to the Premises.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SECTION 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TENANT IMPROVEMENTS</w:t>
      </w:r>
    </w:p>
    <w:p>
      <w:pPr>
        <w:spacing w:after="0" w:line="105" w:lineRule="exact"/>
        <w:rPr>
          <w:sz w:val="20"/>
          <w:szCs w:val="20"/>
          <w:color w:val="auto"/>
        </w:rPr>
      </w:pPr>
    </w:p>
    <w:p>
      <w:pPr>
        <w:jc w:val="both"/>
        <w:ind w:left="860" w:hanging="787"/>
        <w:spacing w:after="0" w:line="252" w:lineRule="auto"/>
        <w:tabs>
          <w:tab w:leader="none" w:pos="84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20"/>
          <w:szCs w:val="20"/>
          <w:b w:val="1"/>
          <w:bCs w:val="1"/>
          <w:u w:val="single" w:color="auto"/>
          <w:color w:val="auto"/>
        </w:rPr>
        <w:t>Tenant Improvement Allowance</w:t>
      </w:r>
      <w:r>
        <w:rPr>
          <w:rFonts w:ascii="Arial" w:cs="Arial" w:eastAsia="Arial" w:hAnsi="Arial"/>
          <w:sz w:val="20"/>
          <w:szCs w:val="20"/>
          <w:color w:val="auto"/>
        </w:rPr>
        <w:t>. Commencing as of the date upon which Tenant obtains possession of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Expansion Premises (which date may be prior to the Expansion Commencement Date), Tenant shall be entitled to a tenant improvement allowance as follows: (i) for the Expansion Premises in the amount of $2,435,375.00 (i.e., $125.00 per RSF of the Expansion Premises) (the "</w:t>
      </w:r>
      <w:r>
        <w:rPr>
          <w:rFonts w:ascii="Arial" w:cs="Arial" w:eastAsia="Arial" w:hAnsi="Arial"/>
          <w:sz w:val="20"/>
          <w:szCs w:val="20"/>
          <w:b w:val="1"/>
          <w:bCs w:val="1"/>
          <w:color w:val="auto"/>
        </w:rPr>
        <w:t>Expansion Tenant Improvement Allowance</w:t>
      </w:r>
      <w:r>
        <w:rPr>
          <w:rFonts w:ascii="Arial" w:cs="Arial" w:eastAsia="Arial" w:hAnsi="Arial"/>
          <w:sz w:val="20"/>
          <w:szCs w:val="20"/>
          <w:color w:val="auto"/>
        </w:rPr>
        <w:t>"), for the costs relating to the initial design and construction of Tenant's improvements, which are permanently affixed to the Expansion Premises (the "</w:t>
      </w:r>
      <w:r>
        <w:rPr>
          <w:rFonts w:ascii="Arial" w:cs="Arial" w:eastAsia="Arial" w:hAnsi="Arial"/>
          <w:sz w:val="20"/>
          <w:szCs w:val="20"/>
          <w:b w:val="1"/>
          <w:bCs w:val="1"/>
          <w:color w:val="auto"/>
        </w:rPr>
        <w:t>Expansion Tenant Improvements</w:t>
      </w:r>
      <w:r>
        <w:rPr>
          <w:rFonts w:ascii="Arial" w:cs="Arial" w:eastAsia="Arial" w:hAnsi="Arial"/>
          <w:sz w:val="20"/>
          <w:szCs w:val="20"/>
          <w:color w:val="auto"/>
        </w:rPr>
        <w:t xml:space="preserve">") or which are "Tenant Improvement Allowance Items," as that term is defined in </w:t>
      </w:r>
      <w:r>
        <w:rPr>
          <w:rFonts w:ascii="Arial" w:cs="Arial" w:eastAsia="Arial" w:hAnsi="Arial"/>
          <w:sz w:val="20"/>
          <w:szCs w:val="20"/>
          <w:u w:val="single" w:color="auto"/>
          <w:color w:val="auto"/>
        </w:rPr>
        <w:t>Section 2.2.1</w:t>
      </w:r>
      <w:r>
        <w:rPr>
          <w:rFonts w:ascii="Arial" w:cs="Arial" w:eastAsia="Arial" w:hAnsi="Arial"/>
          <w:sz w:val="20"/>
          <w:szCs w:val="20"/>
          <w:color w:val="auto"/>
        </w:rPr>
        <w:t>, below, for the Expansion Premises, and (ii) for the Existing Premises in the amount of $838,320.00 (i.e., $20.00 per RSF of the Existing Premises) (the "</w:t>
      </w:r>
      <w:r>
        <w:rPr>
          <w:rFonts w:ascii="Arial" w:cs="Arial" w:eastAsia="Arial" w:hAnsi="Arial"/>
          <w:sz w:val="20"/>
          <w:szCs w:val="20"/>
          <w:b w:val="1"/>
          <w:bCs w:val="1"/>
          <w:color w:val="auto"/>
        </w:rPr>
        <w:t>Existing Tenant Improvement Allowance</w:t>
      </w:r>
      <w:r>
        <w:rPr>
          <w:rFonts w:ascii="Arial" w:cs="Arial" w:eastAsia="Arial" w:hAnsi="Arial"/>
          <w:sz w:val="20"/>
          <w:szCs w:val="20"/>
          <w:color w:val="auto"/>
        </w:rPr>
        <w:t>"), for the costs relating to the initial design and construction of Tenant's improvements, which are permanently affixed to the Existing Premises (the "</w:t>
      </w:r>
      <w:r>
        <w:rPr>
          <w:rFonts w:ascii="Arial" w:cs="Arial" w:eastAsia="Arial" w:hAnsi="Arial"/>
          <w:sz w:val="20"/>
          <w:szCs w:val="20"/>
          <w:b w:val="1"/>
          <w:bCs w:val="1"/>
          <w:color w:val="auto"/>
        </w:rPr>
        <w:t>Existing Tenant Improvements</w:t>
      </w:r>
      <w:r>
        <w:rPr>
          <w:rFonts w:ascii="Arial" w:cs="Arial" w:eastAsia="Arial" w:hAnsi="Arial"/>
          <w:sz w:val="20"/>
          <w:szCs w:val="20"/>
          <w:color w:val="auto"/>
        </w:rPr>
        <w:t>") or which are Tenant Improvement Allowance Items for the Existing Premises (the Expansion Tenant Improvements and the Existing Tenant Improvements shall collectively be the "</w:t>
      </w:r>
      <w:r>
        <w:rPr>
          <w:rFonts w:ascii="Arial" w:cs="Arial" w:eastAsia="Arial" w:hAnsi="Arial"/>
          <w:sz w:val="20"/>
          <w:szCs w:val="20"/>
          <w:b w:val="1"/>
          <w:bCs w:val="1"/>
          <w:color w:val="auto"/>
        </w:rPr>
        <w:t>Tenant</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Improvements</w:t>
      </w:r>
      <w:r>
        <w:rPr>
          <w:rFonts w:ascii="Arial" w:cs="Arial" w:eastAsia="Arial" w:hAnsi="Arial"/>
          <w:sz w:val="20"/>
          <w:szCs w:val="20"/>
          <w:color w:val="auto"/>
        </w:rPr>
        <w:t>", and the Expansion Tenant Improvement Allowance and the Existing Tenant Improvement Allowance</w:t>
      </w:r>
      <w:r>
        <w:rPr>
          <w:rFonts w:ascii="Arial" w:cs="Arial" w:eastAsia="Arial" w:hAnsi="Arial"/>
          <w:sz w:val="20"/>
          <w:szCs w:val="20"/>
          <w:b w:val="1"/>
          <w:bCs w:val="1"/>
          <w:color w:val="auto"/>
        </w:rPr>
        <w:t xml:space="preserve"> </w:t>
      </w:r>
      <w:r>
        <w:rPr>
          <w:rFonts w:ascii="Arial" w:cs="Arial" w:eastAsia="Arial" w:hAnsi="Arial"/>
          <w:sz w:val="20"/>
          <w:szCs w:val="20"/>
          <w:color w:val="auto"/>
        </w:rPr>
        <w:t>shall collectively be the "</w:t>
      </w:r>
      <w:r>
        <w:rPr>
          <w:rFonts w:ascii="Arial" w:cs="Arial" w:eastAsia="Arial" w:hAnsi="Arial"/>
          <w:sz w:val="20"/>
          <w:szCs w:val="20"/>
          <w:b w:val="1"/>
          <w:bCs w:val="1"/>
          <w:color w:val="auto"/>
        </w:rPr>
        <w:t>Tenant Improvement Allowance</w:t>
      </w:r>
      <w:r>
        <w:rPr>
          <w:rFonts w:ascii="Arial" w:cs="Arial" w:eastAsia="Arial" w:hAnsi="Arial"/>
          <w:sz w:val="20"/>
          <w:szCs w:val="20"/>
          <w:color w:val="auto"/>
        </w:rPr>
        <w:t xml:space="preserve">").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provided, however, Landlord may, by written notice to Tenant given concurrently with Landlord's approval of the "Final Working Drawings", as that term is defined in </w:t>
      </w:r>
      <w:r>
        <w:rPr>
          <w:rFonts w:ascii="Arial" w:cs="Arial" w:eastAsia="Arial" w:hAnsi="Arial"/>
          <w:sz w:val="20"/>
          <w:szCs w:val="20"/>
          <w:u w:val="single" w:color="auto"/>
          <w:color w:val="auto"/>
        </w:rPr>
        <w:t>Section 3.3</w:t>
      </w:r>
      <w:r>
        <w:rPr>
          <w:rFonts w:ascii="Arial" w:cs="Arial" w:eastAsia="Arial" w:hAnsi="Arial"/>
          <w:sz w:val="20"/>
          <w:szCs w:val="20"/>
          <w:color w:val="auto"/>
        </w:rPr>
        <w:t>, below, require Tenant, prior to the end of the Lease Term, or following any earlier termination of the Lease, at Tenant's expense, to remove any Tenant Improvements and to repair any damage to the Premises and Building caused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-1-</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7" w:name="page98"/>
    <w:bookmarkEnd w:id="97"/>
    <w:p>
      <w:pPr>
        <w:jc w:val="both"/>
        <w:ind w:left="860" w:firstLine="798"/>
        <w:spacing w:after="0" w:line="253" w:lineRule="auto"/>
        <w:rPr>
          <w:sz w:val="20"/>
          <w:szCs w:val="20"/>
          <w:color w:val="auto"/>
        </w:rPr>
      </w:pPr>
      <w:r>
        <w:rPr>
          <w:rFonts w:ascii="Arial" w:cs="Arial" w:eastAsia="Arial" w:hAnsi="Arial"/>
          <w:sz w:val="20"/>
          <w:szCs w:val="20"/>
          <w:color w:val="auto"/>
        </w:rPr>
        <w:t>by such removal and return the affected portion of the Premises to the condition in existence prior to the construction of the Tenant Improvements, provided that Landlord hereby acknowledges that Landlord shall not require removal of the Tenant Improvements shown on the preliminary space plan attached hereto as Schedule 1 (the "</w:t>
      </w:r>
      <w:r>
        <w:rPr>
          <w:rFonts w:ascii="Arial" w:cs="Arial" w:eastAsia="Arial" w:hAnsi="Arial"/>
          <w:sz w:val="20"/>
          <w:szCs w:val="20"/>
          <w:b w:val="1"/>
          <w:bCs w:val="1"/>
          <w:color w:val="auto"/>
        </w:rPr>
        <w:t>Preliminary Space Plan</w:t>
      </w:r>
      <w:r>
        <w:rPr>
          <w:rFonts w:ascii="Arial" w:cs="Arial" w:eastAsia="Arial" w:hAnsi="Arial"/>
          <w:sz w:val="20"/>
          <w:szCs w:val="20"/>
          <w:color w:val="auto"/>
        </w:rPr>
        <w:t>"), and accordingly, so long as the Final Space Plan, Final Working Drawings and corresponding Tenant Improvements are consistent with and a logical extension of the Preliminary Space Plan, Landlord shall not require Tenant, whether at the end of the Lease Term, or following any earlier termination of the Lease, to pay for or remove any Tenant Improvements set forth on the Final Working Drawings, to repair any damage to the Premises and Building caused by such removal, or to return the affected portion of the Premises to the condition in existence prior to the construction of the Tenant Improvements. Any portion of the Tenant Improvement Allowance that is not disbursed or allocated for disbursement by the date which is eighteen (18) months following the Expansion Possession Date (subject to extension to the extent of delays resulting from events of Force Majeure (as defined in the Lease), provided that Tenant has delivered notice to Landlord identifying such Force Majeure event), shall revert to Landlord and Tenant shall have no further rights with respect thereto.</w:t>
      </w:r>
    </w:p>
    <w:p>
      <w:pPr>
        <w:spacing w:after="0" w:line="6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9"/>
          <w:szCs w:val="19"/>
          <w:b w:val="1"/>
          <w:bCs w:val="1"/>
          <w:u w:val="single" w:color="auto"/>
          <w:color w:val="auto"/>
        </w:rPr>
        <w:t>Disbursement of the Tenant Improvement Allowance</w:t>
      </w:r>
      <w:r>
        <w:rPr>
          <w:rFonts w:ascii="Arial" w:cs="Arial" w:eastAsia="Arial" w:hAnsi="Arial"/>
          <w:sz w:val="19"/>
          <w:szCs w:val="19"/>
          <w:color w:val="auto"/>
        </w:rPr>
        <w:t>.</w:t>
      </w:r>
    </w:p>
    <w:p>
      <w:pPr>
        <w:spacing w:after="0" w:line="105"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1"/>
          <w:szCs w:val="21"/>
          <w:color w:val="auto"/>
        </w:rPr>
        <w:t xml:space="preserve">2.2.1 </w:t>
      </w:r>
      <w:r>
        <w:rPr>
          <w:rFonts w:ascii="Arial" w:cs="Arial" w:eastAsia="Arial" w:hAnsi="Arial"/>
          <w:sz w:val="21"/>
          <w:szCs w:val="21"/>
          <w:b w:val="1"/>
          <w:bCs w:val="1"/>
          <w:u w:val="single" w:color="auto"/>
          <w:color w:val="auto"/>
        </w:rPr>
        <w:t>Tenant Improvement Allowance Items</w:t>
      </w:r>
      <w:r>
        <w:rPr>
          <w:rFonts w:ascii="Arial" w:cs="Arial" w:eastAsia="Arial" w:hAnsi="Arial"/>
          <w:sz w:val="21"/>
          <w:szCs w:val="21"/>
          <w:color w:val="auto"/>
        </w:rPr>
        <w:t>. Except as otherwise set forth in this Tenant Work Letter, the Tenant Improvement Allowance shall be disbursed by Landlord only for the following items and costs (collectively the "</w:t>
      </w:r>
      <w:r>
        <w:rPr>
          <w:rFonts w:ascii="Arial" w:cs="Arial" w:eastAsia="Arial" w:hAnsi="Arial"/>
          <w:sz w:val="21"/>
          <w:szCs w:val="21"/>
          <w:b w:val="1"/>
          <w:bCs w:val="1"/>
          <w:color w:val="auto"/>
        </w:rPr>
        <w:t>Tenant Improvement Allowance Items</w:t>
      </w:r>
      <w:r>
        <w:rPr>
          <w:rFonts w:ascii="Arial" w:cs="Arial" w:eastAsia="Arial" w:hAnsi="Arial"/>
          <w:sz w:val="21"/>
          <w:szCs w:val="21"/>
          <w:color w:val="auto"/>
        </w:rPr>
        <w:t>"):</w:t>
      </w:r>
    </w:p>
    <w:p>
      <w:pPr>
        <w:spacing w:after="0" w:line="60" w:lineRule="exact"/>
        <w:rPr>
          <w:sz w:val="20"/>
          <w:szCs w:val="20"/>
          <w:color w:val="auto"/>
        </w:rPr>
      </w:pPr>
    </w:p>
    <w:p>
      <w:pPr>
        <w:jc w:val="both"/>
        <w:ind w:firstLine="2593"/>
        <w:spacing w:after="0" w:line="248" w:lineRule="auto"/>
        <w:rPr>
          <w:sz w:val="20"/>
          <w:szCs w:val="20"/>
          <w:color w:val="auto"/>
        </w:rPr>
      </w:pPr>
      <w:r>
        <w:rPr>
          <w:rFonts w:ascii="Arial" w:cs="Arial" w:eastAsia="Arial" w:hAnsi="Arial"/>
          <w:sz w:val="21"/>
          <w:szCs w:val="21"/>
          <w:color w:val="auto"/>
        </w:rPr>
        <w:t xml:space="preserve">2.2.1.1 Payment of all reasonable fees of the "Architect" and the "Engineers," as those terms are defined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of this Tenant Work Letter, project management fees, and payment of the fees incurred by, and the cost of documents and materials supplied by, Landlord and Landlord's consultants in connection with the preparation and review of the "Construction Drawings," as that term is defined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of this Tenant Work Letter;</w:t>
      </w:r>
    </w:p>
    <w:p>
      <w:pPr>
        <w:spacing w:after="0" w:line="68" w:lineRule="exact"/>
        <w:rPr>
          <w:sz w:val="20"/>
          <w:szCs w:val="20"/>
          <w:color w:val="auto"/>
        </w:rPr>
      </w:pPr>
    </w:p>
    <w:p>
      <w:pPr>
        <w:ind w:left="2600"/>
        <w:spacing w:after="0"/>
        <w:tabs>
          <w:tab w:leader="none" w:pos="3800" w:val="left"/>
        </w:tabs>
        <w:rPr>
          <w:sz w:val="20"/>
          <w:szCs w:val="20"/>
          <w:color w:val="auto"/>
        </w:rPr>
      </w:pPr>
      <w:r>
        <w:rPr>
          <w:rFonts w:ascii="Arial" w:cs="Arial" w:eastAsia="Arial" w:hAnsi="Arial"/>
          <w:sz w:val="21"/>
          <w:szCs w:val="21"/>
          <w:color w:val="auto"/>
        </w:rPr>
        <w:t>2.2.1.2</w:t>
      </w:r>
      <w:r>
        <w:rPr>
          <w:sz w:val="20"/>
          <w:szCs w:val="20"/>
          <w:color w:val="auto"/>
        </w:rPr>
        <w:tab/>
      </w:r>
      <w:r>
        <w:rPr>
          <w:rFonts w:ascii="Arial" w:cs="Arial" w:eastAsia="Arial" w:hAnsi="Arial"/>
          <w:sz w:val="20"/>
          <w:szCs w:val="20"/>
          <w:color w:val="auto"/>
        </w:rPr>
        <w:t>The payment of plan check, permit and license fees relating to construction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Tenant Improvements;</w:t>
      </w:r>
    </w:p>
    <w:p>
      <w:pPr>
        <w:spacing w:after="0" w:line="87" w:lineRule="exact"/>
        <w:rPr>
          <w:sz w:val="20"/>
          <w:szCs w:val="20"/>
          <w:color w:val="auto"/>
        </w:rPr>
      </w:pPr>
    </w:p>
    <w:p>
      <w:pPr>
        <w:ind w:left="2600"/>
        <w:spacing w:after="0"/>
        <w:tabs>
          <w:tab w:leader="none" w:pos="3800" w:val="left"/>
        </w:tabs>
        <w:rPr>
          <w:sz w:val="20"/>
          <w:szCs w:val="20"/>
          <w:color w:val="auto"/>
        </w:rPr>
      </w:pPr>
      <w:r>
        <w:rPr>
          <w:rFonts w:ascii="Arial" w:cs="Arial" w:eastAsia="Arial" w:hAnsi="Arial"/>
          <w:sz w:val="21"/>
          <w:szCs w:val="21"/>
          <w:color w:val="auto"/>
        </w:rPr>
        <w:t>2.2.1.3</w:t>
      </w:r>
      <w:r>
        <w:rPr>
          <w:sz w:val="20"/>
          <w:szCs w:val="20"/>
          <w:color w:val="auto"/>
        </w:rPr>
        <w:tab/>
      </w:r>
      <w:r>
        <w:rPr>
          <w:rFonts w:ascii="Arial" w:cs="Arial" w:eastAsia="Arial" w:hAnsi="Arial"/>
          <w:sz w:val="21"/>
          <w:szCs w:val="21"/>
          <w:color w:val="auto"/>
        </w:rPr>
        <w:t>The payment for all demolition and removal of existing improvements in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Premises;</w:t>
      </w:r>
    </w:p>
    <w:p>
      <w:pPr>
        <w:spacing w:after="0" w:line="87" w:lineRule="exact"/>
        <w:rPr>
          <w:sz w:val="20"/>
          <w:szCs w:val="20"/>
          <w:color w:val="auto"/>
        </w:rPr>
      </w:pPr>
    </w:p>
    <w:p>
      <w:pPr>
        <w:jc w:val="both"/>
        <w:ind w:firstLine="2593"/>
        <w:spacing w:after="0" w:line="245" w:lineRule="auto"/>
        <w:rPr>
          <w:sz w:val="20"/>
          <w:szCs w:val="20"/>
          <w:color w:val="auto"/>
        </w:rPr>
      </w:pPr>
      <w:r>
        <w:rPr>
          <w:rFonts w:ascii="Arial" w:cs="Arial" w:eastAsia="Arial" w:hAnsi="Arial"/>
          <w:sz w:val="21"/>
          <w:szCs w:val="21"/>
          <w:color w:val="auto"/>
        </w:rPr>
        <w:t>2.2.1.4 The cost of construction of the Tenant Improvements, including, without limitation, testing and inspection costs, costs incurred for removal of existing furniture, fixtures or equipment in the Premises, hoisting and trash removal costs, costs to purchase and install in the Premises equipment customarily incorporated into laboratory improvements or laboratory utility systems, including, without limitation, UPS, DI Systems, boilers, air compressors, glass/cage washers and autoclaves, painting, and contractors' fees and general conditions;</w:t>
      </w:r>
    </w:p>
    <w:p>
      <w:pPr>
        <w:spacing w:after="0" w:line="73" w:lineRule="exact"/>
        <w:rPr>
          <w:sz w:val="20"/>
          <w:szCs w:val="20"/>
          <w:color w:val="auto"/>
        </w:rPr>
      </w:pPr>
    </w:p>
    <w:p>
      <w:pPr>
        <w:jc w:val="both"/>
        <w:ind w:firstLine="2593"/>
        <w:spacing w:after="0" w:line="272" w:lineRule="auto"/>
        <w:rPr>
          <w:sz w:val="20"/>
          <w:szCs w:val="20"/>
          <w:color w:val="auto"/>
        </w:rPr>
      </w:pPr>
      <w:r>
        <w:rPr>
          <w:rFonts w:ascii="Arial" w:cs="Arial" w:eastAsia="Arial" w:hAnsi="Arial"/>
          <w:sz w:val="20"/>
          <w:szCs w:val="20"/>
          <w:color w:val="auto"/>
        </w:rPr>
        <w:t>2.2.1.5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44" w:lineRule="exact"/>
        <w:rPr>
          <w:sz w:val="20"/>
          <w:szCs w:val="20"/>
          <w:color w:val="auto"/>
        </w:rPr>
      </w:pPr>
    </w:p>
    <w:p>
      <w:pPr>
        <w:jc w:val="both"/>
        <w:ind w:right="20" w:firstLine="2593"/>
        <w:spacing w:after="0" w:line="268" w:lineRule="auto"/>
        <w:rPr>
          <w:sz w:val="20"/>
          <w:szCs w:val="20"/>
          <w:color w:val="auto"/>
        </w:rPr>
      </w:pPr>
      <w:r>
        <w:rPr>
          <w:rFonts w:ascii="Arial" w:cs="Arial" w:eastAsia="Arial" w:hAnsi="Arial"/>
          <w:sz w:val="21"/>
          <w:szCs w:val="21"/>
          <w:color w:val="auto"/>
        </w:rPr>
        <w:t>2.2.1.6 The cost of any changes to the Construction Drawings or Tenant Improvements required by all applicable building codes (the "</w:t>
      </w:r>
      <w:r>
        <w:rPr>
          <w:rFonts w:ascii="Arial" w:cs="Arial" w:eastAsia="Arial" w:hAnsi="Arial"/>
          <w:sz w:val="21"/>
          <w:szCs w:val="21"/>
          <w:b w:val="1"/>
          <w:bCs w:val="1"/>
          <w:color w:val="auto"/>
        </w:rPr>
        <w:t>Code</w:t>
      </w:r>
      <w:r>
        <w:rPr>
          <w:rFonts w:ascii="Arial" w:cs="Arial" w:eastAsia="Arial" w:hAnsi="Arial"/>
          <w:sz w:val="21"/>
          <w:szCs w:val="21"/>
          <w:color w:val="auto"/>
        </w:rPr>
        <w:t>");</w:t>
      </w:r>
    </w:p>
    <w:p>
      <w:pPr>
        <w:spacing w:after="0" w:line="47" w:lineRule="exact"/>
        <w:rPr>
          <w:sz w:val="20"/>
          <w:szCs w:val="20"/>
          <w:color w:val="auto"/>
        </w:rPr>
      </w:pPr>
    </w:p>
    <w:p>
      <w:pPr>
        <w:ind w:left="2600"/>
        <w:spacing w:after="0"/>
        <w:tabs>
          <w:tab w:leader="none" w:pos="3800" w:val="left"/>
        </w:tabs>
        <w:rPr>
          <w:sz w:val="20"/>
          <w:szCs w:val="20"/>
          <w:color w:val="auto"/>
        </w:rPr>
      </w:pPr>
      <w:r>
        <w:rPr>
          <w:rFonts w:ascii="Arial" w:cs="Arial" w:eastAsia="Arial" w:hAnsi="Arial"/>
          <w:sz w:val="21"/>
          <w:szCs w:val="21"/>
          <w:color w:val="auto"/>
        </w:rPr>
        <w:t>2.2.1.7</w:t>
      </w:r>
      <w:r>
        <w:rPr>
          <w:sz w:val="20"/>
          <w:szCs w:val="20"/>
          <w:color w:val="auto"/>
        </w:rPr>
        <w:tab/>
      </w:r>
      <w:r>
        <w:rPr>
          <w:rFonts w:ascii="Arial" w:cs="Arial" w:eastAsia="Arial" w:hAnsi="Arial"/>
          <w:sz w:val="18"/>
          <w:szCs w:val="18"/>
          <w:color w:val="auto"/>
        </w:rPr>
        <w:t>Sales and use taxes;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98" w:name="page99"/>
    <w:bookmarkEnd w:id="98"/>
    <w:p>
      <w:pPr>
        <w:jc w:val="both"/>
        <w:ind w:firstLine="2593"/>
        <w:spacing w:after="0" w:line="253" w:lineRule="auto"/>
        <w:rPr>
          <w:sz w:val="20"/>
          <w:szCs w:val="20"/>
          <w:color w:val="auto"/>
        </w:rPr>
      </w:pPr>
      <w:r>
        <w:rPr>
          <w:rFonts w:ascii="Arial" w:cs="Arial" w:eastAsia="Arial" w:hAnsi="Arial"/>
          <w:sz w:val="21"/>
          <w:szCs w:val="21"/>
          <w:color w:val="auto"/>
        </w:rPr>
        <w:t xml:space="preserve">2.2.1.8 Subject to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above, all other actual out-of-pocket costs expended by Landlord in connection with the construction of the Tenant Improvements, including, without limitation, costs expended by Landlord pursuant to </w:t>
      </w:r>
      <w:r>
        <w:rPr>
          <w:rFonts w:ascii="Arial" w:cs="Arial" w:eastAsia="Arial" w:hAnsi="Arial"/>
          <w:sz w:val="21"/>
          <w:szCs w:val="21"/>
          <w:u w:val="single" w:color="auto"/>
          <w:color w:val="auto"/>
        </w:rPr>
        <w:t>Section 4.1.1</w:t>
      </w:r>
      <w:r>
        <w:rPr>
          <w:rFonts w:ascii="Arial" w:cs="Arial" w:eastAsia="Arial" w:hAnsi="Arial"/>
          <w:sz w:val="21"/>
          <w:szCs w:val="21"/>
          <w:color w:val="auto"/>
        </w:rPr>
        <w:t xml:space="preserve"> of this Tenant Work Letter, below.</w:t>
      </w:r>
    </w:p>
    <w:p>
      <w:pPr>
        <w:spacing w:after="0" w:line="63"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In no event shall the Tenant Improvement Allowance be used to pay for anything that is Landlord’s responsibility pursuant to the Lease (as amended by the Second Amendment), with the understanding that any such costs shall be borne by Landlord and shall not make a deduction from the Tenant Improvement Allowance or charge such items as Additional Rent or Operating Expenses.</w:t>
      </w:r>
    </w:p>
    <w:p>
      <w:pPr>
        <w:spacing w:after="0" w:line="62" w:lineRule="exact"/>
        <w:rPr>
          <w:sz w:val="20"/>
          <w:szCs w:val="20"/>
          <w:color w:val="auto"/>
        </w:rPr>
      </w:pPr>
    </w:p>
    <w:p>
      <w:pPr>
        <w:jc w:val="both"/>
        <w:ind w:firstLine="1728"/>
        <w:spacing w:after="0" w:line="275" w:lineRule="auto"/>
        <w:rPr>
          <w:sz w:val="20"/>
          <w:szCs w:val="20"/>
          <w:color w:val="auto"/>
        </w:rPr>
      </w:pPr>
      <w:r>
        <w:rPr>
          <w:rFonts w:ascii="Arial" w:cs="Arial" w:eastAsia="Arial" w:hAnsi="Arial"/>
          <w:sz w:val="20"/>
          <w:szCs w:val="20"/>
          <w:color w:val="auto"/>
        </w:rPr>
        <w:t xml:space="preserve">2.2.2 </w:t>
      </w:r>
      <w:r>
        <w:rPr>
          <w:rFonts w:ascii="Arial" w:cs="Arial" w:eastAsia="Arial" w:hAnsi="Arial"/>
          <w:sz w:val="20"/>
          <w:szCs w:val="20"/>
          <w:b w:val="1"/>
          <w:bCs w:val="1"/>
          <w:u w:val="single" w:color="auto"/>
          <w:color w:val="auto"/>
        </w:rPr>
        <w:t>Disbursement of Tenant Improvement Allowance</w:t>
      </w:r>
      <w:r>
        <w:rPr>
          <w:rFonts w:ascii="Arial" w:cs="Arial" w:eastAsia="Arial" w:hAnsi="Arial"/>
          <w:sz w:val="20"/>
          <w:szCs w:val="20"/>
          <w:color w:val="auto"/>
        </w:rPr>
        <w:t>.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spacing w:after="0" w:line="36" w:lineRule="exact"/>
        <w:rPr>
          <w:sz w:val="20"/>
          <w:szCs w:val="20"/>
          <w:color w:val="auto"/>
        </w:rPr>
      </w:pPr>
    </w:p>
    <w:p>
      <w:pPr>
        <w:jc w:val="both"/>
        <w:ind w:firstLine="2593"/>
        <w:spacing w:after="0" w:line="253" w:lineRule="auto"/>
        <w:rPr>
          <w:sz w:val="20"/>
          <w:szCs w:val="20"/>
          <w:color w:val="auto"/>
        </w:rPr>
      </w:pPr>
      <w:r>
        <w:rPr>
          <w:rFonts w:ascii="Arial" w:cs="Arial" w:eastAsia="Arial" w:hAnsi="Arial"/>
          <w:sz w:val="20"/>
          <w:szCs w:val="20"/>
          <w:color w:val="auto"/>
        </w:rPr>
        <w:t xml:space="preserve">2.2.2.1 </w:t>
      </w:r>
      <w:r>
        <w:rPr>
          <w:rFonts w:ascii="Arial" w:cs="Arial" w:eastAsia="Arial" w:hAnsi="Arial"/>
          <w:sz w:val="20"/>
          <w:szCs w:val="20"/>
          <w:b w:val="1"/>
          <w:bCs w:val="1"/>
          <w:u w:val="single" w:color="auto"/>
          <w:color w:val="auto"/>
        </w:rPr>
        <w:t>Monthly Disbursements</w:t>
      </w:r>
      <w:r>
        <w:rPr>
          <w:rFonts w:ascii="Arial" w:cs="Arial" w:eastAsia="Arial" w:hAnsi="Arial"/>
          <w:sz w:val="20"/>
          <w:szCs w:val="20"/>
          <w:color w:val="auto"/>
        </w:rPr>
        <w:t>. On or before the fifth (5</w:t>
      </w:r>
      <w:r>
        <w:rPr>
          <w:rFonts w:ascii="Arial" w:cs="Arial" w:eastAsia="Arial" w:hAnsi="Arial"/>
          <w:sz w:val="17"/>
          <w:szCs w:val="17"/>
          <w:color w:val="auto"/>
        </w:rPr>
        <w:t>th</w:t>
      </w:r>
      <w:r>
        <w:rPr>
          <w:rFonts w:ascii="Arial" w:cs="Arial" w:eastAsia="Arial" w:hAnsi="Arial"/>
          <w:sz w:val="20"/>
          <w:szCs w:val="20"/>
          <w:color w:val="auto"/>
        </w:rPr>
        <w:t xml:space="preserve">) day of each calendar month, during the design and construction of the Tenant Improvements (or such other date as Landlord may designate), Tenant shall deliver to Landlord: (i) a request for reimbursement of amounts paid to the "Contractor," as that term is defined in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of this Tenant Work Letter, approved by Tenant, in a form to be provided by Landlord, showing the schedule, by trade, of percentage of completion of the Tenant Improvements in the Premises, detailing the portion of the work completed and the portion not completed; (ii) invoices from all of "Tenant's Agents," as that term is defined in </w:t>
      </w:r>
      <w:r>
        <w:rPr>
          <w:rFonts w:ascii="Arial" w:cs="Arial" w:eastAsia="Arial" w:hAnsi="Arial"/>
          <w:sz w:val="20"/>
          <w:szCs w:val="20"/>
          <w:u w:val="single" w:color="auto"/>
          <w:color w:val="auto"/>
        </w:rPr>
        <w:t>Section 4.1.2</w:t>
      </w:r>
      <w:r>
        <w:rPr>
          <w:rFonts w:ascii="Arial" w:cs="Arial" w:eastAsia="Arial" w:hAnsi="Arial"/>
          <w:sz w:val="20"/>
          <w:szCs w:val="20"/>
          <w:color w:val="auto"/>
        </w:rPr>
        <w:t xml:space="preserve"> of this Tenant Work Letter, for labor rendered and materials for the Premises; (iii) executed mechanic's lien releases, as applicable, from all of Tenant's Agents which shall comply with the appropriate provisions, as reasonably determined by Landlord, of California Civil Code Sections 8132, 8134, 8136 and 8138; and (iv) all other information reasonably requested by Landlord. Tenant's request for payment shall be deemed Tenant's acceptance and approval of the work furnished and/or the materials supplied as set forth in Tenant's payment request. Within forty-five (45) days thereafter, Landlord shall deliver a check to Tenant made payable to Tenant in payment of the lesser of: (A) the amounts so requested by Tenant as set forth in this </w:t>
      </w:r>
      <w:r>
        <w:rPr>
          <w:rFonts w:ascii="Arial" w:cs="Arial" w:eastAsia="Arial" w:hAnsi="Arial"/>
          <w:sz w:val="20"/>
          <w:szCs w:val="20"/>
          <w:u w:val="single" w:color="auto"/>
          <w:color w:val="auto"/>
        </w:rPr>
        <w:t>Section 2.2.3.1</w:t>
      </w:r>
      <w:r>
        <w:rPr>
          <w:rFonts w:ascii="Arial" w:cs="Arial" w:eastAsia="Arial" w:hAnsi="Arial"/>
          <w:sz w:val="20"/>
          <w:szCs w:val="20"/>
          <w:color w:val="auto"/>
        </w:rPr>
        <w:t xml:space="preserve">, above (or, subject to the terms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4.2.1</w:t>
      </w:r>
      <w:r>
        <w:rPr>
          <w:rFonts w:ascii="Arial" w:cs="Arial" w:eastAsia="Arial" w:hAnsi="Arial"/>
          <w:sz w:val="20"/>
          <w:szCs w:val="20"/>
          <w:color w:val="auto"/>
        </w:rPr>
        <w:t xml:space="preserve">, below, a percentage thereof), and (B) the balance of any remaining available portion of the Tenant Improvement Allowance provided that Landlord does not dispute any request for payment based on non-compliance of any work with the "Approved Working Drawings," as that term is defined in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63" w:lineRule="exact"/>
        <w:rPr>
          <w:sz w:val="20"/>
          <w:szCs w:val="20"/>
          <w:color w:val="auto"/>
        </w:rPr>
      </w:pPr>
    </w:p>
    <w:p>
      <w:pPr>
        <w:jc w:val="both"/>
        <w:ind w:firstLine="2593"/>
        <w:spacing w:after="0" w:line="247" w:lineRule="auto"/>
        <w:rPr>
          <w:sz w:val="20"/>
          <w:szCs w:val="20"/>
          <w:color w:val="auto"/>
        </w:rPr>
      </w:pPr>
      <w:r>
        <w:rPr>
          <w:rFonts w:ascii="Arial" w:cs="Arial" w:eastAsia="Arial" w:hAnsi="Arial"/>
          <w:sz w:val="21"/>
          <w:szCs w:val="21"/>
          <w:color w:val="auto"/>
        </w:rPr>
        <w:t xml:space="preserve">2.2.2.2 </w:t>
      </w:r>
      <w:r>
        <w:rPr>
          <w:rFonts w:ascii="Arial" w:cs="Arial" w:eastAsia="Arial" w:hAnsi="Arial"/>
          <w:sz w:val="21"/>
          <w:szCs w:val="21"/>
          <w:b w:val="1"/>
          <w:bCs w:val="1"/>
          <w:u w:val="single" w:color="auto"/>
          <w:color w:val="auto"/>
        </w:rPr>
        <w:t>Final Deliveries</w:t>
      </w:r>
      <w:r>
        <w:rPr>
          <w:rFonts w:ascii="Arial" w:cs="Arial" w:eastAsia="Arial" w:hAnsi="Arial"/>
          <w:sz w:val="21"/>
          <w:szCs w:val="21"/>
          <w:color w:val="auto"/>
        </w:rPr>
        <w:t xml:space="preserve">. Following the completion of construction of the Tenant Improvements, Tenant shall deliver to Landlord properly executed final mechanic's lien releases in compliance with both California Civil Code Section 8134 and either Section 8136 or Section 8138 from all of Tenant's Agents, and a certificate certifying that the construction of the Tenant Improvements in the Premises has been substantially completed. Tenant shall record a valid Notice of Completion in accordance with the requirements of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of this Tenant Work Letter.</w:t>
      </w:r>
    </w:p>
    <w:p>
      <w:pPr>
        <w:spacing w:after="0" w:line="63" w:lineRule="exact"/>
        <w:rPr>
          <w:sz w:val="20"/>
          <w:szCs w:val="20"/>
          <w:color w:val="auto"/>
        </w:rPr>
      </w:pPr>
    </w:p>
    <w:p>
      <w:pPr>
        <w:jc w:val="both"/>
        <w:ind w:firstLine="2593"/>
        <w:spacing w:after="0" w:line="274" w:lineRule="auto"/>
        <w:rPr>
          <w:sz w:val="20"/>
          <w:szCs w:val="20"/>
          <w:color w:val="auto"/>
        </w:rPr>
      </w:pPr>
      <w:r>
        <w:rPr>
          <w:rFonts w:ascii="Arial" w:cs="Arial" w:eastAsia="Arial" w:hAnsi="Arial"/>
          <w:sz w:val="21"/>
          <w:szCs w:val="21"/>
          <w:color w:val="auto"/>
        </w:rPr>
        <w:t xml:space="preserve">2.2.2.3 </w:t>
      </w:r>
      <w:r>
        <w:rPr>
          <w:rFonts w:ascii="Arial" w:cs="Arial" w:eastAsia="Arial" w:hAnsi="Arial"/>
          <w:sz w:val="21"/>
          <w:szCs w:val="21"/>
          <w:b w:val="1"/>
          <w:bCs w:val="1"/>
          <w:u w:val="single" w:color="auto"/>
          <w:color w:val="auto"/>
        </w:rPr>
        <w:t>Other Terms</w:t>
      </w:r>
      <w:r>
        <w:rPr>
          <w:rFonts w:ascii="Arial" w:cs="Arial" w:eastAsia="Arial" w:hAnsi="Arial"/>
          <w:sz w:val="21"/>
          <w:szCs w:val="21"/>
          <w:color w:val="auto"/>
        </w:rPr>
        <w:t>. Landlord shall only be obligated to make disbursements from the Tenant Improvement Allowance to the extent costs are incurred by Tenant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-3-</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99" w:name="page100"/>
    <w:bookmarkEnd w:id="99"/>
    <w:p>
      <w:pPr>
        <w:ind w:right="20"/>
        <w:spacing w:after="0" w:line="268" w:lineRule="auto"/>
        <w:rPr>
          <w:sz w:val="20"/>
          <w:szCs w:val="20"/>
          <w:color w:val="auto"/>
        </w:rPr>
      </w:pPr>
      <w:r>
        <w:rPr>
          <w:rFonts w:ascii="Arial" w:cs="Arial" w:eastAsia="Arial" w:hAnsi="Arial"/>
          <w:sz w:val="21"/>
          <w:szCs w:val="21"/>
          <w:color w:val="auto"/>
        </w:rPr>
        <w:t>for Tenant Improvement Allowance Items. All Tenant Improvement Allowance Items for which the Tenant Improvement Allowance have been made available shall be deemed Landlord's property under the terms of the Lease.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jc w:val="right"/>
              <w:ind w:right="171"/>
              <w:spacing w:after="0"/>
              <w:rPr>
                <w:sz w:val="20"/>
                <w:szCs w:val="20"/>
                <w:color w:val="auto"/>
              </w:rPr>
            </w:pPr>
            <w:r>
              <w:rPr>
                <w:rFonts w:ascii="Arial" w:cs="Arial" w:eastAsia="Arial" w:hAnsi="Arial"/>
                <w:sz w:val="21"/>
                <w:szCs w:val="21"/>
                <w:color w:val="auto"/>
              </w:rPr>
              <w:t>2.4</w:t>
            </w:r>
          </w:p>
        </w:tc>
        <w:tc>
          <w:tcPr>
            <w:tcW w:w="1060" w:type="dxa"/>
            <w:vAlign w:val="bottom"/>
          </w:tcPr>
          <w:p>
            <w:pPr>
              <w:spacing w:after="0"/>
              <w:rPr>
                <w:sz w:val="21"/>
                <w:szCs w:val="21"/>
                <w:color w:val="auto"/>
              </w:rPr>
            </w:pPr>
          </w:p>
        </w:tc>
        <w:tc>
          <w:tcPr>
            <w:tcW w:w="9600" w:type="dxa"/>
            <w:vAlign w:val="bottom"/>
            <w:gridSpan w:val="10"/>
          </w:tcPr>
          <w:p>
            <w:pPr>
              <w:spacing w:after="0"/>
              <w:rPr>
                <w:sz w:val="20"/>
                <w:szCs w:val="20"/>
                <w:color w:val="auto"/>
              </w:rPr>
            </w:pPr>
            <w:r>
              <w:rPr>
                <w:rFonts w:ascii="Arial" w:cs="Arial" w:eastAsia="Arial" w:hAnsi="Arial"/>
                <w:sz w:val="21"/>
                <w:szCs w:val="21"/>
                <w:b w:val="1"/>
                <w:bCs w:val="1"/>
                <w:color w:val="auto"/>
                <w:w w:val="94"/>
              </w:rPr>
              <w:t>Building Standards</w:t>
            </w:r>
            <w:r>
              <w:rPr>
                <w:rFonts w:ascii="Arial" w:cs="Arial" w:eastAsia="Arial" w:hAnsi="Arial"/>
                <w:sz w:val="21"/>
                <w:szCs w:val="21"/>
                <w:color w:val="auto"/>
                <w:w w:val="94"/>
              </w:rPr>
              <w:t>. The quality of Tenant Improvements shall be in keeping with the existing improvements</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0" w:type="dxa"/>
            <w:vAlign w:val="bottom"/>
          </w:tcPr>
          <w:p>
            <w:pPr>
              <w:spacing w:after="0"/>
              <w:rPr>
                <w:sz w:val="23"/>
                <w:szCs w:val="23"/>
                <w:color w:val="auto"/>
              </w:rPr>
            </w:pPr>
          </w:p>
        </w:tc>
        <w:tc>
          <w:tcPr>
            <w:tcW w:w="4460" w:type="dxa"/>
            <w:vAlign w:val="bottom"/>
            <w:gridSpan w:val="8"/>
          </w:tcPr>
          <w:p>
            <w:pPr>
              <w:ind w:left="260"/>
              <w:spacing w:after="0"/>
              <w:rPr>
                <w:sz w:val="20"/>
                <w:szCs w:val="20"/>
                <w:color w:val="auto"/>
              </w:rPr>
            </w:pPr>
            <w:r>
              <w:rPr>
                <w:rFonts w:ascii="Arial" w:cs="Arial" w:eastAsia="Arial" w:hAnsi="Arial"/>
                <w:sz w:val="21"/>
                <w:szCs w:val="21"/>
                <w:color w:val="auto"/>
              </w:rPr>
              <w:t>in the Premises.</w:t>
            </w:r>
          </w:p>
        </w:tc>
        <w:tc>
          <w:tcPr>
            <w:tcW w:w="1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2"/>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0" w:type="dxa"/>
            <w:vAlign w:val="bottom"/>
            <w:gridSpan w:val="3"/>
          </w:tcPr>
          <w:p>
            <w:pPr>
              <w:jc w:val="center"/>
              <w:ind w:right="5080"/>
              <w:spacing w:after="0"/>
              <w:rPr>
                <w:sz w:val="20"/>
                <w:szCs w:val="20"/>
                <w:color w:val="auto"/>
              </w:rPr>
            </w:pPr>
            <w:r>
              <w:rPr>
                <w:rFonts w:ascii="Arial" w:cs="Arial" w:eastAsia="Arial" w:hAnsi="Arial"/>
                <w:sz w:val="21"/>
                <w:szCs w:val="21"/>
                <w:b w:val="1"/>
                <w:bCs w:val="1"/>
                <w:color w:val="auto"/>
              </w:rPr>
              <w:t>SECTION 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20" w:type="dxa"/>
            <w:vAlign w:val="bottom"/>
            <w:gridSpan w:val="4"/>
          </w:tcPr>
          <w:p>
            <w:pPr>
              <w:jc w:val="center"/>
              <w:ind w:right="4160"/>
              <w:spacing w:after="0"/>
              <w:rPr>
                <w:sz w:val="20"/>
                <w:szCs w:val="20"/>
                <w:color w:val="auto"/>
              </w:rPr>
            </w:pPr>
            <w:r>
              <w:rPr>
                <w:rFonts w:ascii="Arial" w:cs="Arial" w:eastAsia="Arial" w:hAnsi="Arial"/>
                <w:sz w:val="21"/>
                <w:szCs w:val="21"/>
                <w:b w:val="1"/>
                <w:bCs w:val="1"/>
                <w:color w:val="auto"/>
              </w:rPr>
              <w:t>CONSTRUCTION DRAWINGS</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00" w:type="dxa"/>
            <w:vAlign w:val="bottom"/>
          </w:tcPr>
          <w:p>
            <w:pPr>
              <w:jc w:val="right"/>
              <w:ind w:right="171"/>
              <w:spacing w:after="0"/>
              <w:rPr>
                <w:sz w:val="20"/>
                <w:szCs w:val="20"/>
                <w:color w:val="auto"/>
              </w:rPr>
            </w:pPr>
            <w:r>
              <w:rPr>
                <w:rFonts w:ascii="Arial" w:cs="Arial" w:eastAsia="Arial" w:hAnsi="Arial"/>
                <w:sz w:val="21"/>
                <w:szCs w:val="21"/>
                <w:color w:val="auto"/>
              </w:rPr>
              <w:t>3.1</w:t>
            </w:r>
          </w:p>
        </w:tc>
        <w:tc>
          <w:tcPr>
            <w:tcW w:w="106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Arial" w:cs="Arial" w:eastAsia="Arial" w:hAnsi="Arial"/>
                <w:sz w:val="21"/>
                <w:szCs w:val="21"/>
                <w:b w:val="1"/>
                <w:bCs w:val="1"/>
                <w:color w:val="auto"/>
                <w:w w:val="91"/>
              </w:rPr>
              <w:t>Selection of Architect</w:t>
            </w:r>
            <w:r>
              <w:rPr>
                <w:rFonts w:ascii="Arial" w:cs="Arial" w:eastAsia="Arial" w:hAnsi="Arial"/>
                <w:sz w:val="21"/>
                <w:szCs w:val="21"/>
                <w:color w:val="auto"/>
                <w:w w:val="91"/>
              </w:rPr>
              <w:t>. Tenant shall retain an architect/space planner (the "</w:t>
            </w:r>
            <w:r>
              <w:rPr>
                <w:rFonts w:ascii="Arial" w:cs="Arial" w:eastAsia="Arial" w:hAnsi="Arial"/>
                <w:sz w:val="21"/>
                <w:szCs w:val="21"/>
                <w:b w:val="1"/>
                <w:bCs w:val="1"/>
                <w:color w:val="auto"/>
                <w:w w:val="91"/>
              </w:rPr>
              <w:t>Architect</w:t>
            </w:r>
            <w:r>
              <w:rPr>
                <w:rFonts w:ascii="Arial" w:cs="Arial" w:eastAsia="Arial" w:hAnsi="Arial"/>
                <w:sz w:val="21"/>
                <w:szCs w:val="21"/>
                <w:color w:val="auto"/>
                <w:w w:val="91"/>
              </w:rPr>
              <w:t>") approved in advance by</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0" w:type="dxa"/>
            <w:vAlign w:val="bottom"/>
          </w:tcPr>
          <w:p>
            <w:pPr>
              <w:spacing w:after="0"/>
              <w:rPr>
                <w:sz w:val="20"/>
                <w:szCs w:val="20"/>
                <w:color w:val="auto"/>
              </w:rPr>
            </w:pPr>
          </w:p>
        </w:tc>
        <w:tc>
          <w:tcPr>
            <w:tcW w:w="10660" w:type="dxa"/>
            <w:vAlign w:val="bottom"/>
            <w:gridSpan w:val="11"/>
          </w:tcPr>
          <w:p>
            <w:pPr>
              <w:ind w:left="260"/>
              <w:spacing w:after="0" w:line="238" w:lineRule="exact"/>
              <w:rPr>
                <w:sz w:val="20"/>
                <w:szCs w:val="20"/>
                <w:color w:val="auto"/>
              </w:rPr>
            </w:pPr>
            <w:r>
              <w:rPr>
                <w:rFonts w:ascii="Arial" w:cs="Arial" w:eastAsia="Arial" w:hAnsi="Arial"/>
                <w:sz w:val="21"/>
                <w:szCs w:val="21"/>
                <w:color w:val="auto"/>
                <w:w w:val="99"/>
              </w:rPr>
              <w:t>Landlord (which approval shall not be unreasonably withheld) to prepare the Final Space Plan and Final Working</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0660" w:type="dxa"/>
            <w:vAlign w:val="bottom"/>
            <w:gridSpan w:val="11"/>
          </w:tcPr>
          <w:p>
            <w:pPr>
              <w:ind w:left="260"/>
              <w:spacing w:after="0" w:line="234" w:lineRule="exact"/>
              <w:rPr>
                <w:sz w:val="20"/>
                <w:szCs w:val="20"/>
                <w:color w:val="auto"/>
              </w:rPr>
            </w:pPr>
            <w:r>
              <w:rPr>
                <w:rFonts w:ascii="Arial" w:cs="Arial" w:eastAsia="Arial" w:hAnsi="Arial"/>
                <w:sz w:val="21"/>
                <w:szCs w:val="21"/>
                <w:color w:val="auto"/>
                <w:w w:val="96"/>
              </w:rPr>
              <w:t>Drawings as provided in Section 3.2 and 3.3, below.  Tenant shall retain the engineering consultants or design/build</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10660" w:type="dxa"/>
            <w:vAlign w:val="bottom"/>
            <w:gridSpan w:val="11"/>
          </w:tcPr>
          <w:p>
            <w:pPr>
              <w:ind w:left="260"/>
              <w:spacing w:after="0"/>
              <w:rPr>
                <w:sz w:val="20"/>
                <w:szCs w:val="20"/>
                <w:color w:val="auto"/>
              </w:rPr>
            </w:pPr>
            <w:r>
              <w:rPr>
                <w:rFonts w:ascii="Arial" w:cs="Arial" w:eastAsia="Arial" w:hAnsi="Arial"/>
                <w:sz w:val="21"/>
                <w:szCs w:val="21"/>
                <w:color w:val="auto"/>
                <w:w w:val="93"/>
              </w:rPr>
              <w:t>subcontractors designated by Tenant and reasonably approved in advance by Landlord (the "</w:t>
            </w:r>
            <w:r>
              <w:rPr>
                <w:rFonts w:ascii="Arial" w:cs="Arial" w:eastAsia="Arial" w:hAnsi="Arial"/>
                <w:sz w:val="21"/>
                <w:szCs w:val="21"/>
                <w:b w:val="1"/>
                <w:bCs w:val="1"/>
                <w:color w:val="auto"/>
                <w:w w:val="93"/>
              </w:rPr>
              <w:t>Engineers</w:t>
            </w:r>
            <w:r>
              <w:rPr>
                <w:rFonts w:ascii="Arial" w:cs="Arial" w:eastAsia="Arial" w:hAnsi="Arial"/>
                <w:sz w:val="21"/>
                <w:szCs w:val="21"/>
                <w:color w:val="auto"/>
                <w:w w:val="93"/>
              </w:rPr>
              <w:t>") to prepare all</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6"/>
              </w:rPr>
              <w:t>plans and engineering working drawings relating to the structural, mechanical, electrical, plumbing, HVAC, lifesafety,</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8"/>
              </w:rPr>
              <w:t>and sprinkler work in the Premises, which work is not part of the Base Building.  All such plans and drawings shall</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rPr>
              <w:t>comply with the drawing format and specifications reasonably determined by Landlord, and shall be subject to</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4"/>
              </w:rPr>
              <w:t>Landlord's reasonable approval. Tenant and Architect shall verify, in the field, the dimensions and conditions as shown</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4"/>
              </w:rPr>
              <w:t>on the relevant portions of the Base Building plans, and Tenant and Architect shall be solely responsible for the same,</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6"/>
              </w:rPr>
              <w:t>and Landlord shall have no responsibility in connection therewith.  Landlord's review of any plans or drawings as set</w:t>
            </w: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10660" w:type="dxa"/>
            <w:vAlign w:val="bottom"/>
            <w:gridSpan w:val="11"/>
          </w:tcPr>
          <w:p>
            <w:pPr>
              <w:ind w:left="260"/>
              <w:spacing w:after="0" w:line="221" w:lineRule="exact"/>
              <w:rPr>
                <w:sz w:val="20"/>
                <w:szCs w:val="20"/>
                <w:color w:val="auto"/>
              </w:rPr>
            </w:pPr>
            <w:r>
              <w:rPr>
                <w:rFonts w:ascii="Arial" w:cs="Arial" w:eastAsia="Arial" w:hAnsi="Arial"/>
                <w:sz w:val="21"/>
                <w:szCs w:val="21"/>
                <w:color w:val="auto"/>
              </w:rPr>
              <w:t>forth in this Section 3, shall be for its sole purpose and shall not imply Landlord's review of the same, or obligate</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0" w:type="dxa"/>
            <w:vAlign w:val="bottom"/>
          </w:tcPr>
          <w:p>
            <w:pPr>
              <w:spacing w:after="0"/>
              <w:rPr>
                <w:sz w:val="23"/>
                <w:szCs w:val="23"/>
                <w:color w:val="auto"/>
              </w:rPr>
            </w:pPr>
          </w:p>
        </w:tc>
        <w:tc>
          <w:tcPr>
            <w:tcW w:w="10660" w:type="dxa"/>
            <w:vAlign w:val="bottom"/>
            <w:gridSpan w:val="11"/>
          </w:tcPr>
          <w:p>
            <w:pPr>
              <w:ind w:left="260"/>
              <w:spacing w:after="0"/>
              <w:rPr>
                <w:sz w:val="20"/>
                <w:szCs w:val="20"/>
                <w:color w:val="auto"/>
              </w:rPr>
            </w:pPr>
            <w:r>
              <w:rPr>
                <w:rFonts w:ascii="Arial" w:cs="Arial" w:eastAsia="Arial" w:hAnsi="Arial"/>
                <w:sz w:val="21"/>
                <w:szCs w:val="21"/>
                <w:color w:val="auto"/>
              </w:rPr>
              <w:t>Landlord to review the same, for quality, design, Code compliance or other like matters.</w:t>
            </w:r>
          </w:p>
        </w:tc>
        <w:tc>
          <w:tcPr>
            <w:tcW w:w="0" w:type="dxa"/>
            <w:vAlign w:val="bottom"/>
          </w:tcPr>
          <w:p>
            <w:pPr>
              <w:spacing w:after="0"/>
              <w:rPr>
                <w:sz w:val="1"/>
                <w:szCs w:val="1"/>
                <w:color w:val="auto"/>
              </w:rPr>
            </w:pPr>
          </w:p>
        </w:tc>
      </w:tr>
      <w:tr>
        <w:trPr>
          <w:trHeight w:val="296"/>
        </w:trPr>
        <w:tc>
          <w:tcPr>
            <w:tcW w:w="600" w:type="dxa"/>
            <w:vAlign w:val="bottom"/>
          </w:tcPr>
          <w:p>
            <w:pPr>
              <w:jc w:val="right"/>
              <w:ind w:right="171"/>
              <w:spacing w:after="0"/>
              <w:rPr>
                <w:sz w:val="20"/>
                <w:szCs w:val="20"/>
                <w:color w:val="auto"/>
              </w:rPr>
            </w:pPr>
            <w:r>
              <w:rPr>
                <w:rFonts w:ascii="Arial" w:cs="Arial" w:eastAsia="Arial" w:hAnsi="Arial"/>
                <w:sz w:val="21"/>
                <w:szCs w:val="21"/>
                <w:color w:val="auto"/>
              </w:rPr>
              <w:t>3.2</w:t>
            </w:r>
          </w:p>
        </w:tc>
        <w:tc>
          <w:tcPr>
            <w:tcW w:w="106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Arial" w:cs="Arial" w:eastAsia="Arial" w:hAnsi="Arial"/>
                <w:sz w:val="21"/>
                <w:szCs w:val="21"/>
                <w:b w:val="1"/>
                <w:bCs w:val="1"/>
                <w:color w:val="auto"/>
                <w:w w:val="95"/>
              </w:rPr>
              <w:t>Final Space Plan</w:t>
            </w:r>
            <w:r>
              <w:rPr>
                <w:rFonts w:ascii="Arial" w:cs="Arial" w:eastAsia="Arial" w:hAnsi="Arial"/>
                <w:sz w:val="21"/>
                <w:szCs w:val="21"/>
                <w:color w:val="auto"/>
                <w:w w:val="95"/>
              </w:rPr>
              <w:t>. Tenant shall supply Landlord with four (4) copies signed by Tenant of its final space plan</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0" w:type="dxa"/>
            <w:vAlign w:val="bottom"/>
          </w:tcPr>
          <w:p>
            <w:pPr>
              <w:spacing w:after="0"/>
              <w:rPr>
                <w:sz w:val="20"/>
                <w:szCs w:val="20"/>
                <w:color w:val="auto"/>
              </w:rPr>
            </w:pPr>
          </w:p>
        </w:tc>
        <w:tc>
          <w:tcPr>
            <w:tcW w:w="10660" w:type="dxa"/>
            <w:vAlign w:val="bottom"/>
            <w:gridSpan w:val="11"/>
          </w:tcPr>
          <w:p>
            <w:pPr>
              <w:ind w:left="260"/>
              <w:spacing w:after="0" w:line="233" w:lineRule="exact"/>
              <w:rPr>
                <w:sz w:val="20"/>
                <w:szCs w:val="20"/>
                <w:color w:val="auto"/>
              </w:rPr>
            </w:pPr>
            <w:r>
              <w:rPr>
                <w:rFonts w:ascii="Arial" w:cs="Arial" w:eastAsia="Arial" w:hAnsi="Arial"/>
                <w:sz w:val="21"/>
                <w:szCs w:val="21"/>
                <w:color w:val="auto"/>
                <w:w w:val="95"/>
              </w:rPr>
              <w:t>for the Premises before any architectural working drawings or engineering drawings have been commenced. The final</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10660" w:type="dxa"/>
            <w:vAlign w:val="bottom"/>
            <w:gridSpan w:val="11"/>
          </w:tcPr>
          <w:p>
            <w:pPr>
              <w:ind w:left="260"/>
              <w:spacing w:after="0"/>
              <w:rPr>
                <w:sz w:val="20"/>
                <w:szCs w:val="20"/>
                <w:color w:val="auto"/>
              </w:rPr>
            </w:pPr>
            <w:r>
              <w:rPr>
                <w:rFonts w:ascii="Arial" w:cs="Arial" w:eastAsia="Arial" w:hAnsi="Arial"/>
                <w:sz w:val="21"/>
                <w:szCs w:val="21"/>
                <w:color w:val="auto"/>
              </w:rPr>
              <w:t>space plan (the "</w:t>
            </w:r>
            <w:r>
              <w:rPr>
                <w:rFonts w:ascii="Arial" w:cs="Arial" w:eastAsia="Arial" w:hAnsi="Arial"/>
                <w:sz w:val="21"/>
                <w:szCs w:val="21"/>
                <w:b w:val="1"/>
                <w:bCs w:val="1"/>
                <w:color w:val="auto"/>
              </w:rPr>
              <w:t>Final Space Plan</w:t>
            </w:r>
            <w:r>
              <w:rPr>
                <w:rFonts w:ascii="Arial" w:cs="Arial" w:eastAsia="Arial" w:hAnsi="Arial"/>
                <w:sz w:val="21"/>
                <w:szCs w:val="21"/>
                <w:color w:val="auto"/>
              </w:rPr>
              <w:t>") shall include a layout and designation of all offices, labs, rooms and other</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7"/>
              </w:rPr>
              <w:t>partitioning, their intended use, and equipment to be contained therein.  Landlord may request clarification or more</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3"/>
              </w:rPr>
              <w:t>specific drawings for special use items not included in the Final Space Plan. Landlord shall advise Tenant within five (5)</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1"/>
              </w:rPr>
              <w:t>business days after Landlord's receipt of the Final Space Plan for the Premises if the same is unsatisfactory or incomplete</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in any respect.  If Tenant is so advised, Tenant shall promptly cause the Final Space Plan to be revised to correct any</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7"/>
              </w:rPr>
              <w:t>deficiencies or other matters Landlord may reasonably require.  If Landlord fails to respond to the Final Space Plan</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within the five (5) business day period set forth above, Tenant may send Landlord a reminder notice setting forth such</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0660" w:type="dxa"/>
            <w:vAlign w:val="bottom"/>
            <w:gridSpan w:val="11"/>
          </w:tcPr>
          <w:p>
            <w:pPr>
              <w:ind w:left="260"/>
              <w:spacing w:after="0" w:line="234" w:lineRule="exact"/>
              <w:rPr>
                <w:sz w:val="20"/>
                <w:szCs w:val="20"/>
                <w:color w:val="auto"/>
              </w:rPr>
            </w:pPr>
            <w:r>
              <w:rPr>
                <w:rFonts w:ascii="Arial" w:cs="Arial" w:eastAsia="Arial" w:hAnsi="Arial"/>
                <w:sz w:val="21"/>
                <w:szCs w:val="21"/>
                <w:color w:val="auto"/>
                <w:w w:val="95"/>
              </w:rPr>
              <w:t>failure containing the following sentence at the top of such notice in bold, capitalized font at least twelve (12) points in</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rPr>
              <w:t>size: “</w:t>
            </w:r>
            <w:r>
              <w:rPr>
                <w:rFonts w:ascii="Arial" w:cs="Arial" w:eastAsia="Arial" w:hAnsi="Arial"/>
                <w:sz w:val="21"/>
                <w:szCs w:val="21"/>
                <w:b w:val="1"/>
                <w:bCs w:val="1"/>
                <w:color w:val="auto"/>
              </w:rPr>
              <w:t>LANDLORD'S FAILURE TO RESPOND TO THIS NOTICE WITHIN THREE (3) BUSINESS DAYS</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b w:val="1"/>
                <w:bCs w:val="1"/>
                <w:color w:val="auto"/>
              </w:rPr>
              <w:t>SHALL RESULT IN LANDLORD'S DEEMED APPROVAL OF TENANT'S FINAL SPACE PLAN</w:t>
            </w:r>
            <w:r>
              <w:rPr>
                <w:rFonts w:ascii="Arial" w:cs="Arial" w:eastAsia="Arial" w:hAnsi="Arial"/>
                <w:sz w:val="21"/>
                <w:szCs w:val="21"/>
                <w:color w:val="auto"/>
              </w:rPr>
              <w:t>” (the "</w:t>
            </w:r>
            <w:r>
              <w:rPr>
                <w:rFonts w:ascii="Arial" w:cs="Arial" w:eastAsia="Arial" w:hAnsi="Arial"/>
                <w:sz w:val="21"/>
                <w:szCs w:val="21"/>
                <w:b w:val="1"/>
                <w:bCs w:val="1"/>
                <w:color w:val="auto"/>
              </w:rPr>
              <w:t>Final</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10660" w:type="dxa"/>
            <w:vAlign w:val="bottom"/>
            <w:gridSpan w:val="11"/>
          </w:tcPr>
          <w:p>
            <w:pPr>
              <w:ind w:left="260"/>
              <w:spacing w:after="0"/>
              <w:rPr>
                <w:sz w:val="20"/>
                <w:szCs w:val="20"/>
                <w:color w:val="auto"/>
              </w:rPr>
            </w:pPr>
            <w:r>
              <w:rPr>
                <w:rFonts w:ascii="Arial" w:cs="Arial" w:eastAsia="Arial" w:hAnsi="Arial"/>
                <w:sz w:val="21"/>
                <w:szCs w:val="21"/>
                <w:b w:val="1"/>
                <w:bCs w:val="1"/>
                <w:color w:val="auto"/>
                <w:w w:val="93"/>
              </w:rPr>
              <w:t>Space Plan Reminder Notice</w:t>
            </w:r>
            <w:r>
              <w:rPr>
                <w:rFonts w:ascii="Arial" w:cs="Arial" w:eastAsia="Arial" w:hAnsi="Arial"/>
                <w:sz w:val="21"/>
                <w:szCs w:val="21"/>
                <w:color w:val="auto"/>
                <w:w w:val="93"/>
              </w:rPr>
              <w:t>"). Any such Final Space Plan Reminder Notice shall include a complete copy of the Final</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7"/>
              </w:rPr>
              <w:t>Space Plan. If Landlord fails to respond within three (3) business days after receipt of a Final Space Plan Reminder</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3"/>
                <w:szCs w:val="23"/>
                <w:color w:val="auto"/>
              </w:rPr>
            </w:pPr>
          </w:p>
        </w:tc>
        <w:tc>
          <w:tcPr>
            <w:tcW w:w="10660" w:type="dxa"/>
            <w:vAlign w:val="bottom"/>
            <w:gridSpan w:val="11"/>
          </w:tcPr>
          <w:p>
            <w:pPr>
              <w:ind w:left="260"/>
              <w:spacing w:after="0"/>
              <w:rPr>
                <w:sz w:val="20"/>
                <w:szCs w:val="20"/>
                <w:color w:val="auto"/>
              </w:rPr>
            </w:pPr>
            <w:r>
              <w:rPr>
                <w:rFonts w:ascii="Arial" w:cs="Arial" w:eastAsia="Arial" w:hAnsi="Arial"/>
                <w:sz w:val="21"/>
                <w:szCs w:val="21"/>
                <w:color w:val="auto"/>
              </w:rPr>
              <w:t>Notice, then the Final Space Plan shall be deemed approved by Landlord.</w:t>
            </w:r>
          </w:p>
        </w:tc>
        <w:tc>
          <w:tcPr>
            <w:tcW w:w="0" w:type="dxa"/>
            <w:vAlign w:val="bottom"/>
          </w:tcPr>
          <w:p>
            <w:pPr>
              <w:spacing w:after="0"/>
              <w:rPr>
                <w:sz w:val="1"/>
                <w:szCs w:val="1"/>
                <w:color w:val="auto"/>
              </w:rPr>
            </w:pPr>
          </w:p>
        </w:tc>
      </w:tr>
      <w:tr>
        <w:trPr>
          <w:trHeight w:val="322"/>
        </w:trPr>
        <w:tc>
          <w:tcPr>
            <w:tcW w:w="600" w:type="dxa"/>
            <w:vAlign w:val="bottom"/>
          </w:tcPr>
          <w:p>
            <w:pPr>
              <w:spacing w:after="0"/>
              <w:rPr>
                <w:sz w:val="20"/>
                <w:szCs w:val="20"/>
                <w:color w:val="auto"/>
              </w:rPr>
            </w:pPr>
            <w:r>
              <w:rPr>
                <w:rFonts w:ascii="Arial" w:cs="Arial" w:eastAsia="Arial" w:hAnsi="Arial"/>
                <w:sz w:val="12"/>
                <w:szCs w:val="12"/>
                <w:color w:val="auto"/>
              </w:rPr>
              <w:t>./</w:t>
            </w:r>
          </w:p>
        </w:tc>
        <w:tc>
          <w:tcPr>
            <w:tcW w:w="4460" w:type="dxa"/>
            <w:vAlign w:val="bottom"/>
            <w:gridSpan w:val="8"/>
            <w:vMerge w:val="restart"/>
          </w:tcPr>
          <w:p>
            <w:pPr>
              <w:ind w:left="346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00" w:type="dxa"/>
            <w:vAlign w:val="bottom"/>
          </w:tcPr>
          <w:p>
            <w:pPr>
              <w:spacing w:after="0"/>
              <w:rPr>
                <w:sz w:val="20"/>
                <w:szCs w:val="20"/>
                <w:color w:val="auto"/>
              </w:rPr>
            </w:pPr>
            <w:r>
              <w:rPr>
                <w:rFonts w:ascii="Arial" w:cs="Arial" w:eastAsia="Arial" w:hAnsi="Arial"/>
                <w:sz w:val="12"/>
                <w:szCs w:val="12"/>
                <w:color w:val="auto"/>
              </w:rPr>
              <w:t>-///</w:t>
            </w:r>
          </w:p>
        </w:tc>
        <w:tc>
          <w:tcPr>
            <w:tcW w:w="4460" w:type="dxa"/>
            <w:vAlign w:val="bottom"/>
            <w:gridSpan w:val="8"/>
            <w:vMerge w:val="continue"/>
          </w:tcPr>
          <w:p>
            <w:pPr>
              <w:spacing w:after="0"/>
              <w:rPr>
                <w:sz w:val="13"/>
                <w:szCs w:val="13"/>
                <w:color w:val="auto"/>
              </w:rPr>
            </w:pPr>
          </w:p>
        </w:tc>
        <w:tc>
          <w:tcPr>
            <w:tcW w:w="1120" w:type="dxa"/>
            <w:vAlign w:val="bottom"/>
          </w:tcPr>
          <w:p>
            <w:pPr>
              <w:spacing w:after="0"/>
              <w:rPr>
                <w:sz w:val="13"/>
                <w:szCs w:val="13"/>
                <w:color w:val="auto"/>
              </w:rPr>
            </w:pPr>
          </w:p>
        </w:tc>
        <w:tc>
          <w:tcPr>
            <w:tcW w:w="5080" w:type="dxa"/>
            <w:vAlign w:val="bottom"/>
            <w:gridSpan w:val="2"/>
          </w:tcPr>
          <w:p>
            <w:pPr>
              <w:ind w:left="700"/>
              <w:spacing w:after="0"/>
              <w:rPr>
                <w:sz w:val="20"/>
                <w:szCs w:val="20"/>
                <w:color w:val="auto"/>
              </w:rPr>
            </w:pPr>
            <w:r>
              <w:rPr>
                <w:rFonts w:ascii="Arial" w:cs="Arial" w:eastAsia="Arial" w:hAnsi="Arial"/>
                <w:sz w:val="12"/>
                <w:szCs w:val="12"/>
                <w:color w:val="auto"/>
              </w:rPr>
              <w:t>[Revolution Medicines, Inc.]</w:t>
            </w:r>
          </w:p>
        </w:tc>
        <w:tc>
          <w:tcPr>
            <w:tcW w:w="0" w:type="dxa"/>
            <w:vAlign w:val="bottom"/>
          </w:tcPr>
          <w:p>
            <w:pPr>
              <w:spacing w:after="0"/>
              <w:rPr>
                <w:sz w:val="1"/>
                <w:szCs w:val="1"/>
                <w:color w:val="auto"/>
              </w:rPr>
            </w:pPr>
          </w:p>
        </w:tc>
      </w:tr>
      <w:tr>
        <w:trPr>
          <w:trHeight w:val="317"/>
        </w:trPr>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38" w:right="319" w:bottom="1440" w:gutter="0" w:footer="0" w:header="0"/>
        </w:sectPr>
      </w:pPr>
    </w:p>
    <w:bookmarkStart w:id="100" w:name="page101"/>
    <w:bookmarkEnd w:id="100"/>
    <w:p>
      <w:pPr>
        <w:jc w:val="both"/>
        <w:ind w:left="860" w:hanging="787"/>
        <w:spacing w:after="0" w:line="265" w:lineRule="auto"/>
        <w:tabs>
          <w:tab w:leader="none" w:pos="84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19"/>
          <w:szCs w:val="19"/>
          <w:b w:val="1"/>
          <w:bCs w:val="1"/>
          <w:u w:val="single" w:color="auto"/>
          <w:color w:val="auto"/>
        </w:rPr>
        <w:t>Final Working Drawings</w:t>
      </w:r>
      <w:r>
        <w:rPr>
          <w:rFonts w:ascii="Arial" w:cs="Arial" w:eastAsia="Arial" w:hAnsi="Arial"/>
          <w:sz w:val="19"/>
          <w:szCs w:val="19"/>
          <w:color w:val="auto"/>
        </w:rPr>
        <w:t>. After the Final Space Plan has been approved by Landlord, Tenant shall supply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Engineers with a complete listing of standard and non-standard equipment and specifications, including, without limitation, Title 24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Arial" w:cs="Arial" w:eastAsia="Arial" w:hAnsi="Arial"/>
          <w:sz w:val="19"/>
          <w:szCs w:val="19"/>
          <w:b w:val="1"/>
          <w:bCs w:val="1"/>
          <w:color w:val="auto"/>
        </w:rPr>
        <w:t>Final Working Drawings</w:t>
      </w:r>
      <w:r>
        <w:rPr>
          <w:rFonts w:ascii="Arial" w:cs="Arial" w:eastAsia="Arial" w:hAnsi="Arial"/>
          <w:sz w:val="19"/>
          <w:szCs w:val="19"/>
          <w:color w:val="auto"/>
        </w:rPr>
        <w:t>") and shall submit the same to Landlord for Landlord's approval, which shall not be unreasonably withheld, conditioned, or delayed. Tenant shall supply Landlord with four (4) copies signed by Tenant of such Final Working Drawings. Landlord shall advise Tenant within ten (10) business days after Landlord's receipt of the Final Working Drawings for the Premises if the same is unsatisfactory or incomplete in any respect. If Tenant is so advised, Tenant shall promptly cause the Final Working Drawings to be revised in accordance with such review and any disapproval of Landlord in connection therewith. If Landlord fails to respond to the Final Working Drawings within the ten (10) business day period set forth above, Tenant may send Landlord a reminder notice setting forth such failure containing the following sentence at the top of such notice in bold, capitalized font at least twelve (12) points in size: “</w:t>
      </w:r>
      <w:r>
        <w:rPr>
          <w:rFonts w:ascii="Arial" w:cs="Arial" w:eastAsia="Arial" w:hAnsi="Arial"/>
          <w:sz w:val="19"/>
          <w:szCs w:val="19"/>
          <w:b w:val="1"/>
          <w:bCs w:val="1"/>
          <w:color w:val="auto"/>
        </w:rPr>
        <w:t>LANDLORD'S FAILURE TO RESPOND TO THIS NOTICE WITHIN FIVE (5)</w:t>
      </w:r>
    </w:p>
    <w:p>
      <w:pPr>
        <w:spacing w:after="0" w:line="1" w:lineRule="exact"/>
        <w:rPr>
          <w:sz w:val="20"/>
          <w:szCs w:val="20"/>
          <w:color w:val="auto"/>
        </w:rPr>
      </w:pPr>
    </w:p>
    <w:p>
      <w:pPr>
        <w:jc w:val="both"/>
        <w:ind w:left="860"/>
        <w:spacing w:after="0" w:line="250" w:lineRule="auto"/>
        <w:rPr>
          <w:sz w:val="20"/>
          <w:szCs w:val="20"/>
          <w:color w:val="auto"/>
        </w:rPr>
      </w:pPr>
      <w:r>
        <w:rPr>
          <w:rFonts w:ascii="Arial" w:cs="Arial" w:eastAsia="Arial" w:hAnsi="Arial"/>
          <w:sz w:val="20"/>
          <w:szCs w:val="20"/>
          <w:b w:val="1"/>
          <w:bCs w:val="1"/>
          <w:color w:val="auto"/>
        </w:rPr>
        <w:t>BUSINESS DAYS SHALL RESULT IN LANDLORD'S DEEMED APPROVAL OF TENANT'S FINAL WORKING DRAWINGS</w:t>
      </w:r>
      <w:r>
        <w:rPr>
          <w:rFonts w:ascii="Arial" w:cs="Arial" w:eastAsia="Arial" w:hAnsi="Arial"/>
          <w:sz w:val="20"/>
          <w:szCs w:val="20"/>
          <w:color w:val="auto"/>
        </w:rPr>
        <w:t>” (the "</w:t>
      </w:r>
      <w:r>
        <w:rPr>
          <w:rFonts w:ascii="Arial" w:cs="Arial" w:eastAsia="Arial" w:hAnsi="Arial"/>
          <w:sz w:val="20"/>
          <w:szCs w:val="20"/>
          <w:b w:val="1"/>
          <w:bCs w:val="1"/>
          <w:color w:val="auto"/>
        </w:rPr>
        <w:t>Final Working Drawings Reminder Notice</w:t>
      </w:r>
      <w:r>
        <w:rPr>
          <w:rFonts w:ascii="Arial" w:cs="Arial" w:eastAsia="Arial" w:hAnsi="Arial"/>
          <w:sz w:val="20"/>
          <w:szCs w:val="20"/>
          <w:color w:val="auto"/>
        </w:rPr>
        <w:t>"). Any such Final Working Drawings</w:t>
      </w:r>
      <w:r>
        <w:rPr>
          <w:rFonts w:ascii="Arial" w:cs="Arial" w:eastAsia="Arial" w:hAnsi="Arial"/>
          <w:sz w:val="20"/>
          <w:szCs w:val="20"/>
          <w:b w:val="1"/>
          <w:bCs w:val="1"/>
          <w:color w:val="auto"/>
        </w:rPr>
        <w:t xml:space="preserve"> </w:t>
      </w:r>
      <w:r>
        <w:rPr>
          <w:rFonts w:ascii="Arial" w:cs="Arial" w:eastAsia="Arial" w:hAnsi="Arial"/>
          <w:sz w:val="20"/>
          <w:szCs w:val="20"/>
          <w:color w:val="auto"/>
        </w:rPr>
        <w:t>Reminder Notice shall include a complete copy of the Final Working Drawings. If Landlord fails to respond within five</w:t>
      </w:r>
    </w:p>
    <w:p>
      <w:pPr>
        <w:spacing w:after="0" w:line="1" w:lineRule="exact"/>
        <w:rPr>
          <w:sz w:val="20"/>
          <w:szCs w:val="20"/>
          <w:color w:val="auto"/>
        </w:rPr>
      </w:pPr>
    </w:p>
    <w:p>
      <w:pPr>
        <w:ind w:left="860"/>
        <w:spacing w:after="0" w:line="250" w:lineRule="auto"/>
        <w:tabs>
          <w:tab w:leader="none" w:pos="1168" w:val="left"/>
        </w:tabs>
        <w:numPr>
          <w:ilvl w:val="0"/>
          <w:numId w:val="63"/>
        </w:numPr>
        <w:rPr>
          <w:rFonts w:ascii="Arial" w:cs="Arial" w:eastAsia="Arial" w:hAnsi="Arial"/>
          <w:sz w:val="21"/>
          <w:szCs w:val="21"/>
          <w:color w:val="auto"/>
        </w:rPr>
      </w:pPr>
      <w:r>
        <w:rPr>
          <w:rFonts w:ascii="Arial" w:cs="Arial" w:eastAsia="Arial" w:hAnsi="Arial"/>
          <w:sz w:val="21"/>
          <w:szCs w:val="21"/>
          <w:color w:val="auto"/>
        </w:rPr>
        <w:t>business days after receipt of a Final Working Drawings Reminder Notice, then the Final Working Drawings shall be deemed approved by Landlord.</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3.5</w:t>
            </w:r>
          </w:p>
        </w:tc>
        <w:tc>
          <w:tcPr>
            <w:tcW w:w="1060" w:type="dxa"/>
            <w:vAlign w:val="bottom"/>
          </w:tcPr>
          <w:p>
            <w:pPr>
              <w:spacing w:after="0"/>
              <w:rPr>
                <w:sz w:val="21"/>
                <w:szCs w:val="21"/>
                <w:color w:val="auto"/>
              </w:rPr>
            </w:pPr>
          </w:p>
        </w:tc>
        <w:tc>
          <w:tcPr>
            <w:tcW w:w="9580" w:type="dxa"/>
            <w:vAlign w:val="bottom"/>
            <w:gridSpan w:val="3"/>
          </w:tcPr>
          <w:p>
            <w:pPr>
              <w:jc w:val="right"/>
              <w:spacing w:after="0"/>
              <w:rPr>
                <w:sz w:val="20"/>
                <w:szCs w:val="20"/>
                <w:color w:val="auto"/>
              </w:rPr>
            </w:pPr>
            <w:r>
              <w:rPr>
                <w:rFonts w:ascii="Arial" w:cs="Arial" w:eastAsia="Arial" w:hAnsi="Arial"/>
                <w:sz w:val="21"/>
                <w:szCs w:val="21"/>
                <w:b w:val="1"/>
                <w:bCs w:val="1"/>
                <w:color w:val="auto"/>
                <w:w w:val="95"/>
              </w:rPr>
              <w:t>Approved Working Drawings</w:t>
            </w:r>
            <w:r>
              <w:rPr>
                <w:rFonts w:ascii="Arial" w:cs="Arial" w:eastAsia="Arial" w:hAnsi="Arial"/>
                <w:sz w:val="21"/>
                <w:szCs w:val="21"/>
                <w:color w:val="auto"/>
                <w:w w:val="95"/>
              </w:rPr>
              <w:t>. The Final Working Drawings shall be approved by Landlord (the "</w:t>
            </w:r>
            <w:r>
              <w:rPr>
                <w:rFonts w:ascii="Arial" w:cs="Arial" w:eastAsia="Arial" w:hAnsi="Arial"/>
                <w:sz w:val="21"/>
                <w:szCs w:val="21"/>
                <w:b w:val="1"/>
                <w:bCs w:val="1"/>
                <w:color w:val="auto"/>
                <w:w w:val="95"/>
              </w:rPr>
              <w:t>Approved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60" w:type="dxa"/>
            <w:vAlign w:val="bottom"/>
            <w:vMerge w:val="restart"/>
          </w:tcPr>
          <w:p>
            <w:pPr>
              <w:ind w:left="260"/>
              <w:spacing w:after="0"/>
              <w:rPr>
                <w:sz w:val="20"/>
                <w:szCs w:val="20"/>
                <w:color w:val="auto"/>
              </w:rPr>
            </w:pPr>
            <w:r>
              <w:rPr>
                <w:rFonts w:ascii="Arial" w:cs="Arial" w:eastAsia="Arial" w:hAnsi="Arial"/>
                <w:sz w:val="21"/>
                <w:szCs w:val="21"/>
                <w:b w:val="1"/>
                <w:bCs w:val="1"/>
                <w:color w:val="auto"/>
                <w:w w:val="92"/>
              </w:rPr>
              <w:t>Working</w:t>
            </w:r>
          </w:p>
        </w:tc>
        <w:tc>
          <w:tcPr>
            <w:tcW w:w="1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9580" w:type="dxa"/>
            <w:vAlign w:val="bottom"/>
            <w:gridSpan w:val="3"/>
          </w:tcPr>
          <w:p>
            <w:pPr>
              <w:jc w:val="right"/>
              <w:ind w:right="20"/>
              <w:spacing w:after="0" w:line="238" w:lineRule="exact"/>
              <w:rPr>
                <w:sz w:val="20"/>
                <w:szCs w:val="20"/>
                <w:color w:val="auto"/>
              </w:rPr>
            </w:pPr>
            <w:r>
              <w:rPr>
                <w:rFonts w:ascii="Arial" w:cs="Arial" w:eastAsia="Arial" w:hAnsi="Arial"/>
                <w:sz w:val="21"/>
                <w:szCs w:val="21"/>
                <w:b w:val="1"/>
                <w:bCs w:val="1"/>
                <w:color w:val="auto"/>
                <w:w w:val="93"/>
              </w:rPr>
              <w:t>Drawings</w:t>
            </w:r>
            <w:r>
              <w:rPr>
                <w:rFonts w:ascii="Arial" w:cs="Arial" w:eastAsia="Arial" w:hAnsi="Arial"/>
                <w:sz w:val="21"/>
                <w:szCs w:val="21"/>
                <w:color w:val="auto"/>
                <w:w w:val="93"/>
              </w:rPr>
              <w:t>") prior to the commencement of construction of the Premises by Tenant. Concurrently with Tenant's</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spacing w:after="0" w:line="240" w:lineRule="exact"/>
              <w:rPr>
                <w:sz w:val="20"/>
                <w:szCs w:val="20"/>
                <w:color w:val="auto"/>
              </w:rPr>
            </w:pPr>
            <w:r>
              <w:rPr>
                <w:rFonts w:ascii="Arial" w:cs="Arial" w:eastAsia="Arial" w:hAnsi="Arial"/>
                <w:sz w:val="21"/>
                <w:szCs w:val="21"/>
                <w:color w:val="auto"/>
              </w:rPr>
              <w:t>delivery of the Final Working Drawings to Landlord for Landlord's approval, Tenant may submit the same to the</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spacing w:after="0" w:line="240" w:lineRule="exact"/>
              <w:rPr>
                <w:sz w:val="20"/>
                <w:szCs w:val="20"/>
                <w:color w:val="auto"/>
              </w:rPr>
            </w:pPr>
            <w:r>
              <w:rPr>
                <w:rFonts w:ascii="Arial" w:cs="Arial" w:eastAsia="Arial" w:hAnsi="Arial"/>
                <w:sz w:val="21"/>
                <w:szCs w:val="21"/>
                <w:color w:val="auto"/>
                <w:w w:val="99"/>
              </w:rPr>
              <w:t>appropriate municipal authorities for all applicable building permits.  Tenant hereby agrees that neither Landlord nor</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spacing w:after="0" w:line="240" w:lineRule="exact"/>
              <w:rPr>
                <w:sz w:val="20"/>
                <w:szCs w:val="20"/>
                <w:color w:val="auto"/>
              </w:rPr>
            </w:pPr>
            <w:r>
              <w:rPr>
                <w:rFonts w:ascii="Arial" w:cs="Arial" w:eastAsia="Arial" w:hAnsi="Arial"/>
                <w:sz w:val="21"/>
                <w:szCs w:val="21"/>
                <w:color w:val="auto"/>
                <w:w w:val="95"/>
              </w:rPr>
              <w:t>Landlord's consultants shall be responsible for obtaining any building permit or certificate of occupancy for the Premises</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ind w:right="20"/>
              <w:spacing w:after="0" w:line="240" w:lineRule="exact"/>
              <w:rPr>
                <w:sz w:val="20"/>
                <w:szCs w:val="20"/>
                <w:color w:val="auto"/>
              </w:rPr>
            </w:pPr>
            <w:r>
              <w:rPr>
                <w:rFonts w:ascii="Arial" w:cs="Arial" w:eastAsia="Arial" w:hAnsi="Arial"/>
                <w:sz w:val="21"/>
                <w:szCs w:val="21"/>
                <w:color w:val="auto"/>
              </w:rPr>
              <w:t>and that obtaining the same shall be Tenant's responsibility; provided, however, that Landlord shall cooperate with</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spacing w:after="0" w:line="240" w:lineRule="exact"/>
              <w:rPr>
                <w:sz w:val="20"/>
                <w:szCs w:val="20"/>
                <w:color w:val="auto"/>
              </w:rPr>
            </w:pPr>
            <w:r>
              <w:rPr>
                <w:rFonts w:ascii="Arial" w:cs="Arial" w:eastAsia="Arial" w:hAnsi="Arial"/>
                <w:sz w:val="21"/>
                <w:szCs w:val="21"/>
                <w:color w:val="auto"/>
                <w:w w:val="95"/>
              </w:rPr>
              <w:t>Tenant in executing permit applications and performing other ministerial acts reasonably necessary to enable Tenant to</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spacing w:after="0" w:line="240" w:lineRule="exact"/>
              <w:rPr>
                <w:sz w:val="20"/>
                <w:szCs w:val="20"/>
                <w:color w:val="auto"/>
              </w:rPr>
            </w:pPr>
            <w:r>
              <w:rPr>
                <w:rFonts w:ascii="Arial" w:cs="Arial" w:eastAsia="Arial" w:hAnsi="Arial"/>
                <w:sz w:val="21"/>
                <w:szCs w:val="21"/>
                <w:color w:val="auto"/>
                <w:w w:val="97"/>
              </w:rPr>
              <w:t>obtain any such permit or certificate of occupancy.  No changes, modifications or alterations in the Approved Working</w:t>
            </w: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10640" w:type="dxa"/>
            <w:vAlign w:val="bottom"/>
            <w:gridSpan w:val="4"/>
          </w:tcPr>
          <w:p>
            <w:pPr>
              <w:jc w:val="right"/>
              <w:spacing w:after="0" w:line="240" w:lineRule="exact"/>
              <w:rPr>
                <w:sz w:val="20"/>
                <w:szCs w:val="20"/>
                <w:color w:val="auto"/>
              </w:rPr>
            </w:pPr>
            <w:r>
              <w:rPr>
                <w:rFonts w:ascii="Arial" w:cs="Arial" w:eastAsia="Arial" w:hAnsi="Arial"/>
                <w:sz w:val="21"/>
                <w:szCs w:val="21"/>
                <w:color w:val="auto"/>
              </w:rPr>
              <w:t>Drawings may be made without the prior written consent of Landlord, which shall not be unreasonably withheld,</w:t>
            </w:r>
          </w:p>
        </w:tc>
        <w:tc>
          <w:tcPr>
            <w:tcW w:w="0" w:type="dxa"/>
            <w:vAlign w:val="bottom"/>
          </w:tcPr>
          <w:p>
            <w:pPr>
              <w:spacing w:after="0"/>
              <w:rPr>
                <w:sz w:val="1"/>
                <w:szCs w:val="1"/>
                <w:color w:val="auto"/>
              </w:rPr>
            </w:pPr>
          </w:p>
        </w:tc>
      </w:tr>
      <w:tr>
        <w:trPr>
          <w:trHeight w:val="272"/>
        </w:trPr>
        <w:tc>
          <w:tcPr>
            <w:tcW w:w="520" w:type="dxa"/>
            <w:vAlign w:val="bottom"/>
          </w:tcPr>
          <w:p>
            <w:pPr>
              <w:spacing w:after="0"/>
              <w:rPr>
                <w:sz w:val="23"/>
                <w:szCs w:val="23"/>
                <w:color w:val="auto"/>
              </w:rPr>
            </w:pPr>
          </w:p>
        </w:tc>
        <w:tc>
          <w:tcPr>
            <w:tcW w:w="10640" w:type="dxa"/>
            <w:vAlign w:val="bottom"/>
            <w:gridSpan w:val="4"/>
          </w:tcPr>
          <w:p>
            <w:pPr>
              <w:ind w:left="260"/>
              <w:spacing w:after="0"/>
              <w:rPr>
                <w:sz w:val="20"/>
                <w:szCs w:val="20"/>
                <w:color w:val="auto"/>
              </w:rPr>
            </w:pPr>
            <w:r>
              <w:rPr>
                <w:rFonts w:ascii="Arial" w:cs="Arial" w:eastAsia="Arial" w:hAnsi="Arial"/>
                <w:sz w:val="21"/>
                <w:szCs w:val="21"/>
                <w:color w:val="auto"/>
              </w:rPr>
              <w:t>conditioned, or delayed.</w:t>
            </w:r>
          </w:p>
        </w:tc>
        <w:tc>
          <w:tcPr>
            <w:tcW w:w="0" w:type="dxa"/>
            <w:vAlign w:val="bottom"/>
          </w:tcPr>
          <w:p>
            <w:pPr>
              <w:spacing w:after="0"/>
              <w:rPr>
                <w:sz w:val="1"/>
                <w:szCs w:val="1"/>
                <w:color w:val="auto"/>
              </w:rPr>
            </w:pPr>
          </w:p>
        </w:tc>
      </w:tr>
      <w:tr>
        <w:trPr>
          <w:trHeight w:val="296"/>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3.6</w:t>
            </w:r>
          </w:p>
        </w:tc>
        <w:tc>
          <w:tcPr>
            <w:tcW w:w="1060" w:type="dxa"/>
            <w:vAlign w:val="bottom"/>
          </w:tcPr>
          <w:p>
            <w:pPr>
              <w:spacing w:after="0"/>
              <w:rPr>
                <w:sz w:val="24"/>
                <w:szCs w:val="24"/>
                <w:color w:val="auto"/>
              </w:rPr>
            </w:pPr>
          </w:p>
        </w:tc>
        <w:tc>
          <w:tcPr>
            <w:tcW w:w="9580" w:type="dxa"/>
            <w:vAlign w:val="bottom"/>
            <w:gridSpan w:val="3"/>
          </w:tcPr>
          <w:p>
            <w:pPr>
              <w:jc w:val="right"/>
              <w:spacing w:after="0"/>
              <w:rPr>
                <w:sz w:val="20"/>
                <w:szCs w:val="20"/>
                <w:color w:val="auto"/>
              </w:rPr>
            </w:pPr>
            <w:r>
              <w:rPr>
                <w:rFonts w:ascii="Arial" w:cs="Arial" w:eastAsia="Arial" w:hAnsi="Arial"/>
                <w:sz w:val="21"/>
                <w:szCs w:val="21"/>
                <w:b w:val="1"/>
                <w:bCs w:val="1"/>
                <w:color w:val="auto"/>
                <w:w w:val="95"/>
              </w:rPr>
              <w:t>Electronic Approvals</w:t>
            </w:r>
            <w:r>
              <w:rPr>
                <w:rFonts w:ascii="Arial" w:cs="Arial" w:eastAsia="Arial" w:hAnsi="Arial"/>
                <w:sz w:val="21"/>
                <w:szCs w:val="21"/>
                <w:color w:val="auto"/>
                <w:w w:val="95"/>
              </w:rPr>
              <w:t>.  Notwithstanding any provision to the contrary contained in the Lease or this Tenant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0640" w:type="dxa"/>
            <w:vAlign w:val="bottom"/>
            <w:gridSpan w:val="4"/>
          </w:tcPr>
          <w:p>
            <w:pPr>
              <w:jc w:val="right"/>
              <w:spacing w:after="0"/>
              <w:rPr>
                <w:sz w:val="20"/>
                <w:szCs w:val="20"/>
                <w:color w:val="auto"/>
              </w:rPr>
            </w:pPr>
            <w:r>
              <w:rPr>
                <w:rFonts w:ascii="Arial" w:cs="Arial" w:eastAsia="Arial" w:hAnsi="Arial"/>
                <w:sz w:val="21"/>
                <w:szCs w:val="21"/>
                <w:color w:val="auto"/>
                <w:w w:val="95"/>
              </w:rPr>
              <w:t>Work Letter, Landlord may transmit or otherwise deliver any of the approvals required under this Tenant Work Letter via</w:t>
            </w:r>
          </w:p>
        </w:tc>
        <w:tc>
          <w:tcPr>
            <w:tcW w:w="0" w:type="dxa"/>
            <w:vAlign w:val="bottom"/>
          </w:tcPr>
          <w:p>
            <w:pPr>
              <w:spacing w:after="0"/>
              <w:rPr>
                <w:sz w:val="1"/>
                <w:szCs w:val="1"/>
                <w:color w:val="auto"/>
              </w:rPr>
            </w:pPr>
          </w:p>
        </w:tc>
      </w:tr>
    </w:tbl>
    <w:p>
      <w:pPr>
        <w:ind w:left="860"/>
        <w:spacing w:after="0"/>
        <w:rPr>
          <w:sz w:val="20"/>
          <w:szCs w:val="20"/>
          <w:color w:val="auto"/>
        </w:rPr>
      </w:pPr>
      <w:r>
        <w:rPr>
          <w:rFonts w:ascii="Arial" w:cs="Arial" w:eastAsia="Arial" w:hAnsi="Arial"/>
          <w:sz w:val="21"/>
          <w:szCs w:val="21"/>
          <w:color w:val="auto"/>
        </w:rPr>
        <w:t>electronic mail to Tenant’s representative identified in Section 5.2 of this Tenant Work Letter.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-5-</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1" w:name="page102"/>
    <w:bookmarkEnd w:id="101"/>
    <w:tbl>
      <w:tblPr>
        <w:tblLayout w:type="fixed"/>
        <w:tblInd w:w="80" w:type="dxa"/>
        <w:tblCellMar>
          <w:top w:w="0" w:type="dxa"/>
          <w:left w:w="0" w:type="dxa"/>
          <w:bottom w:w="0" w:type="dxa"/>
          <w:right w:w="0" w:type="dxa"/>
        </w:tblCellMar>
      </w:tblPr>
      <w:tr>
        <w:trPr>
          <w:trHeight w:val="241"/>
        </w:trPr>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180" w:type="dxa"/>
            <w:vAlign w:val="bottom"/>
            <w:gridSpan w:val="4"/>
          </w:tcPr>
          <w:p>
            <w:pPr>
              <w:jc w:val="center"/>
              <w:ind w:right="5060"/>
              <w:spacing w:after="0"/>
              <w:rPr>
                <w:sz w:val="20"/>
                <w:szCs w:val="20"/>
                <w:color w:val="auto"/>
              </w:rPr>
            </w:pPr>
            <w:r>
              <w:rPr>
                <w:rFonts w:ascii="Arial" w:cs="Arial" w:eastAsia="Arial" w:hAnsi="Arial"/>
                <w:sz w:val="21"/>
                <w:szCs w:val="21"/>
                <w:b w:val="1"/>
                <w:bCs w:val="1"/>
                <w:color w:val="auto"/>
              </w:rPr>
              <w:t>SECTION 4</w:t>
            </w:r>
          </w:p>
        </w:tc>
      </w:tr>
      <w:tr>
        <w:trPr>
          <w:trHeight w:val="20"/>
        </w:trPr>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60"/>
        </w:trPr>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Borders>
              <w:bottom w:val="single" w:sz="8" w:color="auto"/>
            </w:tcBorders>
            <w:gridSpan w:val="5"/>
          </w:tcPr>
          <w:p>
            <w:pPr>
              <w:jc w:val="center"/>
              <w:spacing w:after="0"/>
              <w:rPr>
                <w:sz w:val="20"/>
                <w:szCs w:val="20"/>
                <w:color w:val="auto"/>
              </w:rPr>
            </w:pPr>
            <w:r>
              <w:rPr>
                <w:rFonts w:ascii="Arial" w:cs="Arial" w:eastAsia="Arial" w:hAnsi="Arial"/>
                <w:sz w:val="21"/>
                <w:szCs w:val="21"/>
                <w:b w:val="1"/>
                <w:bCs w:val="1"/>
                <w:color w:val="auto"/>
              </w:rPr>
              <w:t>CONSTRUCTION OF THE TENANT IMPROVEMENTS</w:t>
            </w:r>
          </w:p>
        </w:tc>
        <w:tc>
          <w:tcPr>
            <w:tcW w:w="2920" w:type="dxa"/>
            <w:vAlign w:val="bottom"/>
          </w:tcPr>
          <w:p>
            <w:pPr>
              <w:spacing w:after="0"/>
              <w:rPr>
                <w:sz w:val="24"/>
                <w:szCs w:val="24"/>
                <w:color w:val="auto"/>
              </w:rPr>
            </w:pPr>
          </w:p>
        </w:tc>
      </w:tr>
      <w:tr>
        <w:trPr>
          <w:trHeight w:val="327"/>
        </w:trPr>
        <w:tc>
          <w:tcPr>
            <w:tcW w:w="1580" w:type="dxa"/>
            <w:vAlign w:val="bottom"/>
          </w:tcPr>
          <w:p>
            <w:pPr>
              <w:jc w:val="right"/>
              <w:ind w:right="1213"/>
              <w:spacing w:after="0"/>
              <w:rPr>
                <w:sz w:val="20"/>
                <w:szCs w:val="20"/>
                <w:color w:val="auto"/>
              </w:rPr>
            </w:pPr>
            <w:r>
              <w:rPr>
                <w:rFonts w:ascii="Arial" w:cs="Arial" w:eastAsia="Arial" w:hAnsi="Arial"/>
                <w:sz w:val="21"/>
                <w:szCs w:val="21"/>
                <w:color w:val="auto"/>
                <w:w w:val="82"/>
              </w:rPr>
              <w:t>4.1</w:t>
            </w:r>
          </w:p>
        </w:tc>
        <w:tc>
          <w:tcPr>
            <w:tcW w:w="9580" w:type="dxa"/>
            <w:vAlign w:val="bottom"/>
            <w:gridSpan w:val="8"/>
          </w:tcPr>
          <w:p>
            <w:pPr>
              <w:spacing w:after="0"/>
              <w:rPr>
                <w:sz w:val="20"/>
                <w:szCs w:val="20"/>
                <w:color w:val="auto"/>
              </w:rPr>
            </w:pPr>
            <w:r>
              <w:rPr>
                <w:rFonts w:ascii="Arial" w:cs="Arial" w:eastAsia="Arial" w:hAnsi="Arial"/>
                <w:sz w:val="21"/>
                <w:szCs w:val="21"/>
                <w:b w:val="1"/>
                <w:bCs w:val="1"/>
                <w:color w:val="auto"/>
              </w:rPr>
              <w:t>Tenant's Selection of Contractors</w:t>
            </w:r>
            <w:r>
              <w:rPr>
                <w:rFonts w:ascii="Arial" w:cs="Arial" w:eastAsia="Arial" w:hAnsi="Arial"/>
                <w:sz w:val="21"/>
                <w:szCs w:val="21"/>
                <w:color w:val="auto"/>
              </w:rPr>
              <w:t>.</w:t>
            </w:r>
          </w:p>
        </w:tc>
      </w:tr>
      <w:tr>
        <w:trPr>
          <w:trHeight w:val="20"/>
        </w:trPr>
        <w:tc>
          <w:tcPr>
            <w:tcW w:w="1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327"/>
        </w:trPr>
        <w:tc>
          <w:tcPr>
            <w:tcW w:w="158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Arial" w:cs="Arial" w:eastAsia="Arial" w:hAnsi="Arial"/>
                <w:sz w:val="21"/>
                <w:szCs w:val="21"/>
                <w:color w:val="auto"/>
              </w:rPr>
              <w:t>4.1.1</w:t>
            </w:r>
          </w:p>
        </w:tc>
        <w:tc>
          <w:tcPr>
            <w:tcW w:w="8440" w:type="dxa"/>
            <w:vAlign w:val="bottom"/>
            <w:gridSpan w:val="7"/>
          </w:tcPr>
          <w:p>
            <w:pPr>
              <w:spacing w:after="0"/>
              <w:rPr>
                <w:sz w:val="20"/>
                <w:szCs w:val="20"/>
                <w:color w:val="auto"/>
              </w:rPr>
            </w:pPr>
            <w:r>
              <w:rPr>
                <w:rFonts w:ascii="Arial" w:cs="Arial" w:eastAsia="Arial" w:hAnsi="Arial"/>
                <w:sz w:val="21"/>
                <w:szCs w:val="21"/>
                <w:b w:val="1"/>
                <w:bCs w:val="1"/>
                <w:color w:val="auto"/>
                <w:w w:val="93"/>
              </w:rPr>
              <w:t>The Contractor; Landlord's Project Manager</w:t>
            </w:r>
            <w:r>
              <w:rPr>
                <w:rFonts w:ascii="Arial" w:cs="Arial" w:eastAsia="Arial" w:hAnsi="Arial"/>
                <w:sz w:val="21"/>
                <w:szCs w:val="21"/>
                <w:color w:val="auto"/>
                <w:w w:val="93"/>
              </w:rPr>
              <w:t>. Tenant shall retain a licensed general contractor,</w:t>
            </w:r>
          </w:p>
        </w:tc>
      </w:tr>
      <w:tr>
        <w:trPr>
          <w:trHeight w:val="20"/>
        </w:trPr>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Arial" w:cs="Arial" w:eastAsia="Arial" w:hAnsi="Arial"/>
          <w:sz w:val="21"/>
          <w:szCs w:val="21"/>
          <w:color w:val="auto"/>
        </w:rPr>
        <w:t>approved in advance by Landlord, to construct the Tenant Improvements ("</w:t>
      </w:r>
      <w:r>
        <w:rPr>
          <w:rFonts w:ascii="Arial" w:cs="Arial" w:eastAsia="Arial" w:hAnsi="Arial"/>
          <w:sz w:val="21"/>
          <w:szCs w:val="21"/>
          <w:b w:val="1"/>
          <w:bCs w:val="1"/>
          <w:color w:val="auto"/>
        </w:rPr>
        <w:t>Contractor</w:t>
      </w:r>
      <w:r>
        <w:rPr>
          <w:rFonts w:ascii="Arial" w:cs="Arial" w:eastAsia="Arial" w:hAnsi="Arial"/>
          <w:sz w:val="21"/>
          <w:szCs w:val="21"/>
          <w:color w:val="auto"/>
        </w:rPr>
        <w:t xml:space="preserve">"). Landlord's approval of the Contractor shall not be unreasonably withheld. Landlord shall retain Project Management Advisors, Inc. (" </w:t>
      </w:r>
      <w:r>
        <w:rPr>
          <w:rFonts w:ascii="Arial" w:cs="Arial" w:eastAsia="Arial" w:hAnsi="Arial"/>
          <w:sz w:val="21"/>
          <w:szCs w:val="21"/>
          <w:b w:val="1"/>
          <w:bCs w:val="1"/>
          <w:color w:val="auto"/>
        </w:rPr>
        <w:t>PMA</w:t>
      </w:r>
      <w:r>
        <w:rPr>
          <w:rFonts w:ascii="Arial" w:cs="Arial" w:eastAsia="Arial" w:hAnsi="Arial"/>
          <w:sz w:val="21"/>
          <w:szCs w:val="21"/>
          <w:color w:val="auto"/>
        </w:rPr>
        <w:t>") as a third party project manager for construction oversight of the Tenant Improvements on behalf of Landlord, and Tenant shall pay a fee to Landlord with respect to the PMA services equal to $1.68 per RSF of the Premises, which fee may be paid from the Tenant Improvement Allowance.</w:t>
      </w:r>
    </w:p>
    <w:p>
      <w:pPr>
        <w:spacing w:after="0" w:line="63"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b w:val="1"/>
          <w:bCs w:val="1"/>
          <w:u w:val="single" w:color="auto"/>
          <w:color w:val="auto"/>
        </w:rPr>
        <w:t>Tenant's Agents</w:t>
      </w:r>
      <w:r>
        <w:rPr>
          <w:rFonts w:ascii="Arial" w:cs="Arial" w:eastAsia="Arial" w:hAnsi="Arial"/>
          <w:sz w:val="21"/>
          <w:szCs w:val="21"/>
          <w:color w:val="auto"/>
        </w:rPr>
        <w:t>. All subcontractors, laborers, materialmen, and suppliers used by Tenant (such subcontractors, laborers, materialmen, and suppliers, and the Contractor to be known collectively as "</w:t>
      </w:r>
      <w:r>
        <w:rPr>
          <w:rFonts w:ascii="Arial" w:cs="Arial" w:eastAsia="Arial" w:hAnsi="Arial"/>
          <w:sz w:val="21"/>
          <w:szCs w:val="21"/>
          <w:b w:val="1"/>
          <w:bCs w:val="1"/>
          <w:color w:val="auto"/>
        </w:rPr>
        <w:t>Tenant's Agents</w:t>
      </w:r>
      <w:r>
        <w:rPr>
          <w:rFonts w:ascii="Arial" w:cs="Arial" w:eastAsia="Arial" w:hAnsi="Arial"/>
          <w:sz w:val="21"/>
          <w:szCs w:val="21"/>
          <w:color w:val="auto"/>
        </w:rPr>
        <w:t>"). The subcontractors used by Tenant, but not any laborers, materialmen, and suppliers, must be approved in writing by Landlord, which approval shall not be unreasonably withheld, conditioned, or delayed; provided, however, Landlord may nevertheless designate and require the use of particular mechanical, engineering, plumbing, fire life-safety and other Base Building subcontractors. If Landlord does not approve any of Tenant's proposed subcontractors, Tenant shall submit other proposed subcontractors for Landlord's written approval.</w:t>
      </w:r>
    </w:p>
    <w:p>
      <w:pPr>
        <w:spacing w:after="0" w:line="6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b w:val="1"/>
          <w:bCs w:val="1"/>
          <w:u w:val="single" w:color="auto"/>
          <w:color w:val="auto"/>
        </w:rPr>
        <w:t>Construction of Tenant Improvements by Tenant's Agents</w:t>
      </w:r>
      <w:r>
        <w:rPr>
          <w:rFonts w:ascii="Arial" w:cs="Arial" w:eastAsia="Arial" w:hAnsi="Arial"/>
          <w:sz w:val="19"/>
          <w:szCs w:val="19"/>
          <w:color w:val="auto"/>
        </w:rPr>
        <w:t>.</w:t>
      </w:r>
    </w:p>
    <w:p>
      <w:pPr>
        <w:spacing w:after="0" w:line="105"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4.2.1 </w:t>
      </w:r>
      <w:r>
        <w:rPr>
          <w:rFonts w:ascii="Arial" w:cs="Arial" w:eastAsia="Arial" w:hAnsi="Arial"/>
          <w:sz w:val="20"/>
          <w:szCs w:val="20"/>
          <w:b w:val="1"/>
          <w:bCs w:val="1"/>
          <w:u w:val="single" w:color="auto"/>
          <w:color w:val="auto"/>
        </w:rPr>
        <w:t>Construction Contract; Cost Budget</w:t>
      </w:r>
      <w:r>
        <w:rPr>
          <w:rFonts w:ascii="Arial" w:cs="Arial" w:eastAsia="Arial" w:hAnsi="Arial"/>
          <w:sz w:val="20"/>
          <w:szCs w:val="20"/>
          <w:color w:val="auto"/>
        </w:rPr>
        <w:t>. Tenant shall engage the Contractor under a commercially reasonable and customary construction contract (collectively, the "</w:t>
      </w:r>
      <w:r>
        <w:rPr>
          <w:rFonts w:ascii="Arial" w:cs="Arial" w:eastAsia="Arial" w:hAnsi="Arial"/>
          <w:sz w:val="20"/>
          <w:szCs w:val="20"/>
          <w:b w:val="1"/>
          <w:bCs w:val="1"/>
          <w:color w:val="auto"/>
        </w:rPr>
        <w:t>Contract</w:t>
      </w:r>
      <w:r>
        <w:rPr>
          <w:rFonts w:ascii="Arial" w:cs="Arial" w:eastAsia="Arial" w:hAnsi="Arial"/>
          <w:sz w:val="20"/>
          <w:szCs w:val="20"/>
          <w:color w:val="auto"/>
        </w:rPr>
        <w:t>"). Prior to the commencement of the construction of any phase of the Tenant Improvements, and after Tenant has accepted all bids for the Tenant Improvements, Tenant shall provide Landlord with a detailed breakdown, by trade, of the final costs to be incurred or which have been incurred in connection with the design and construction of the relevant phase of the Tenant Improvements to be performed by or at the direction of Tenant or the Contractor, which costs form a basis for the estimated total costs of the work of the relevant phase of the Tenant Improvements (each, a "</w:t>
      </w:r>
      <w:r>
        <w:rPr>
          <w:rFonts w:ascii="Arial" w:cs="Arial" w:eastAsia="Arial" w:hAnsi="Arial"/>
          <w:sz w:val="20"/>
          <w:szCs w:val="20"/>
          <w:b w:val="1"/>
          <w:bCs w:val="1"/>
          <w:color w:val="auto"/>
        </w:rPr>
        <w:t>Final Budget</w:t>
      </w:r>
      <w:r>
        <w:rPr>
          <w:rFonts w:ascii="Arial" w:cs="Arial" w:eastAsia="Arial" w:hAnsi="Arial"/>
          <w:sz w:val="20"/>
          <w:szCs w:val="20"/>
          <w:color w:val="auto"/>
        </w:rPr>
        <w:t xml:space="preserve">"). Any costs of design and construction of the Tenant Improvements in excess of the Tenant Improvement Allowance shall be paid by Tenant out of its own funds once the Tenant Improvement Allowance is exhausted, but Tenant shall continue to provide Landlord with the documents described in </w:t>
      </w:r>
      <w:r>
        <w:rPr>
          <w:rFonts w:ascii="Arial" w:cs="Arial" w:eastAsia="Arial" w:hAnsi="Arial"/>
          <w:sz w:val="20"/>
          <w:szCs w:val="20"/>
          <w:u w:val="single" w:color="auto"/>
          <w:color w:val="auto"/>
        </w:rPr>
        <w:t>Sections 2.2.2.1(i)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of this Tenant Work Letter, above, for Landlord's approval, prior to Tenant paying such costs.</w:t>
      </w:r>
    </w:p>
    <w:p>
      <w:pPr>
        <w:spacing w:after="0" w:line="62" w:lineRule="exact"/>
        <w:rPr>
          <w:sz w:val="20"/>
          <w:szCs w:val="20"/>
          <w:color w:val="auto"/>
        </w:rPr>
      </w:pPr>
    </w:p>
    <w:p>
      <w:pPr>
        <w:ind w:left="1740"/>
        <w:spacing w:after="0"/>
        <w:tabs>
          <w:tab w:leader="none" w:pos="2780" w:val="left"/>
        </w:tabs>
        <w:rPr>
          <w:sz w:val="20"/>
          <w:szCs w:val="20"/>
          <w:color w:val="auto"/>
        </w:rPr>
      </w:pPr>
      <w:r>
        <w:rPr>
          <w:rFonts w:ascii="Arial" w:cs="Arial" w:eastAsia="Arial" w:hAnsi="Arial"/>
          <w:sz w:val="21"/>
          <w:szCs w:val="21"/>
          <w:color w:val="auto"/>
        </w:rPr>
        <w:t>4.2.2</w:t>
      </w:r>
      <w:r>
        <w:rPr>
          <w:sz w:val="20"/>
          <w:szCs w:val="20"/>
          <w:color w:val="auto"/>
        </w:rPr>
        <w:tab/>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w:t>
      </w:r>
    </w:p>
    <w:p>
      <w:pPr>
        <w:spacing w:after="0" w:line="105" w:lineRule="exact"/>
        <w:rPr>
          <w:sz w:val="20"/>
          <w:szCs w:val="20"/>
          <w:color w:val="auto"/>
        </w:rPr>
      </w:pPr>
    </w:p>
    <w:p>
      <w:pPr>
        <w:jc w:val="both"/>
        <w:ind w:firstLine="2593"/>
        <w:spacing w:after="0" w:line="262" w:lineRule="auto"/>
        <w:rPr>
          <w:sz w:val="20"/>
          <w:szCs w:val="20"/>
          <w:color w:val="auto"/>
        </w:rPr>
      </w:pPr>
      <w:r>
        <w:rPr>
          <w:rFonts w:ascii="Arial" w:cs="Arial" w:eastAsia="Arial" w:hAnsi="Arial"/>
          <w:sz w:val="20"/>
          <w:szCs w:val="20"/>
          <w:color w:val="auto"/>
        </w:rPr>
        <w:t xml:space="preserve">4.2.2.1 </w:t>
      </w:r>
      <w:r>
        <w:rPr>
          <w:rFonts w:ascii="Arial" w:cs="Arial" w:eastAsia="Arial" w:hAnsi="Arial"/>
          <w:sz w:val="20"/>
          <w:szCs w:val="20"/>
          <w:b w:val="1"/>
          <w:bCs w:val="1"/>
          <w:u w:val="single" w:color="auto"/>
          <w:color w:val="auto"/>
        </w:rPr>
        <w:t>Compliance with Drawings and Schedule</w:t>
      </w:r>
      <w:r>
        <w:rPr>
          <w:rFonts w:ascii="Arial" w:cs="Arial" w:eastAsia="Arial" w:hAnsi="Arial"/>
          <w:sz w:val="20"/>
          <w:szCs w:val="20"/>
          <w:color w:val="auto"/>
        </w:rPr>
        <w:t>. Tenant's and Tenant's Agent's construction of the Tenant Improvements shall comply with the following: (i) the Tenant Improvements shall be constructed in strict accordance with the Approved Working Drawings; and (ii) 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-6-</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2" w:name="page103"/>
    <w:bookmarkEnd w:id="102"/>
    <w:p>
      <w:pPr>
        <w:jc w:val="both"/>
        <w:ind w:firstLine="2593"/>
        <w:spacing w:after="0" w:line="256" w:lineRule="auto"/>
        <w:rPr>
          <w:sz w:val="20"/>
          <w:szCs w:val="20"/>
          <w:color w:val="auto"/>
        </w:rPr>
      </w:pPr>
      <w:r>
        <w:rPr>
          <w:rFonts w:ascii="Arial" w:cs="Arial" w:eastAsia="Arial" w:hAnsi="Arial"/>
          <w:sz w:val="20"/>
          <w:szCs w:val="20"/>
          <w:color w:val="auto"/>
        </w:rPr>
        <w:t xml:space="preserve">4.2.2.2 </w:t>
      </w:r>
      <w:r>
        <w:rPr>
          <w:rFonts w:ascii="Arial" w:cs="Arial" w:eastAsia="Arial" w:hAnsi="Arial"/>
          <w:sz w:val="20"/>
          <w:szCs w:val="20"/>
          <w:b w:val="1"/>
          <w:bCs w:val="1"/>
          <w:u w:val="single" w:color="auto"/>
          <w:color w:val="auto"/>
        </w:rPr>
        <w:t>Indemnity</w:t>
      </w:r>
      <w:r>
        <w:rPr>
          <w:rFonts w:ascii="Arial" w:cs="Arial" w:eastAsia="Arial" w:hAnsi="Arial"/>
          <w:sz w:val="20"/>
          <w:szCs w:val="20"/>
          <w:color w:val="auto"/>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 The foregoing indemnity shall not apply to claims caused by the gross negligence or willful misconduct of Landlord, its member partners, shareholders, officers, directors, agents, employees, and/or contractors.</w:t>
      </w:r>
    </w:p>
    <w:p>
      <w:pPr>
        <w:spacing w:after="0" w:line="58" w:lineRule="exact"/>
        <w:rPr>
          <w:sz w:val="20"/>
          <w:szCs w:val="20"/>
          <w:color w:val="auto"/>
        </w:rPr>
      </w:pPr>
    </w:p>
    <w:p>
      <w:pPr>
        <w:jc w:val="both"/>
        <w:ind w:firstLine="2593"/>
        <w:spacing w:after="0" w:line="254" w:lineRule="auto"/>
        <w:rPr>
          <w:sz w:val="20"/>
          <w:szCs w:val="20"/>
          <w:color w:val="auto"/>
        </w:rPr>
      </w:pPr>
      <w:r>
        <w:rPr>
          <w:rFonts w:ascii="Arial" w:cs="Arial" w:eastAsia="Arial" w:hAnsi="Arial"/>
          <w:sz w:val="20"/>
          <w:szCs w:val="20"/>
          <w:color w:val="auto"/>
        </w:rPr>
        <w:t xml:space="preserve">4.2.2.2 </w:t>
      </w:r>
      <w:r>
        <w:rPr>
          <w:rFonts w:ascii="Arial" w:cs="Arial" w:eastAsia="Arial" w:hAnsi="Arial"/>
          <w:sz w:val="20"/>
          <w:szCs w:val="20"/>
          <w:b w:val="1"/>
          <w:bCs w:val="1"/>
          <w:u w:val="single" w:color="auto"/>
          <w:color w:val="auto"/>
        </w:rPr>
        <w:t>Requirements of Tenant's Agents</w:t>
      </w:r>
      <w:r>
        <w:rPr>
          <w:rFonts w:ascii="Arial" w:cs="Arial" w:eastAsia="Arial" w:hAnsi="Arial"/>
          <w:sz w:val="20"/>
          <w:szCs w:val="20"/>
          <w:color w:val="auto"/>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for the applicable Premises (</w:t>
      </w:r>
      <w:r>
        <w:rPr>
          <w:rFonts w:ascii="Arial" w:cs="Arial" w:eastAsia="Arial" w:hAnsi="Arial"/>
          <w:sz w:val="20"/>
          <w:szCs w:val="20"/>
          <w:i w:val="1"/>
          <w:iCs w:val="1"/>
          <w:color w:val="auto"/>
        </w:rPr>
        <w:t>i.e.</w:t>
      </w:r>
      <w:r>
        <w:rPr>
          <w:rFonts w:ascii="Arial" w:cs="Arial" w:eastAsia="Arial" w:hAnsi="Arial"/>
          <w:sz w:val="20"/>
          <w:szCs w:val="20"/>
          <w:color w:val="auto"/>
        </w:rPr>
        <w:t xml:space="preserve"> the Expansion Premises or the Existing Premises) (for each such Premises, "</w:t>
      </w:r>
      <w:r>
        <w:rPr>
          <w:rFonts w:ascii="Arial" w:cs="Arial" w:eastAsia="Arial" w:hAnsi="Arial"/>
          <w:sz w:val="20"/>
          <w:szCs w:val="20"/>
          <w:b w:val="1"/>
          <w:bCs w:val="1"/>
          <w:color w:val="auto"/>
        </w:rPr>
        <w:t>Substantial Completion</w:t>
      </w:r>
      <w:r>
        <w:rPr>
          <w:rFonts w:ascii="Arial" w:cs="Arial" w:eastAsia="Arial" w:hAnsi="Arial"/>
          <w:sz w:val="20"/>
          <w:szCs w:val="20"/>
          <w:color w:val="auto"/>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 expenses and damages incurred in connection with such removal or replacement of all or any part of the applicable Tenant Improvements, and/or the applicable Building and/or common areas that may be damaged or disturbed thereby. All such warranties or guarantees as to materials or workmanship of or with respect to the applicable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61" w:lineRule="exact"/>
        <w:rPr>
          <w:sz w:val="20"/>
          <w:szCs w:val="20"/>
          <w:color w:val="auto"/>
        </w:rPr>
      </w:pPr>
    </w:p>
    <w:p>
      <w:pPr>
        <w:ind w:left="2600"/>
        <w:spacing w:after="0"/>
        <w:tabs>
          <w:tab w:leader="none" w:pos="3800" w:val="left"/>
        </w:tabs>
        <w:rPr>
          <w:sz w:val="20"/>
          <w:szCs w:val="20"/>
          <w:color w:val="auto"/>
        </w:rPr>
      </w:pPr>
      <w:r>
        <w:rPr>
          <w:rFonts w:ascii="Arial" w:cs="Arial" w:eastAsia="Arial" w:hAnsi="Arial"/>
          <w:sz w:val="21"/>
          <w:szCs w:val="21"/>
          <w:color w:val="auto"/>
        </w:rPr>
        <w:t>4.2.2.4</w:t>
      </w:r>
      <w:r>
        <w:rPr>
          <w:sz w:val="20"/>
          <w:szCs w:val="20"/>
          <w:color w:val="auto"/>
        </w:rPr>
        <w:tab/>
      </w:r>
      <w:r>
        <w:rPr>
          <w:rFonts w:ascii="Arial" w:cs="Arial" w:eastAsia="Arial" w:hAnsi="Arial"/>
          <w:sz w:val="19"/>
          <w:szCs w:val="19"/>
          <w:b w:val="1"/>
          <w:bCs w:val="1"/>
          <w:u w:val="single" w:color="auto"/>
          <w:color w:val="auto"/>
        </w:rPr>
        <w:t>Insurance Requirements</w:t>
      </w:r>
      <w:r>
        <w:rPr>
          <w:rFonts w:ascii="Arial" w:cs="Arial" w:eastAsia="Arial" w:hAnsi="Arial"/>
          <w:sz w:val="19"/>
          <w:szCs w:val="19"/>
          <w:color w:val="auto"/>
        </w:rPr>
        <w:t>.</w:t>
      </w:r>
    </w:p>
    <w:p>
      <w:pPr>
        <w:sectPr>
          <w:pgSz w:w="11900" w:h="16838" w:orient="portrait"/>
          <w:cols w:equalWidth="0" w:num="1">
            <w:col w:w="11240"/>
          </w:cols>
          <w:pgMar w:left="320" w:top="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left="2480" w:hanging="2487"/>
        <w:spacing w:after="0" w:line="244" w:lineRule="auto"/>
        <w:tabs>
          <w:tab w:leader="none" w:pos="2460" w:val="left"/>
        </w:tabs>
        <w:rPr>
          <w:sz w:val="20"/>
          <w:szCs w:val="20"/>
          <w:color w:val="auto"/>
        </w:rPr>
      </w:pPr>
      <w:r>
        <w:rPr>
          <w:rFonts w:ascii="Arial" w:cs="Arial" w:eastAsia="Arial" w:hAnsi="Arial"/>
          <w:sz w:val="21"/>
          <w:szCs w:val="21"/>
          <w:color w:val="auto"/>
        </w:rPr>
        <w:t>4.2.2.4.1</w:t>
      </w:r>
      <w:r>
        <w:rPr>
          <w:sz w:val="20"/>
          <w:szCs w:val="20"/>
          <w:color w:val="auto"/>
        </w:rPr>
        <w:tab/>
      </w:r>
      <w:r>
        <w:rPr>
          <w:rFonts w:ascii="Arial" w:cs="Arial" w:eastAsia="Arial" w:hAnsi="Arial"/>
          <w:sz w:val="21"/>
          <w:szCs w:val="21"/>
          <w:b w:val="1"/>
          <w:bCs w:val="1"/>
          <w:u w:val="single" w:color="auto"/>
          <w:color w:val="auto"/>
        </w:rPr>
        <w:t>General Coverages</w:t>
      </w:r>
      <w:r>
        <w:rPr>
          <w:rFonts w:ascii="Arial" w:cs="Arial" w:eastAsia="Arial" w:hAnsi="Arial"/>
          <w:sz w:val="21"/>
          <w:szCs w:val="21"/>
          <w:color w:val="auto"/>
        </w:rPr>
        <w:t>. All of Tenant's Agents shall carry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following insurance with insurers having a minimum A.M. best rating of A- VIII or better (i) worker's compensation insurance covering all of Tenant's Agents' respective employees with a waiver of subrogation in favor of Landlord and the property manager,</w:t>
      </w:r>
    </w:p>
    <w:p>
      <w:pPr>
        <w:spacing w:after="0" w:line="2" w:lineRule="exact"/>
        <w:rPr>
          <w:sz w:val="20"/>
          <w:szCs w:val="20"/>
          <w:color w:val="auto"/>
        </w:rPr>
      </w:pPr>
    </w:p>
    <w:p>
      <w:pPr>
        <w:jc w:val="both"/>
        <w:ind w:left="2480" w:hanging="2"/>
        <w:spacing w:after="0" w:line="255" w:lineRule="auto"/>
        <w:tabs>
          <w:tab w:leader="none" w:pos="2813" w:val="left"/>
        </w:tabs>
        <w:numPr>
          <w:ilvl w:val="0"/>
          <w:numId w:val="64"/>
        </w:numPr>
        <w:rPr>
          <w:rFonts w:ascii="Arial" w:cs="Arial" w:eastAsia="Arial" w:hAnsi="Arial"/>
          <w:sz w:val="20"/>
          <w:szCs w:val="20"/>
          <w:color w:val="auto"/>
        </w:rPr>
      </w:pPr>
      <w:r>
        <w:rPr>
          <w:rFonts w:ascii="Arial" w:cs="Arial" w:eastAsia="Arial" w:hAnsi="Arial"/>
          <w:sz w:val="20"/>
          <w:szCs w:val="20"/>
          <w:color w:val="auto"/>
        </w:rPr>
        <w:t>general liability insurance with a limit of not less than $1,000,000 per occurrence and $2,000,000 general aggregate, including products/completed operations and contractual coverage, and including Landlord and its property manager as additional insureds, and (ii) if the cost of such Tenant Improvements exceeds $100,000 in the aggregate, then Builders Risk insurance covering the construction of the Tenant Improvements, and such policy shall include Landlord as an additional insured.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jc w:val="right"/>
              <w:ind w:right="3357"/>
              <w:spacing w:after="0"/>
              <w:rPr>
                <w:sz w:val="20"/>
                <w:szCs w:val="20"/>
                <w:color w:val="auto"/>
              </w:rPr>
            </w:pPr>
            <w:r>
              <w:rPr>
                <w:rFonts w:ascii="Arial" w:cs="Arial" w:eastAsia="Arial" w:hAnsi="Arial"/>
                <w:sz w:val="21"/>
                <w:szCs w:val="21"/>
                <w:color w:val="auto"/>
                <w:w w:val="88"/>
              </w:rPr>
              <w:t>4.2.2.4.2</w:t>
            </w:r>
          </w:p>
        </w:tc>
        <w:tc>
          <w:tcPr>
            <w:tcW w:w="780" w:type="dxa"/>
            <w:vAlign w:val="bottom"/>
          </w:tcPr>
          <w:p>
            <w:pPr>
              <w:spacing w:after="0"/>
              <w:rPr>
                <w:sz w:val="20"/>
                <w:szCs w:val="20"/>
                <w:color w:val="auto"/>
              </w:rPr>
            </w:pPr>
          </w:p>
        </w:tc>
        <w:tc>
          <w:tcPr>
            <w:tcW w:w="5000" w:type="dxa"/>
            <w:vAlign w:val="bottom"/>
            <w:gridSpan w:val="4"/>
          </w:tcPr>
          <w:p>
            <w:pPr>
              <w:spacing w:after="0"/>
              <w:rPr>
                <w:sz w:val="20"/>
                <w:szCs w:val="20"/>
                <w:color w:val="auto"/>
              </w:rPr>
            </w:pPr>
            <w:r>
              <w:rPr>
                <w:rFonts w:ascii="Arial" w:cs="Arial" w:eastAsia="Arial" w:hAnsi="Arial"/>
                <w:sz w:val="21"/>
                <w:szCs w:val="21"/>
                <w:b w:val="1"/>
                <w:bCs w:val="1"/>
                <w:color w:val="auto"/>
              </w:rPr>
              <w:t>Intentionally Omitted</w:t>
            </w:r>
            <w:r>
              <w:rPr>
                <w:rFonts w:ascii="Arial" w:cs="Arial" w:eastAsia="Arial" w:hAnsi="Arial"/>
                <w:sz w:val="21"/>
                <w:szCs w:val="21"/>
                <w:color w:val="auto"/>
              </w:rPr>
              <w:t>.</w:t>
            </w: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33"/>
        </w:trPr>
        <w:tc>
          <w:tcPr>
            <w:tcW w:w="4200" w:type="dxa"/>
            <w:vAlign w:val="bottom"/>
          </w:tcPr>
          <w:p>
            <w:pPr>
              <w:jc w:val="right"/>
              <w:ind w:right="3357"/>
              <w:spacing w:after="0"/>
              <w:rPr>
                <w:sz w:val="20"/>
                <w:szCs w:val="20"/>
                <w:color w:val="auto"/>
              </w:rPr>
            </w:pPr>
            <w:r>
              <w:rPr>
                <w:rFonts w:ascii="Arial" w:cs="Arial" w:eastAsia="Arial" w:hAnsi="Arial"/>
                <w:sz w:val="21"/>
                <w:szCs w:val="21"/>
                <w:color w:val="auto"/>
                <w:w w:val="88"/>
              </w:rPr>
              <w:t>4.2.2.4.3</w:t>
            </w:r>
          </w:p>
        </w:tc>
        <w:tc>
          <w:tcPr>
            <w:tcW w:w="780" w:type="dxa"/>
            <w:vAlign w:val="bottom"/>
          </w:tcPr>
          <w:p>
            <w:pPr>
              <w:spacing w:after="0"/>
              <w:rPr>
                <w:sz w:val="24"/>
                <w:szCs w:val="24"/>
                <w:color w:val="auto"/>
              </w:rPr>
            </w:pPr>
          </w:p>
        </w:tc>
        <w:tc>
          <w:tcPr>
            <w:tcW w:w="5000" w:type="dxa"/>
            <w:vAlign w:val="bottom"/>
            <w:gridSpan w:val="4"/>
          </w:tcPr>
          <w:p>
            <w:pPr>
              <w:spacing w:after="0"/>
              <w:rPr>
                <w:sz w:val="20"/>
                <w:szCs w:val="20"/>
                <w:color w:val="auto"/>
              </w:rPr>
            </w:pPr>
            <w:r>
              <w:rPr>
                <w:rFonts w:ascii="Arial" w:cs="Arial" w:eastAsia="Arial" w:hAnsi="Arial"/>
                <w:sz w:val="21"/>
                <w:szCs w:val="21"/>
                <w:b w:val="1"/>
                <w:bCs w:val="1"/>
                <w:color w:val="auto"/>
              </w:rPr>
              <w:t>General Terms</w:t>
            </w:r>
            <w:r>
              <w:rPr>
                <w:rFonts w:ascii="Arial" w:cs="Arial" w:eastAsia="Arial" w:hAnsi="Arial"/>
                <w:sz w:val="21"/>
                <w:szCs w:val="21"/>
                <w:color w:val="auto"/>
              </w:rPr>
              <w:t>.  Certificates for all insurance carried</w:t>
            </w: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220"/>
        </w:trPr>
        <w:tc>
          <w:tcPr>
            <w:tcW w:w="9980" w:type="dxa"/>
            <w:vAlign w:val="bottom"/>
            <w:gridSpan w:val="6"/>
          </w:tcPr>
          <w:p>
            <w:pPr>
              <w:ind w:left="2480"/>
              <w:spacing w:after="0" w:line="220" w:lineRule="exact"/>
              <w:rPr>
                <w:sz w:val="20"/>
                <w:szCs w:val="20"/>
                <w:color w:val="auto"/>
              </w:rPr>
            </w:pPr>
            <w:r>
              <w:rPr>
                <w:rFonts w:ascii="Arial" w:cs="Arial" w:eastAsia="Arial" w:hAnsi="Arial"/>
                <w:sz w:val="21"/>
                <w:szCs w:val="21"/>
                <w:color w:val="auto"/>
              </w:rPr>
              <w:t>pursuant  to  this  Section  4.</w:t>
            </w:r>
            <w:r>
              <w:rPr>
                <w:rFonts w:ascii="Arial" w:cs="Arial" w:eastAsia="Arial" w:hAnsi="Arial"/>
                <w:sz w:val="21"/>
                <w:szCs w:val="21"/>
                <w:u w:val="single" w:color="auto"/>
                <w:color w:val="auto"/>
              </w:rPr>
              <w:t>2.2.4</w:t>
            </w:r>
            <w:r>
              <w:rPr>
                <w:rFonts w:ascii="Arial" w:cs="Arial" w:eastAsia="Arial" w:hAnsi="Arial"/>
                <w:sz w:val="21"/>
                <w:szCs w:val="21"/>
                <w:color w:val="auto"/>
              </w:rPr>
              <w:t xml:space="preserve">  shall  be  delivered  to  Landlord  before  the</w:t>
            </w:r>
          </w:p>
        </w:tc>
      </w:tr>
      <w:tr>
        <w:trPr>
          <w:trHeight w:val="271"/>
        </w:trPr>
        <w:tc>
          <w:tcPr>
            <w:tcW w:w="4200" w:type="dxa"/>
            <w:vAlign w:val="bottom"/>
          </w:tcPr>
          <w:p>
            <w:pPr>
              <w:ind w:left="2480"/>
              <w:spacing w:after="0"/>
              <w:rPr>
                <w:sz w:val="20"/>
                <w:szCs w:val="20"/>
                <w:color w:val="auto"/>
              </w:rPr>
            </w:pPr>
            <w:r>
              <w:rPr>
                <w:rFonts w:ascii="Arial" w:cs="Arial" w:eastAsia="Arial" w:hAnsi="Arial"/>
                <w:sz w:val="21"/>
                <w:szCs w:val="21"/>
                <w:color w:val="auto"/>
              </w:rPr>
              <w:t>commencement</w:t>
            </w:r>
          </w:p>
        </w:tc>
        <w:tc>
          <w:tcPr>
            <w:tcW w:w="7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478"/>
        </w:trPr>
        <w:tc>
          <w:tcPr>
            <w:tcW w:w="4200" w:type="dxa"/>
            <w:vAlign w:val="bottom"/>
          </w:tcPr>
          <w:p>
            <w:pPr>
              <w:jc w:val="right"/>
              <w:ind w:right="1097"/>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gridSpan w:val="3"/>
          </w:tcPr>
          <w:p>
            <w:pPr>
              <w:ind w:left="20"/>
              <w:spacing w:after="0"/>
              <w:rPr>
                <w:sz w:val="20"/>
                <w:szCs w:val="20"/>
                <w:color w:val="auto"/>
              </w:rPr>
            </w:pPr>
            <w:r>
              <w:rPr>
                <w:rFonts w:ascii="Arial" w:cs="Arial" w:eastAsia="Arial" w:hAnsi="Arial"/>
                <w:sz w:val="12"/>
                <w:szCs w:val="12"/>
                <w:color w:val="auto"/>
              </w:rPr>
              <w:t>[Revolution Medicines,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197485</wp:posOffset>
            </wp:positionV>
            <wp:extent cx="71507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2">
            <w:col w:w="540" w:space="720"/>
            <w:col w:w="9980"/>
          </w:cols>
          <w:pgMar w:left="320" w:top="432" w:right="339" w:bottom="1440" w:gutter="0" w:footer="0" w:header="0"/>
          <w:type w:val="continuous"/>
        </w:sectPr>
      </w:pPr>
    </w:p>
    <w:bookmarkStart w:id="103" w:name="page104"/>
    <w:bookmarkEnd w:id="103"/>
    <w:p>
      <w:pPr>
        <w:jc w:val="both"/>
        <w:ind w:left="3740" w:firstLine="2501"/>
        <w:spacing w:after="0" w:line="253" w:lineRule="auto"/>
        <w:rPr>
          <w:sz w:val="20"/>
          <w:szCs w:val="20"/>
          <w:color w:val="auto"/>
        </w:rPr>
      </w:pPr>
      <w:r>
        <w:rPr>
          <w:rFonts w:ascii="Arial" w:cs="Arial" w:eastAsia="Arial" w:hAnsi="Arial"/>
          <w:sz w:val="20"/>
          <w:szCs w:val="20"/>
          <w:color w:val="auto"/>
        </w:rPr>
        <w:t xml:space="preserve">of construction of the Expansion Tenant Improvements and before the Contractor's equipment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In the event that the Expansion Tenant Improvements are damaged by any cause during the course of the construction thereof, Tenant shall immediately repair the same at Tenant's sole cost and expense. Tenant's Agents shall maintain all of the foregoing insurance coverage in force until the Expansion Tenant Improvements are fully completed, except for any Products and Completed Operation Coverage insurance required by Landlord, which is to be maintained for ten (10) years following completion of the work.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20"/>
          <w:szCs w:val="20"/>
          <w:u w:val="single" w:color="auto"/>
          <w:color w:val="auto"/>
        </w:rPr>
        <w:t>Section 4.2.2.2</w:t>
      </w:r>
      <w:r>
        <w:rPr>
          <w:rFonts w:ascii="Arial" w:cs="Arial" w:eastAsia="Arial" w:hAnsi="Arial"/>
          <w:sz w:val="20"/>
          <w:szCs w:val="20"/>
          <w:color w:val="auto"/>
        </w:rPr>
        <w:t xml:space="preserve"> of this Tenant Work Letter.</w:t>
      </w:r>
    </w:p>
    <w:p>
      <w:pPr>
        <w:spacing w:after="0" w:line="60" w:lineRule="exact"/>
        <w:rPr>
          <w:sz w:val="20"/>
          <w:szCs w:val="20"/>
          <w:color w:val="auto"/>
        </w:rPr>
      </w:pPr>
    </w:p>
    <w:p>
      <w:pPr>
        <w:ind w:left="1740"/>
        <w:spacing w:after="0"/>
        <w:tabs>
          <w:tab w:leader="none" w:pos="2780" w:val="left"/>
          <w:tab w:leader="none" w:pos="5500" w:val="left"/>
        </w:tabs>
        <w:rPr>
          <w:sz w:val="20"/>
          <w:szCs w:val="20"/>
          <w:color w:val="auto"/>
        </w:rPr>
      </w:pPr>
      <w:r>
        <w:rPr>
          <w:rFonts w:ascii="Arial" w:cs="Arial" w:eastAsia="Arial" w:hAnsi="Arial"/>
          <w:sz w:val="21"/>
          <w:szCs w:val="21"/>
          <w:color w:val="auto"/>
        </w:rPr>
        <w:t>4.2.2</w:t>
      </w:r>
      <w:r>
        <w:rPr>
          <w:sz w:val="20"/>
          <w:szCs w:val="20"/>
          <w:color w:val="auto"/>
        </w:rPr>
        <w:tab/>
      </w:r>
      <w:r>
        <w:rPr>
          <w:rFonts w:ascii="Arial" w:cs="Arial" w:eastAsia="Arial" w:hAnsi="Arial"/>
          <w:sz w:val="21"/>
          <w:szCs w:val="21"/>
          <w:b w:val="1"/>
          <w:bCs w:val="1"/>
          <w:u w:val="single" w:color="auto"/>
          <w:color w:val="auto"/>
        </w:rPr>
        <w:t>Governmental Compliance</w:t>
      </w:r>
      <w:r>
        <w:rPr>
          <w:rFonts w:ascii="Arial" w:cs="Arial" w:eastAsia="Arial" w:hAnsi="Arial"/>
          <w:sz w:val="21"/>
          <w:szCs w:val="21"/>
          <w:color w:val="auto"/>
        </w:rPr>
        <w:t>.</w:t>
      </w:r>
      <w:r>
        <w:rPr>
          <w:sz w:val="20"/>
          <w:szCs w:val="20"/>
          <w:color w:val="auto"/>
        </w:rPr>
        <w:tab/>
      </w:r>
      <w:r>
        <w:rPr>
          <w:rFonts w:ascii="Arial" w:cs="Arial" w:eastAsia="Arial" w:hAnsi="Arial"/>
          <w:sz w:val="20"/>
          <w:szCs w:val="20"/>
          <w:color w:val="auto"/>
        </w:rPr>
        <w:t>The Tenant Improvements shall comply in all respects with the</w:t>
      </w:r>
    </w:p>
    <w:p>
      <w:pPr>
        <w:spacing w:after="0" w:line="2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68" w:lineRule="exact"/>
        <w:rPr>
          <w:sz w:val="20"/>
          <w:szCs w:val="20"/>
          <w:color w:val="auto"/>
        </w:rPr>
      </w:pPr>
    </w:p>
    <w:p>
      <w:pPr>
        <w:jc w:val="both"/>
        <w:ind w:firstLine="1728"/>
        <w:spacing w:after="0" w:line="269" w:lineRule="auto"/>
        <w:rPr>
          <w:sz w:val="20"/>
          <w:szCs w:val="20"/>
          <w:color w:val="auto"/>
        </w:rPr>
      </w:pPr>
      <w:r>
        <w:rPr>
          <w:rFonts w:ascii="Arial" w:cs="Arial" w:eastAsia="Arial" w:hAnsi="Arial"/>
          <w:sz w:val="19"/>
          <w:szCs w:val="19"/>
          <w:color w:val="auto"/>
        </w:rPr>
        <w:t xml:space="preserve">4.2.4 </w:t>
      </w:r>
      <w:r>
        <w:rPr>
          <w:rFonts w:ascii="Arial" w:cs="Arial" w:eastAsia="Arial" w:hAnsi="Arial"/>
          <w:sz w:val="19"/>
          <w:szCs w:val="19"/>
          <w:b w:val="1"/>
          <w:bCs w:val="1"/>
          <w:u w:val="single" w:color="auto"/>
          <w:color w:val="auto"/>
        </w:rPr>
        <w:t>Inspection by Landlord</w:t>
      </w:r>
      <w:r>
        <w:rPr>
          <w:rFonts w:ascii="Arial" w:cs="Arial" w:eastAsia="Arial" w:hAnsi="Arial"/>
          <w:sz w:val="19"/>
          <w:szCs w:val="19"/>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comply with the Approved Working Drawings, Landlord shall notify Tenant in writing of such disapproval and shall specify the items 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spacing w:after="0" w:line="47" w:lineRule="exact"/>
        <w:rPr>
          <w:sz w:val="20"/>
          <w:szCs w:val="20"/>
          <w:color w:val="auto"/>
        </w:rPr>
      </w:pPr>
    </w:p>
    <w:p>
      <w:pPr>
        <w:jc w:val="both"/>
        <w:ind w:firstLine="1728"/>
        <w:spacing w:after="0" w:line="260" w:lineRule="auto"/>
        <w:rPr>
          <w:sz w:val="20"/>
          <w:szCs w:val="20"/>
          <w:color w:val="auto"/>
        </w:rPr>
      </w:pPr>
      <w:r>
        <w:rPr>
          <w:rFonts w:ascii="Arial" w:cs="Arial" w:eastAsia="Arial" w:hAnsi="Arial"/>
          <w:sz w:val="20"/>
          <w:szCs w:val="20"/>
          <w:color w:val="auto"/>
        </w:rPr>
        <w:t xml:space="preserve">4.2.5 </w:t>
      </w:r>
      <w:r>
        <w:rPr>
          <w:rFonts w:ascii="Arial" w:cs="Arial" w:eastAsia="Arial" w:hAnsi="Arial"/>
          <w:sz w:val="20"/>
          <w:szCs w:val="20"/>
          <w:b w:val="1"/>
          <w:bCs w:val="1"/>
          <w:u w:val="single" w:color="auto"/>
          <w:color w:val="auto"/>
        </w:rPr>
        <w:t>Meetings</w:t>
      </w:r>
      <w:r>
        <w:rPr>
          <w:rFonts w:ascii="Arial" w:cs="Arial" w:eastAsia="Arial" w:hAnsi="Arial"/>
          <w:sz w:val="20"/>
          <w:szCs w:val="20"/>
          <w:color w:val="auto"/>
        </w:rPr>
        <w:t>. Commencing upon the execution of this Second Amendment, Tenant shall hold weekly meetings at a reasonable time,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-8-</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04" w:name="page105"/>
    <w:bookmarkEnd w:id="104"/>
    <w:tbl>
      <w:tblPr>
        <w:tblLayout w:type="fixed"/>
        <w:tblInd w:w="80" w:type="dxa"/>
        <w:tblCellMar>
          <w:top w:w="0" w:type="dxa"/>
          <w:left w:w="0" w:type="dxa"/>
          <w:bottom w:w="0" w:type="dxa"/>
          <w:right w:w="0" w:type="dxa"/>
        </w:tblCellMar>
      </w:tblPr>
      <w:tr>
        <w:trPr>
          <w:trHeight w:val="241"/>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4.3</w:t>
            </w:r>
          </w:p>
        </w:tc>
        <w:tc>
          <w:tcPr>
            <w:tcW w:w="1060" w:type="dxa"/>
            <w:vAlign w:val="bottom"/>
          </w:tcPr>
          <w:p>
            <w:pPr>
              <w:spacing w:after="0"/>
              <w:rPr>
                <w:sz w:val="21"/>
                <w:szCs w:val="21"/>
                <w:color w:val="auto"/>
              </w:rPr>
            </w:pPr>
          </w:p>
        </w:tc>
        <w:tc>
          <w:tcPr>
            <w:tcW w:w="9580" w:type="dxa"/>
            <w:vAlign w:val="bottom"/>
            <w:gridSpan w:val="10"/>
          </w:tcPr>
          <w:p>
            <w:pPr>
              <w:jc w:val="right"/>
              <w:spacing w:after="0"/>
              <w:rPr>
                <w:sz w:val="20"/>
                <w:szCs w:val="20"/>
                <w:color w:val="auto"/>
              </w:rPr>
            </w:pPr>
            <w:r>
              <w:rPr>
                <w:rFonts w:ascii="Arial" w:cs="Arial" w:eastAsia="Arial" w:hAnsi="Arial"/>
                <w:sz w:val="21"/>
                <w:szCs w:val="21"/>
                <w:b w:val="1"/>
                <w:bCs w:val="1"/>
                <w:color w:val="auto"/>
                <w:w w:val="93"/>
              </w:rPr>
              <w:t>Notice of Completion; Copy of Record Set of Plans</w:t>
            </w:r>
            <w:r>
              <w:rPr>
                <w:rFonts w:ascii="Arial" w:cs="Arial" w:eastAsia="Arial" w:hAnsi="Arial"/>
                <w:sz w:val="21"/>
                <w:szCs w:val="21"/>
                <w:color w:val="auto"/>
                <w:w w:val="93"/>
              </w:rPr>
              <w:t>. Within ten (10) days after completion of construction of</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10640" w:type="dxa"/>
            <w:vAlign w:val="bottom"/>
            <w:gridSpan w:val="11"/>
          </w:tcPr>
          <w:p>
            <w:pPr>
              <w:ind w:left="260"/>
              <w:spacing w:after="0" w:line="238" w:lineRule="exact"/>
              <w:rPr>
                <w:sz w:val="20"/>
                <w:szCs w:val="20"/>
                <w:color w:val="auto"/>
              </w:rPr>
            </w:pPr>
            <w:r>
              <w:rPr>
                <w:rFonts w:ascii="Arial" w:cs="Arial" w:eastAsia="Arial" w:hAnsi="Arial"/>
                <w:sz w:val="21"/>
                <w:szCs w:val="21"/>
                <w:color w:val="auto"/>
                <w:w w:val="92"/>
              </w:rPr>
              <w:t>the Tenant Improvements, Tenant shall cause a valid Notice of Completion to be recorded in the office of the Recorder of</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the county in which the Building is located in accordance with Section 8182 of the Civil Code of the State of California</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or any successor statute, and shall furnish a copy thereof to Landlord upon such recordation.  If Tenant fails to do so,</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1"/>
              </w:rPr>
              <w:t>Landlord may execute and file the same on behalf of Tenant as Tenant's agent for such purpose, at Tenant's sole cost and</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9"/>
              </w:rPr>
              <w:t>expense.  At the conclusion of construction, (i) Tenant shall cause the Architect and Contractor (</w:t>
            </w:r>
            <w:r>
              <w:rPr>
                <w:rFonts w:ascii="Arial" w:cs="Arial" w:eastAsia="Arial" w:hAnsi="Arial"/>
                <w:sz w:val="21"/>
                <w:szCs w:val="21"/>
                <w:i w:val="1"/>
                <w:iCs w:val="1"/>
                <w:color w:val="auto"/>
                <w:w w:val="99"/>
              </w:rPr>
              <w:t>x</w:t>
            </w:r>
            <w:r>
              <w:rPr>
                <w:rFonts w:ascii="Arial" w:cs="Arial" w:eastAsia="Arial" w:hAnsi="Arial"/>
                <w:sz w:val="21"/>
                <w:szCs w:val="21"/>
                <w:color w:val="auto"/>
                <w:w w:val="99"/>
              </w:rPr>
              <w:t>) to update the</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Approved Working Drawings as necessary to reflect all changes made to the Approved Working Drawings during the</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3"/>
              </w:rPr>
              <w:t>course of construction, (</w:t>
            </w:r>
            <w:r>
              <w:rPr>
                <w:rFonts w:ascii="Arial" w:cs="Arial" w:eastAsia="Arial" w:hAnsi="Arial"/>
                <w:sz w:val="21"/>
                <w:szCs w:val="21"/>
                <w:i w:val="1"/>
                <w:iCs w:val="1"/>
                <w:color w:val="auto"/>
                <w:w w:val="93"/>
              </w:rPr>
              <w:t>y</w:t>
            </w:r>
            <w:r>
              <w:rPr>
                <w:rFonts w:ascii="Arial" w:cs="Arial" w:eastAsia="Arial" w:hAnsi="Arial"/>
                <w:sz w:val="21"/>
                <w:szCs w:val="21"/>
                <w:color w:val="auto"/>
                <w:w w:val="93"/>
              </w:rPr>
              <w:t>) to certify to the best of their knowledge that the "record-set" of as-built drawings are true and</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4"/>
              </w:rPr>
              <w:t>correct, which certification shall survive the expiration or termination of the Lease, and (</w:t>
            </w:r>
            <w:r>
              <w:rPr>
                <w:rFonts w:ascii="Arial" w:cs="Arial" w:eastAsia="Arial" w:hAnsi="Arial"/>
                <w:sz w:val="21"/>
                <w:szCs w:val="21"/>
                <w:i w:val="1"/>
                <w:iCs w:val="1"/>
                <w:color w:val="auto"/>
                <w:w w:val="94"/>
              </w:rPr>
              <w:t>z</w:t>
            </w:r>
            <w:r>
              <w:rPr>
                <w:rFonts w:ascii="Arial" w:cs="Arial" w:eastAsia="Arial" w:hAnsi="Arial"/>
                <w:sz w:val="21"/>
                <w:szCs w:val="21"/>
                <w:color w:val="auto"/>
                <w:w w:val="94"/>
              </w:rPr>
              <w:t>) to deliver to Landlord two (2)</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4"/>
              </w:rPr>
              <w:t>sets of copies of such record set of drawings (hard copy and CAD files) within ninety (90) days following issuance of a</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certificate of occupancy for the Premises, and (ii) Tenant shall deliver to Landlord a copy of all warranties, guaranties,</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4"/>
              </w:rPr>
              <w:t>and operating manuals and information relating to the improvements, equipment, and systems in the Premises. Within</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5"/>
              </w:rPr>
              <w:t>fifteen (15) days after request by Tenant following the Substantial Completion of the Tenant Improvements, Landlord</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3"/>
              </w:rPr>
              <w:t>will acknowledge its approval of the Tenant Improvements (provided that such approval has been granted) by placing its</w:t>
            </w:r>
          </w:p>
        </w:tc>
      </w:tr>
      <w:tr>
        <w:trPr>
          <w:trHeight w:val="240"/>
        </w:trPr>
        <w:tc>
          <w:tcPr>
            <w:tcW w:w="520" w:type="dxa"/>
            <w:vAlign w:val="bottom"/>
          </w:tcPr>
          <w:p>
            <w:pPr>
              <w:spacing w:after="0"/>
              <w:rPr>
                <w:sz w:val="20"/>
                <w:szCs w:val="20"/>
                <w:color w:val="auto"/>
              </w:rPr>
            </w:pPr>
          </w:p>
        </w:tc>
        <w:tc>
          <w:tcPr>
            <w:tcW w:w="10640" w:type="dxa"/>
            <w:vAlign w:val="bottom"/>
            <w:gridSpan w:val="11"/>
          </w:tcPr>
          <w:p>
            <w:pPr>
              <w:ind w:left="260"/>
              <w:spacing w:after="0" w:line="240" w:lineRule="exact"/>
              <w:rPr>
                <w:sz w:val="20"/>
                <w:szCs w:val="20"/>
                <w:color w:val="auto"/>
              </w:rPr>
            </w:pPr>
            <w:r>
              <w:rPr>
                <w:rFonts w:ascii="Arial" w:cs="Arial" w:eastAsia="Arial" w:hAnsi="Arial"/>
                <w:sz w:val="21"/>
                <w:szCs w:val="21"/>
                <w:color w:val="auto"/>
                <w:w w:val="93"/>
              </w:rPr>
              <w:t>signature on a Contractor’s Certificate of Substantial Completion fully executed by the Architect, Contractor and Tenant.</w:t>
            </w:r>
          </w:p>
        </w:tc>
      </w:tr>
      <w:tr>
        <w:trPr>
          <w:trHeight w:val="240"/>
        </w:trPr>
        <w:tc>
          <w:tcPr>
            <w:tcW w:w="520" w:type="dxa"/>
            <w:vAlign w:val="bottom"/>
          </w:tcPr>
          <w:p>
            <w:pPr>
              <w:spacing w:after="0"/>
              <w:rPr>
                <w:sz w:val="20"/>
                <w:szCs w:val="20"/>
                <w:color w:val="auto"/>
              </w:rPr>
            </w:pPr>
          </w:p>
        </w:tc>
        <w:tc>
          <w:tcPr>
            <w:tcW w:w="10640" w:type="dxa"/>
            <w:vAlign w:val="bottom"/>
            <w:gridSpan w:val="11"/>
          </w:tcPr>
          <w:p>
            <w:pPr>
              <w:jc w:val="right"/>
              <w:spacing w:after="0" w:line="240" w:lineRule="exact"/>
              <w:rPr>
                <w:sz w:val="20"/>
                <w:szCs w:val="20"/>
                <w:color w:val="auto"/>
              </w:rPr>
            </w:pPr>
            <w:r>
              <w:rPr>
                <w:rFonts w:ascii="Arial" w:cs="Arial" w:eastAsia="Arial" w:hAnsi="Arial"/>
                <w:sz w:val="21"/>
                <w:szCs w:val="21"/>
                <w:color w:val="auto"/>
              </w:rPr>
              <w:t>Landlord’s approval shall not create any contingent liabilities for Landlord with respect to any latent quality, design,</w:t>
            </w:r>
          </w:p>
        </w:tc>
      </w:tr>
      <w:tr>
        <w:trPr>
          <w:trHeight w:val="272"/>
        </w:trPr>
        <w:tc>
          <w:tcPr>
            <w:tcW w:w="520" w:type="dxa"/>
            <w:vAlign w:val="bottom"/>
          </w:tcPr>
          <w:p>
            <w:pPr>
              <w:spacing w:after="0"/>
              <w:rPr>
                <w:sz w:val="23"/>
                <w:szCs w:val="23"/>
                <w:color w:val="auto"/>
              </w:rPr>
            </w:pPr>
          </w:p>
        </w:tc>
        <w:tc>
          <w:tcPr>
            <w:tcW w:w="10640" w:type="dxa"/>
            <w:vAlign w:val="bottom"/>
            <w:gridSpan w:val="11"/>
          </w:tcPr>
          <w:p>
            <w:pPr>
              <w:ind w:left="260"/>
              <w:spacing w:after="0"/>
              <w:rPr>
                <w:sz w:val="20"/>
                <w:szCs w:val="20"/>
                <w:color w:val="auto"/>
              </w:rPr>
            </w:pPr>
            <w:r>
              <w:rPr>
                <w:rFonts w:ascii="Arial" w:cs="Arial" w:eastAsia="Arial" w:hAnsi="Arial"/>
                <w:sz w:val="21"/>
                <w:szCs w:val="21"/>
                <w:color w:val="auto"/>
              </w:rPr>
              <w:t>Code compliance or other like matters that may arise subsequent to Landlord’s approval.</w:t>
            </w:r>
          </w:p>
        </w:tc>
      </w:tr>
      <w:tr>
        <w:trPr>
          <w:trHeight w:val="402"/>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5"/>
          </w:tcPr>
          <w:p>
            <w:pPr>
              <w:jc w:val="right"/>
              <w:ind w:right="5060"/>
              <w:spacing w:after="0"/>
              <w:rPr>
                <w:sz w:val="20"/>
                <w:szCs w:val="20"/>
                <w:color w:val="auto"/>
              </w:rPr>
            </w:pPr>
            <w:r>
              <w:rPr>
                <w:rFonts w:ascii="Arial" w:cs="Arial" w:eastAsia="Arial" w:hAnsi="Arial"/>
                <w:sz w:val="21"/>
                <w:szCs w:val="21"/>
                <w:b w:val="1"/>
                <w:bCs w:val="1"/>
                <w:color w:val="auto"/>
                <w:w w:val="99"/>
              </w:rPr>
              <w:t>SECTION 5</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60"/>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21"/>
                <w:szCs w:val="21"/>
                <w:b w:val="1"/>
                <w:bCs w:val="1"/>
                <w:color w:val="auto"/>
              </w:rPr>
              <w:t>MISCELLANEOUS</w:t>
            </w:r>
          </w:p>
        </w:tc>
        <w:tc>
          <w:tcPr>
            <w:tcW w:w="4680" w:type="dxa"/>
            <w:vAlign w:val="bottom"/>
          </w:tcPr>
          <w:p>
            <w:pPr>
              <w:spacing w:after="0"/>
              <w:rPr>
                <w:sz w:val="24"/>
                <w:szCs w:val="24"/>
                <w:color w:val="auto"/>
              </w:rPr>
            </w:pPr>
          </w:p>
        </w:tc>
      </w:tr>
      <w:tr>
        <w:trPr>
          <w:trHeight w:val="327"/>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5.1</w:t>
            </w:r>
          </w:p>
        </w:tc>
        <w:tc>
          <w:tcPr>
            <w:tcW w:w="1060" w:type="dxa"/>
            <w:vAlign w:val="bottom"/>
          </w:tcPr>
          <w:p>
            <w:pPr>
              <w:spacing w:after="0"/>
              <w:rPr>
                <w:sz w:val="24"/>
                <w:szCs w:val="24"/>
                <w:color w:val="auto"/>
              </w:rPr>
            </w:pPr>
          </w:p>
        </w:tc>
        <w:tc>
          <w:tcPr>
            <w:tcW w:w="9580" w:type="dxa"/>
            <w:vAlign w:val="bottom"/>
            <w:gridSpan w:val="10"/>
          </w:tcPr>
          <w:p>
            <w:pPr>
              <w:jc w:val="right"/>
              <w:ind w:right="7540"/>
              <w:spacing w:after="0"/>
              <w:rPr>
                <w:sz w:val="20"/>
                <w:szCs w:val="20"/>
                <w:color w:val="auto"/>
              </w:rPr>
            </w:pPr>
            <w:r>
              <w:rPr>
                <w:rFonts w:ascii="Arial" w:cs="Arial" w:eastAsia="Arial" w:hAnsi="Arial"/>
                <w:sz w:val="21"/>
                <w:szCs w:val="21"/>
                <w:b w:val="1"/>
                <w:bCs w:val="1"/>
                <w:color w:val="auto"/>
                <w:w w:val="94"/>
              </w:rPr>
              <w:t>Intentionally Omitted</w:t>
            </w:r>
            <w:r>
              <w:rPr>
                <w:rFonts w:ascii="Arial" w:cs="Arial" w:eastAsia="Arial" w:hAnsi="Arial"/>
                <w:sz w:val="21"/>
                <w:szCs w:val="21"/>
                <w:color w:val="auto"/>
                <w:w w:val="94"/>
              </w:rPr>
              <w:t>.</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327"/>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5.2</w:t>
            </w:r>
          </w:p>
        </w:tc>
        <w:tc>
          <w:tcPr>
            <w:tcW w:w="106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Arial" w:cs="Arial" w:eastAsia="Arial" w:hAnsi="Arial"/>
                <w:sz w:val="21"/>
                <w:szCs w:val="21"/>
                <w:b w:val="1"/>
                <w:bCs w:val="1"/>
                <w:color w:val="auto"/>
                <w:w w:val="93"/>
              </w:rPr>
              <w:t>Tenant's Representative</w:t>
            </w:r>
            <w:r>
              <w:rPr>
                <w:rFonts w:ascii="Arial" w:cs="Arial" w:eastAsia="Arial" w:hAnsi="Arial"/>
                <w:sz w:val="21"/>
                <w:szCs w:val="21"/>
                <w:color w:val="auto"/>
                <w:w w:val="93"/>
              </w:rPr>
              <w:t>. Tenant has designated [</w:t>
            </w:r>
            <w:r>
              <w:rPr>
                <w:rFonts w:ascii="Arial" w:cs="Arial" w:eastAsia="Arial" w:hAnsi="Arial"/>
                <w:sz w:val="21"/>
                <w:szCs w:val="21"/>
                <w:b w:val="1"/>
                <w:bCs w:val="1"/>
                <w:color w:val="auto"/>
                <w:w w:val="93"/>
              </w:rPr>
              <w:t>PLEASE PROVIDE</w:t>
            </w:r>
            <w:r>
              <w:rPr>
                <w:rFonts w:ascii="Arial" w:cs="Arial" w:eastAsia="Arial" w:hAnsi="Arial"/>
                <w:sz w:val="21"/>
                <w:szCs w:val="21"/>
                <w:color w:val="auto"/>
                <w:w w:val="93"/>
              </w:rPr>
              <w:t>: ________] as its sole representatives</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10640" w:type="dxa"/>
            <w:vAlign w:val="bottom"/>
            <w:gridSpan w:val="11"/>
          </w:tcPr>
          <w:p>
            <w:pPr>
              <w:ind w:left="260"/>
              <w:spacing w:after="0" w:line="238" w:lineRule="exact"/>
              <w:rPr>
                <w:sz w:val="20"/>
                <w:szCs w:val="20"/>
                <w:color w:val="auto"/>
              </w:rPr>
            </w:pPr>
            <w:r>
              <w:rPr>
                <w:rFonts w:ascii="Arial" w:cs="Arial" w:eastAsia="Arial" w:hAnsi="Arial"/>
                <w:sz w:val="21"/>
                <w:szCs w:val="21"/>
                <w:color w:val="auto"/>
                <w:w w:val="95"/>
              </w:rPr>
              <w:t>with respect to the matters set forth in this Tenant Work Letter, who shall each have full authority and responsibility to</w:t>
            </w:r>
          </w:p>
        </w:tc>
      </w:tr>
      <w:tr>
        <w:trPr>
          <w:trHeight w:val="272"/>
        </w:trPr>
        <w:tc>
          <w:tcPr>
            <w:tcW w:w="520" w:type="dxa"/>
            <w:vAlign w:val="bottom"/>
          </w:tcPr>
          <w:p>
            <w:pPr>
              <w:spacing w:after="0"/>
              <w:rPr>
                <w:sz w:val="23"/>
                <w:szCs w:val="23"/>
                <w:color w:val="auto"/>
              </w:rPr>
            </w:pPr>
          </w:p>
        </w:tc>
        <w:tc>
          <w:tcPr>
            <w:tcW w:w="10640" w:type="dxa"/>
            <w:vAlign w:val="bottom"/>
            <w:gridSpan w:val="11"/>
          </w:tcPr>
          <w:p>
            <w:pPr>
              <w:ind w:left="260"/>
              <w:spacing w:after="0"/>
              <w:rPr>
                <w:sz w:val="20"/>
                <w:szCs w:val="20"/>
                <w:color w:val="auto"/>
              </w:rPr>
            </w:pPr>
            <w:r>
              <w:rPr>
                <w:rFonts w:ascii="Arial" w:cs="Arial" w:eastAsia="Arial" w:hAnsi="Arial"/>
                <w:sz w:val="21"/>
                <w:szCs w:val="21"/>
                <w:color w:val="auto"/>
              </w:rPr>
              <w:t>act on behalf of the Tenant as required in this Tenant Work Letter.</w:t>
            </w:r>
          </w:p>
        </w:tc>
      </w:tr>
      <w:tr>
        <w:trPr>
          <w:trHeight w:val="296"/>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5.3</w:t>
            </w:r>
          </w:p>
        </w:tc>
        <w:tc>
          <w:tcPr>
            <w:tcW w:w="106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Arial" w:cs="Arial" w:eastAsia="Arial" w:hAnsi="Arial"/>
                <w:sz w:val="21"/>
                <w:szCs w:val="21"/>
                <w:b w:val="1"/>
                <w:bCs w:val="1"/>
                <w:color w:val="auto"/>
                <w:w w:val="94"/>
              </w:rPr>
              <w:t>Landlord's Representative</w:t>
            </w:r>
            <w:r>
              <w:rPr>
                <w:rFonts w:ascii="Arial" w:cs="Arial" w:eastAsia="Arial" w:hAnsi="Arial"/>
                <w:sz w:val="21"/>
                <w:szCs w:val="21"/>
                <w:color w:val="auto"/>
                <w:w w:val="94"/>
              </w:rPr>
              <w:t>. Landlord has designated [</w:t>
            </w:r>
            <w:r>
              <w:rPr>
                <w:rFonts w:ascii="Arial" w:cs="Arial" w:eastAsia="Arial" w:hAnsi="Arial"/>
                <w:sz w:val="21"/>
                <w:szCs w:val="21"/>
                <w:b w:val="1"/>
                <w:bCs w:val="1"/>
                <w:color w:val="auto"/>
                <w:w w:val="94"/>
              </w:rPr>
              <w:t>TO BE PROVIDED</w:t>
            </w:r>
            <w:r>
              <w:rPr>
                <w:rFonts w:ascii="Arial" w:cs="Arial" w:eastAsia="Arial" w:hAnsi="Arial"/>
                <w:sz w:val="21"/>
                <w:szCs w:val="21"/>
                <w:color w:val="auto"/>
                <w:w w:val="94"/>
              </w:rPr>
              <w:t>: ________] with PMA, as its sole</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20" w:type="dxa"/>
            <w:vAlign w:val="bottom"/>
            <w:gridSpan w:val="3"/>
            <w:shd w:val="clear" w:color="auto" w:fill="000000"/>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10640" w:type="dxa"/>
            <w:vAlign w:val="bottom"/>
            <w:gridSpan w:val="11"/>
          </w:tcPr>
          <w:p>
            <w:pPr>
              <w:ind w:left="260"/>
              <w:spacing w:after="0" w:line="238" w:lineRule="exact"/>
              <w:rPr>
                <w:sz w:val="20"/>
                <w:szCs w:val="20"/>
                <w:color w:val="auto"/>
              </w:rPr>
            </w:pPr>
            <w:r>
              <w:rPr>
                <w:rFonts w:ascii="Arial" w:cs="Arial" w:eastAsia="Arial" w:hAnsi="Arial"/>
                <w:sz w:val="21"/>
                <w:szCs w:val="21"/>
                <w:color w:val="auto"/>
                <w:w w:val="94"/>
              </w:rPr>
              <w:t>representatives with respect to the matters set forth in this Tenant Work Letter, who, until further notice to Tenant, shall</w:t>
            </w:r>
          </w:p>
        </w:tc>
      </w:tr>
      <w:tr>
        <w:trPr>
          <w:trHeight w:val="272"/>
        </w:trPr>
        <w:tc>
          <w:tcPr>
            <w:tcW w:w="520" w:type="dxa"/>
            <w:vAlign w:val="bottom"/>
          </w:tcPr>
          <w:p>
            <w:pPr>
              <w:spacing w:after="0"/>
              <w:rPr>
                <w:sz w:val="23"/>
                <w:szCs w:val="23"/>
                <w:color w:val="auto"/>
              </w:rPr>
            </w:pPr>
          </w:p>
        </w:tc>
        <w:tc>
          <w:tcPr>
            <w:tcW w:w="10640" w:type="dxa"/>
            <w:vAlign w:val="bottom"/>
            <w:gridSpan w:val="11"/>
          </w:tcPr>
          <w:p>
            <w:pPr>
              <w:ind w:left="260"/>
              <w:spacing w:after="0"/>
              <w:rPr>
                <w:sz w:val="20"/>
                <w:szCs w:val="20"/>
                <w:color w:val="auto"/>
              </w:rPr>
            </w:pPr>
            <w:r>
              <w:rPr>
                <w:rFonts w:ascii="Arial" w:cs="Arial" w:eastAsia="Arial" w:hAnsi="Arial"/>
                <w:sz w:val="21"/>
                <w:szCs w:val="21"/>
                <w:color w:val="auto"/>
              </w:rPr>
              <w:t>have full authority and responsibility to act on behalf of the Landlord as required in this Tenant Work Letter.</w:t>
            </w:r>
          </w:p>
        </w:tc>
      </w:tr>
      <w:tr>
        <w:trPr>
          <w:trHeight w:val="296"/>
        </w:trPr>
        <w:tc>
          <w:tcPr>
            <w:tcW w:w="520" w:type="dxa"/>
            <w:vAlign w:val="bottom"/>
          </w:tcPr>
          <w:p>
            <w:pPr>
              <w:jc w:val="right"/>
              <w:ind w:right="153"/>
              <w:spacing w:after="0"/>
              <w:rPr>
                <w:sz w:val="20"/>
                <w:szCs w:val="20"/>
                <w:color w:val="auto"/>
              </w:rPr>
            </w:pPr>
            <w:r>
              <w:rPr>
                <w:rFonts w:ascii="Arial" w:cs="Arial" w:eastAsia="Arial" w:hAnsi="Arial"/>
                <w:sz w:val="21"/>
                <w:szCs w:val="21"/>
                <w:color w:val="auto"/>
                <w:w w:val="82"/>
              </w:rPr>
              <w:t>5.4</w:t>
            </w:r>
          </w:p>
        </w:tc>
        <w:tc>
          <w:tcPr>
            <w:tcW w:w="1060" w:type="dxa"/>
            <w:vAlign w:val="bottom"/>
          </w:tcPr>
          <w:p>
            <w:pPr>
              <w:spacing w:after="0"/>
              <w:rPr>
                <w:sz w:val="24"/>
                <w:szCs w:val="24"/>
                <w:color w:val="auto"/>
              </w:rPr>
            </w:pPr>
          </w:p>
        </w:tc>
        <w:tc>
          <w:tcPr>
            <w:tcW w:w="9580" w:type="dxa"/>
            <w:vAlign w:val="bottom"/>
            <w:gridSpan w:val="10"/>
          </w:tcPr>
          <w:p>
            <w:pPr>
              <w:jc w:val="right"/>
              <w:spacing w:after="0"/>
              <w:rPr>
                <w:sz w:val="20"/>
                <w:szCs w:val="20"/>
                <w:color w:val="auto"/>
              </w:rPr>
            </w:pPr>
            <w:r>
              <w:rPr>
                <w:rFonts w:ascii="Arial" w:cs="Arial" w:eastAsia="Arial" w:hAnsi="Arial"/>
                <w:sz w:val="21"/>
                <w:szCs w:val="21"/>
                <w:b w:val="1"/>
                <w:bCs w:val="1"/>
                <w:color w:val="auto"/>
                <w:w w:val="94"/>
              </w:rPr>
              <w:t>Time is of the Essence in This Tenant Work Letter</w:t>
            </w:r>
            <w:r>
              <w:rPr>
                <w:rFonts w:ascii="Arial" w:cs="Arial" w:eastAsia="Arial" w:hAnsi="Arial"/>
                <w:sz w:val="21"/>
                <w:szCs w:val="21"/>
                <w:color w:val="auto"/>
                <w:w w:val="94"/>
              </w:rPr>
              <w:t>.  Unless otherwise indicated, all references herein to a</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40" w:type="dxa"/>
            <w:vAlign w:val="bottom"/>
            <w:gridSpan w:val="8"/>
            <w:shd w:val="clear" w:color="auto" w:fill="000000"/>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0640" w:type="dxa"/>
            <w:vAlign w:val="bottom"/>
            <w:gridSpan w:val="11"/>
          </w:tcPr>
          <w:p>
            <w:pPr>
              <w:ind w:left="260"/>
              <w:spacing w:after="0"/>
              <w:rPr>
                <w:sz w:val="20"/>
                <w:szCs w:val="20"/>
                <w:color w:val="auto"/>
              </w:rPr>
            </w:pPr>
            <w:r>
              <w:rPr>
                <w:rFonts w:ascii="Arial" w:cs="Arial" w:eastAsia="Arial" w:hAnsi="Arial"/>
                <w:sz w:val="21"/>
                <w:szCs w:val="21"/>
                <w:color w:val="auto"/>
              </w:rPr>
              <w:t>"number of days" shall mean and refer to calendar days.  If any item requiring approval is timely disapproved by</w:t>
            </w:r>
          </w:p>
        </w:tc>
      </w:tr>
    </w:tbl>
    <w:p>
      <w:pPr>
        <w:ind w:left="860"/>
        <w:spacing w:after="0" w:line="250" w:lineRule="auto"/>
        <w:rPr>
          <w:sz w:val="20"/>
          <w:szCs w:val="20"/>
          <w:color w:val="auto"/>
        </w:rPr>
      </w:pPr>
      <w:r>
        <w:rPr>
          <w:rFonts w:ascii="Arial" w:cs="Arial" w:eastAsia="Arial" w:hAnsi="Arial"/>
          <w:sz w:val="21"/>
          <w:szCs w:val="21"/>
          <w:color w:val="auto"/>
        </w:rPr>
        <w:t>Landlord, the procedure for preparation of the document and approval thereof shall be repeated until the document is approved by Landlord.</w:t>
      </w:r>
    </w:p>
    <w:p>
      <w:pPr>
        <w:spacing w:after="0" w:line="16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u w:val="single" w:color="auto"/>
          <w:color w:val="auto"/>
        </w:rPr>
        <w:t>Tenant's Lease Default</w:t>
      </w:r>
      <w:r>
        <w:rPr>
          <w:rFonts w:ascii="Arial" w:cs="Arial" w:eastAsia="Arial" w:hAnsi="Arial"/>
          <w:sz w:val="21"/>
          <w:szCs w:val="21"/>
          <w:color w:val="auto"/>
        </w:rPr>
        <w:t>. Notwithstanding any provision to the contrary contained in the Lease or this Tenant Work Letter, if any default by Tenant under the Lease or this Tenant Work Letter (including, without limitation, any failure by Tenant to fund any portion of the Over-Allowance Amount) occurs at any time on or before the substantial completion of the Tenant Improvements and such default remains uncured for ten (10) days following Landlord's notice of such default to Tenant (or such longer time as provided in the Lease or this Tenant Work Letter),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-9-</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05" w:name="page106"/>
    <w:bookmarkEnd w:id="105"/>
    <w:p>
      <w:pPr>
        <w:jc w:val="both"/>
        <w:spacing w:after="0" w:line="245" w:lineRule="auto"/>
        <w:rPr>
          <w:sz w:val="20"/>
          <w:szCs w:val="20"/>
          <w:color w:val="auto"/>
        </w:rPr>
      </w:pPr>
      <w:r>
        <w:rPr>
          <w:rFonts w:ascii="Arial" w:cs="Arial" w:eastAsia="Arial" w:hAnsi="Arial"/>
          <w:sz w:val="21"/>
          <w:szCs w:val="21"/>
          <w:color w:val="auto"/>
        </w:rPr>
        <w:t>then in addition to all other rights and remedies granted to Landlord pursuant to the Lease, Landlord shall have the right to withhold payment of the next disbursements of the Tenant Improvement Allowance and/or Landlord may, without any liability whatsoever, cause the cessation of construction of the Tenant Improvements until such default is cured (in which case, Tenant may be responsible for such delay in the substantial completion of the Tenant Improvements and actual costs to Landlord reasonably occasioned thereby).</w:t>
      </w:r>
    </w:p>
    <w:p>
      <w:pPr>
        <w:spacing w:after="0" w:line="17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b w:val="1"/>
          <w:bCs w:val="1"/>
          <w:u w:val="single" w:color="auto"/>
          <w:color w:val="auto"/>
        </w:rPr>
        <w:t>Bifurcation of Work</w:t>
      </w:r>
      <w:r>
        <w:rPr>
          <w:rFonts w:ascii="Arial" w:cs="Arial" w:eastAsia="Arial" w:hAnsi="Arial"/>
          <w:sz w:val="21"/>
          <w:szCs w:val="21"/>
          <w:color w:val="auto"/>
        </w:rPr>
        <w:t>. Landlord and Tenant acknowledge that work relating to the Expansion Tenant Improvements will commence prior to work relating to the Existing Tenant Improvements, and that the progress of the work in either of the Expansion Premises or the Existing Premises is not contingent on progress of the work in the other. The various space plans, working drawings and budgets referenced hereunder will be prepared and approved separately with respect to each of the Expansion Premises and the Existing Premises.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restart"/>
          </w:tcPr>
          <w:p>
            <w:pPr>
              <w:jc w:val="right"/>
              <w:ind w:right="1191"/>
              <w:spacing w:after="0"/>
              <w:rPr>
                <w:sz w:val="20"/>
                <w:szCs w:val="20"/>
                <w:color w:val="auto"/>
              </w:rPr>
            </w:pPr>
            <w:r>
              <w:rPr>
                <w:rFonts w:ascii="Arial" w:cs="Arial" w:eastAsia="Arial" w:hAnsi="Arial"/>
                <w:sz w:val="18"/>
                <w:szCs w:val="18"/>
                <w:color w:val="auto"/>
              </w:rPr>
              <w:t>-10-</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20"/>
                <w:szCs w:val="20"/>
                <w:color w:val="auto"/>
              </w:rPr>
            </w:pPr>
            <w:r>
              <w:rPr>
                <w:rFonts w:ascii="Arial" w:cs="Arial" w:eastAsia="Arial" w:hAnsi="Arial"/>
                <w:sz w:val="12"/>
                <w:szCs w:val="12"/>
                <w:color w:val="auto"/>
              </w:rPr>
              <w:t>-///</w:t>
            </w:r>
          </w:p>
        </w:tc>
        <w:tc>
          <w:tcPr>
            <w:tcW w:w="3520" w:type="dxa"/>
            <w:vAlign w:val="bottom"/>
            <w:vMerge w:val="continue"/>
          </w:tcPr>
          <w:p>
            <w:pPr>
              <w:spacing w:after="0"/>
              <w:rPr>
                <w:sz w:val="13"/>
                <w:szCs w:val="13"/>
                <w:color w:val="auto"/>
              </w:rPr>
            </w:pPr>
          </w:p>
        </w:tc>
        <w:tc>
          <w:tcPr>
            <w:tcW w:w="2720" w:type="dxa"/>
            <w:vAlign w:val="bottom"/>
          </w:tcPr>
          <w:p>
            <w:pPr>
              <w:ind w:left="128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jc w:val="center"/>
        <w:ind w:right="-1120"/>
        <w:spacing w:after="0"/>
        <w:rPr>
          <w:sz w:val="20"/>
          <w:szCs w:val="20"/>
          <w:color w:val="auto"/>
        </w:rPr>
      </w:pPr>
      <w:r>
        <w:rPr>
          <w:rFonts w:ascii="Arial" w:cs="Arial" w:eastAsia="Arial" w:hAnsi="Arial"/>
          <w:sz w:val="21"/>
          <w:szCs w:val="21"/>
          <w:b w:val="1"/>
          <w:bCs w:val="1"/>
          <w:u w:val="single" w:color="auto"/>
          <w:color w:val="auto"/>
        </w:rPr>
        <w:t>EXHIBIT C</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LANDLORD WORK</w:t>
      </w: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Item #3: AC3. York M# ZF180N2D4AAA1B S# N1L0420356 (2010)</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1 5T. Life expectancy 4-6 years.</w:t>
      </w:r>
    </w:p>
    <w:p>
      <w:pPr>
        <w:spacing w:after="0"/>
        <w:rPr>
          <w:sz w:val="20"/>
          <w:szCs w:val="20"/>
          <w:color w:val="auto"/>
        </w:rPr>
      </w:pPr>
      <w:r>
        <w:rPr>
          <w:rFonts w:ascii="Arial" w:cs="Arial" w:eastAsia="Arial" w:hAnsi="Arial"/>
          <w:sz w:val="19"/>
          <w:szCs w:val="19"/>
          <w:color w:val="auto"/>
        </w:rPr>
        <w:t>The condenser coil is in poor shape, recommend replacement. Circuit #2 is flat; recommend a leak check and repair.</w:t>
      </w:r>
    </w:p>
    <w:p>
      <w:pPr>
        <w:spacing w:after="0" w:line="110" w:lineRule="exact"/>
        <w:rPr>
          <w:sz w:val="20"/>
          <w:szCs w:val="20"/>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Furnish a crane to facilitate the replacement of the condenser coil.</w:t>
      </w:r>
    </w:p>
    <w:p>
      <w:pPr>
        <w:spacing w:after="0" w:line="29"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Remove and replace the failing condenser coil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Furnish and install necessary fittings to accommodate the new condenser coil.</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Remove and replace (2) defective crankcase heaters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Reclaim the refrigerant from the unit.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Pressurize the unit with dry nitrogen.</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Perform an electronic refrigerant leak check and repair of the system.</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Remove and replace the existing liquid line filter drier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Evacuate and recharge the system with refrigerant.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5"/>
        </w:numPr>
        <w:rPr>
          <w:rFonts w:ascii="MS PGothic" w:cs="MS PGothic" w:eastAsia="MS PGothic" w:hAnsi="MS PGothic"/>
          <w:sz w:val="21"/>
          <w:szCs w:val="21"/>
          <w:color w:val="auto"/>
        </w:rPr>
      </w:pPr>
      <w:r>
        <w:rPr>
          <w:rFonts w:ascii="Arial" w:cs="Arial" w:eastAsia="Arial" w:hAnsi="Arial"/>
          <w:sz w:val="21"/>
          <w:szCs w:val="21"/>
          <w:color w:val="auto"/>
        </w:rPr>
        <w:t>Start up and verify proper operation.</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Item #4: AC4. Carrier M# 50CDD008630 S# 1388G190448 (1988)</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7. 5T. Unit has exceeded its’ 20-15 year life expectancy.</w:t>
      </w:r>
    </w:p>
    <w:p>
      <w:pPr>
        <w:spacing w:after="0"/>
        <w:rPr>
          <w:sz w:val="20"/>
          <w:szCs w:val="20"/>
          <w:color w:val="auto"/>
        </w:rPr>
      </w:pPr>
      <w:r>
        <w:rPr>
          <w:rFonts w:ascii="Arial" w:cs="Arial" w:eastAsia="Arial" w:hAnsi="Arial"/>
          <w:sz w:val="21"/>
          <w:szCs w:val="21"/>
          <w:color w:val="auto"/>
        </w:rPr>
        <w:t>Electrical disconnect is off. The unit needs troubleshooting for the electrical/controls.</w:t>
      </w:r>
    </w:p>
    <w:p>
      <w:pPr>
        <w:spacing w:after="0" w:line="87" w:lineRule="exact"/>
        <w:rPr>
          <w:sz w:val="20"/>
          <w:szCs w:val="20"/>
          <w:color w:val="auto"/>
        </w:rPr>
      </w:pPr>
    </w:p>
    <w:p>
      <w:pPr>
        <w:ind w:left="860" w:hanging="427"/>
        <w:spacing w:after="0"/>
        <w:tabs>
          <w:tab w:leader="none" w:pos="860" w:val="left"/>
        </w:tabs>
        <w:numPr>
          <w:ilvl w:val="0"/>
          <w:numId w:val="66"/>
        </w:numPr>
        <w:rPr>
          <w:rFonts w:ascii="MS PGothic" w:cs="MS PGothic" w:eastAsia="MS PGothic" w:hAnsi="MS PGothic"/>
          <w:sz w:val="21"/>
          <w:szCs w:val="21"/>
          <w:color w:val="auto"/>
        </w:rPr>
      </w:pPr>
      <w:r>
        <w:rPr>
          <w:rFonts w:ascii="Arial" w:cs="Arial" w:eastAsia="Arial" w:hAnsi="Arial"/>
          <w:sz w:val="21"/>
          <w:szCs w:val="21"/>
          <w:color w:val="auto"/>
        </w:rPr>
        <w:t>Clean outdoor coil(s) (condenser).</w:t>
      </w:r>
    </w:p>
    <w:p>
      <w:pPr>
        <w:spacing w:after="0" w:line="29" w:lineRule="exact"/>
        <w:rPr>
          <w:rFonts w:ascii="MS PGothic" w:cs="MS PGothic" w:eastAsia="MS PGothic" w:hAnsi="MS PGothic"/>
          <w:sz w:val="21"/>
          <w:szCs w:val="21"/>
          <w:color w:val="auto"/>
        </w:rPr>
      </w:pPr>
    </w:p>
    <w:p>
      <w:pPr>
        <w:ind w:left="860" w:hanging="427"/>
        <w:spacing w:after="0"/>
        <w:tabs>
          <w:tab w:leader="none" w:pos="860" w:val="left"/>
        </w:tabs>
        <w:numPr>
          <w:ilvl w:val="0"/>
          <w:numId w:val="66"/>
        </w:numPr>
        <w:rPr>
          <w:rFonts w:ascii="MS PGothic" w:cs="MS PGothic" w:eastAsia="MS PGothic" w:hAnsi="MS PGothic"/>
          <w:sz w:val="21"/>
          <w:szCs w:val="21"/>
          <w:color w:val="auto"/>
        </w:rPr>
      </w:pPr>
      <w:r>
        <w:rPr>
          <w:rFonts w:ascii="Arial" w:cs="Arial" w:eastAsia="Arial" w:hAnsi="Arial"/>
          <w:sz w:val="21"/>
          <w:szCs w:val="21"/>
          <w:color w:val="auto"/>
        </w:rPr>
        <w:t>Rinse the coil(s) with clear water.</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6"/>
        </w:numPr>
        <w:rPr>
          <w:rFonts w:ascii="MS PGothic" w:cs="MS PGothic" w:eastAsia="MS PGothic" w:hAnsi="MS PGothic"/>
          <w:sz w:val="21"/>
          <w:szCs w:val="21"/>
          <w:color w:val="auto"/>
        </w:rPr>
      </w:pPr>
      <w:r>
        <w:rPr>
          <w:rFonts w:ascii="Arial" w:cs="Arial" w:eastAsia="Arial" w:hAnsi="Arial"/>
          <w:sz w:val="21"/>
          <w:szCs w:val="21"/>
          <w:color w:val="auto"/>
        </w:rPr>
        <w:t>Troubleshoot the control wiring and electrical.</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Item #5: AC5. Carrier M# 50LJ08610 S# 1893G67768 (1993)</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7.5T. Unit has exceeded its’ 20-15 year life expectancy.</w:t>
      </w:r>
    </w:p>
    <w:p>
      <w:pPr>
        <w:spacing w:after="0"/>
        <w:rPr>
          <w:sz w:val="20"/>
          <w:szCs w:val="20"/>
          <w:color w:val="auto"/>
        </w:rPr>
      </w:pPr>
      <w:r>
        <w:rPr>
          <w:rFonts w:ascii="Arial" w:cs="Arial" w:eastAsia="Arial" w:hAnsi="Arial"/>
          <w:sz w:val="21"/>
          <w:szCs w:val="21"/>
          <w:color w:val="auto"/>
        </w:rPr>
        <w:t>The condenser coil is in poor shape, recommend replacement.</w:t>
      </w:r>
    </w:p>
    <w:p>
      <w:pPr>
        <w:spacing w:after="0" w:line="87" w:lineRule="exact"/>
        <w:rPr>
          <w:sz w:val="20"/>
          <w:szCs w:val="20"/>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Furnish a crane to facilitate the replacement of the condenser coil.</w:t>
      </w:r>
    </w:p>
    <w:p>
      <w:pPr>
        <w:spacing w:after="0" w:line="29"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Remove and replace the failing condenser coil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Furnish and install necessary fittings to accommodate the new condenser coil.</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Remove and replace the worn condenser fan contactor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Reclaim the refrigerant from the unit.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Pressurize the unit with dry nitrogen.</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Perform an electronic refrigerant leak check and repair of the system.</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Remove and replace the existing liquid line filter drier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Evacuate and recharge the system with refrigerant.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7"/>
        </w:numPr>
        <w:rPr>
          <w:rFonts w:ascii="MS PGothic" w:cs="MS PGothic" w:eastAsia="MS PGothic" w:hAnsi="MS PGothic"/>
          <w:sz w:val="21"/>
          <w:szCs w:val="21"/>
          <w:color w:val="auto"/>
        </w:rPr>
      </w:pPr>
      <w:r>
        <w:rPr>
          <w:rFonts w:ascii="Arial" w:cs="Arial" w:eastAsia="Arial" w:hAnsi="Arial"/>
          <w:sz w:val="21"/>
          <w:szCs w:val="21"/>
          <w:color w:val="auto"/>
        </w:rPr>
        <w:t>Start up and verify proper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-1-</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b w:val="1"/>
          <w:bCs w:val="1"/>
          <w:u w:val="single" w:color="auto"/>
          <w:color w:val="auto"/>
        </w:rPr>
        <w:t>Item #7: AC7. Trane M# YCD18084LOCA S# H32142513D (1993)</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15T. Life expectancy 3-5 years.</w:t>
      </w:r>
    </w:p>
    <w:p>
      <w:pPr>
        <w:spacing w:after="0"/>
        <w:rPr>
          <w:sz w:val="20"/>
          <w:szCs w:val="20"/>
          <w:color w:val="auto"/>
        </w:rPr>
      </w:pPr>
      <w:r>
        <w:rPr>
          <w:rFonts w:ascii="Arial" w:cs="Arial" w:eastAsia="Arial" w:hAnsi="Arial"/>
          <w:sz w:val="21"/>
          <w:szCs w:val="21"/>
          <w:color w:val="auto"/>
        </w:rPr>
        <w:t>Circuits #1 and #2 are flat; recommend a leak check and repair on each circuit.</w:t>
      </w:r>
    </w:p>
    <w:p>
      <w:pPr>
        <w:spacing w:after="0" w:line="87" w:lineRule="exact"/>
        <w:rPr>
          <w:sz w:val="20"/>
          <w:szCs w:val="20"/>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Clean outdoor coil(s) (condenser).</w:t>
      </w:r>
    </w:p>
    <w:p>
      <w:pPr>
        <w:spacing w:after="0" w:line="29"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Remove and replace the worn drive sheave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Verify proper belt tension and alignment.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Rinse the coil(s) with clear water.</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Reclaim the refrigerant from the unit on both Circuits #1 and #2.</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Pressurize the unit with dry nitrogen.</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Perform an electronic refrigerant leak check and repair of the system.</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Remove and replace the existing liquid line filter drier with new.</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Evacuate and recharge both circuits with refrigerant.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8"/>
        </w:numPr>
        <w:rPr>
          <w:rFonts w:ascii="MS PGothic" w:cs="MS PGothic" w:eastAsia="MS PGothic" w:hAnsi="MS PGothic"/>
          <w:sz w:val="21"/>
          <w:szCs w:val="21"/>
          <w:color w:val="auto"/>
        </w:rPr>
      </w:pPr>
      <w:r>
        <w:rPr>
          <w:rFonts w:ascii="Arial" w:cs="Arial" w:eastAsia="Arial" w:hAnsi="Arial"/>
          <w:sz w:val="21"/>
          <w:szCs w:val="21"/>
          <w:color w:val="auto"/>
        </w:rPr>
        <w:t>Start up and verify proper operation.</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Item #10: CU1. EMI M# SCC30DE0000AAUA S# 1-99-C-6411-11 (1999)</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2.5T Cooling only unit. Unit has met its’ 20 year life expectancy.</w:t>
      </w:r>
    </w:p>
    <w:p>
      <w:pPr>
        <w:ind w:right="220"/>
        <w:spacing w:after="0" w:line="250" w:lineRule="auto"/>
        <w:rPr>
          <w:sz w:val="20"/>
          <w:szCs w:val="20"/>
          <w:color w:val="auto"/>
        </w:rPr>
      </w:pPr>
      <w:r>
        <w:rPr>
          <w:rFonts w:ascii="Arial" w:cs="Arial" w:eastAsia="Arial" w:hAnsi="Arial"/>
          <w:sz w:val="21"/>
          <w:szCs w:val="21"/>
          <w:color w:val="auto"/>
        </w:rPr>
        <w:t>Unit is powered but no operation. The manufacturer recommends replacement as this is an obsolete R22 unit. On site contact is unaware of the location to the corresponding indoor unit.</w:t>
      </w:r>
    </w:p>
    <w:p>
      <w:pPr>
        <w:spacing w:after="0" w:line="65" w:lineRule="exact"/>
        <w:rPr>
          <w:sz w:val="20"/>
          <w:szCs w:val="20"/>
          <w:color w:val="auto"/>
        </w:rPr>
      </w:pPr>
    </w:p>
    <w:p>
      <w:pPr>
        <w:ind w:left="860" w:hanging="427"/>
        <w:spacing w:after="0"/>
        <w:tabs>
          <w:tab w:leader="none" w:pos="860" w:val="left"/>
        </w:tabs>
        <w:numPr>
          <w:ilvl w:val="0"/>
          <w:numId w:val="69"/>
        </w:numPr>
        <w:rPr>
          <w:rFonts w:ascii="MS PGothic" w:cs="MS PGothic" w:eastAsia="MS PGothic" w:hAnsi="MS PGothic"/>
          <w:sz w:val="21"/>
          <w:szCs w:val="21"/>
          <w:color w:val="auto"/>
        </w:rPr>
      </w:pPr>
      <w:r>
        <w:rPr>
          <w:rFonts w:ascii="Arial" w:cs="Arial" w:eastAsia="Arial" w:hAnsi="Arial"/>
          <w:sz w:val="21"/>
          <w:szCs w:val="21"/>
          <w:color w:val="auto"/>
        </w:rPr>
        <w:t>Furnish a crane to facilitate the replacement of the unit.</w:t>
      </w:r>
    </w:p>
    <w:p>
      <w:pPr>
        <w:spacing w:after="0" w:line="118" w:lineRule="exact"/>
        <w:rPr>
          <w:rFonts w:ascii="MS PGothic" w:cs="MS PGothic" w:eastAsia="MS PGothic" w:hAnsi="MS PGothic"/>
          <w:sz w:val="21"/>
          <w:szCs w:val="21"/>
          <w:color w:val="auto"/>
        </w:rPr>
      </w:pPr>
    </w:p>
    <w:p>
      <w:pPr>
        <w:ind w:left="860" w:hanging="427"/>
        <w:spacing w:after="0"/>
        <w:tabs>
          <w:tab w:leader="none" w:pos="860" w:val="left"/>
        </w:tabs>
        <w:numPr>
          <w:ilvl w:val="0"/>
          <w:numId w:val="69"/>
        </w:numPr>
        <w:rPr>
          <w:rFonts w:ascii="MS PGothic" w:cs="MS PGothic" w:eastAsia="MS PGothic" w:hAnsi="MS PGothic"/>
          <w:sz w:val="21"/>
          <w:szCs w:val="21"/>
          <w:color w:val="auto"/>
        </w:rPr>
      </w:pPr>
      <w:r>
        <w:rPr>
          <w:rFonts w:ascii="Arial" w:cs="Arial" w:eastAsia="Arial" w:hAnsi="Arial"/>
          <w:sz w:val="21"/>
          <w:szCs w:val="21"/>
          <w:color w:val="auto"/>
        </w:rPr>
        <w:t>Remove and replace the failing condenser coil with new.</w:t>
      </w:r>
    </w:p>
    <w:p>
      <w:pPr>
        <w:spacing w:after="0" w:line="29" w:lineRule="exact"/>
        <w:rPr>
          <w:rFonts w:ascii="MS PGothic" w:cs="MS PGothic" w:eastAsia="MS PGothic" w:hAnsi="MS PGothic"/>
          <w:sz w:val="21"/>
          <w:szCs w:val="21"/>
          <w:color w:val="auto"/>
        </w:rPr>
      </w:pPr>
    </w:p>
    <w:p>
      <w:pPr>
        <w:ind w:left="860" w:hanging="427"/>
        <w:spacing w:after="0"/>
        <w:tabs>
          <w:tab w:leader="none" w:pos="860" w:val="left"/>
        </w:tabs>
        <w:numPr>
          <w:ilvl w:val="0"/>
          <w:numId w:val="69"/>
        </w:numPr>
        <w:rPr>
          <w:rFonts w:ascii="MS PGothic" w:cs="MS PGothic" w:eastAsia="MS PGothic" w:hAnsi="MS PGothic"/>
          <w:sz w:val="21"/>
          <w:szCs w:val="21"/>
          <w:color w:val="auto"/>
        </w:rPr>
      </w:pPr>
      <w:r>
        <w:rPr>
          <w:rFonts w:ascii="Arial" w:cs="Arial" w:eastAsia="Arial" w:hAnsi="Arial"/>
          <w:sz w:val="21"/>
          <w:szCs w:val="21"/>
          <w:color w:val="auto"/>
        </w:rPr>
        <w:t>Furnish and install necessary fittings to accommodate the new unit.</w:t>
      </w:r>
    </w:p>
    <w:p>
      <w:pPr>
        <w:spacing w:after="0" w:line="11" w:lineRule="exact"/>
        <w:rPr>
          <w:rFonts w:ascii="MS PGothic" w:cs="MS PGothic" w:eastAsia="MS PGothic" w:hAnsi="MS PGothic"/>
          <w:sz w:val="21"/>
          <w:szCs w:val="21"/>
          <w:color w:val="auto"/>
        </w:rPr>
      </w:pPr>
    </w:p>
    <w:p>
      <w:pPr>
        <w:ind w:left="860" w:hanging="427"/>
        <w:spacing w:after="0"/>
        <w:tabs>
          <w:tab w:leader="none" w:pos="860" w:val="left"/>
        </w:tabs>
        <w:numPr>
          <w:ilvl w:val="0"/>
          <w:numId w:val="69"/>
        </w:numPr>
        <w:rPr>
          <w:rFonts w:ascii="MS PGothic" w:cs="MS PGothic" w:eastAsia="MS PGothic" w:hAnsi="MS PGothic"/>
          <w:sz w:val="21"/>
          <w:szCs w:val="21"/>
          <w:color w:val="auto"/>
        </w:rPr>
      </w:pPr>
      <w:r>
        <w:rPr>
          <w:rFonts w:ascii="Arial" w:cs="Arial" w:eastAsia="Arial" w:hAnsi="Arial"/>
          <w:sz w:val="21"/>
          <w:szCs w:val="21"/>
          <w:color w:val="auto"/>
        </w:rPr>
        <w:t>Start up and verify proper operation.</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Item #10: FC1. M# N/A S# N/A 2.5T Indoor unit to corresponding to CU1.</w:t>
      </w:r>
    </w:p>
    <w:p>
      <w:pPr>
        <w:spacing w:after="0" w:line="22" w:lineRule="exact"/>
        <w:rPr>
          <w:sz w:val="20"/>
          <w:szCs w:val="20"/>
          <w:color w:val="auto"/>
        </w:rPr>
      </w:pPr>
    </w:p>
    <w:p>
      <w:pPr>
        <w:ind w:right="160"/>
        <w:spacing w:after="0" w:line="250" w:lineRule="auto"/>
        <w:rPr>
          <w:sz w:val="20"/>
          <w:szCs w:val="20"/>
          <w:color w:val="auto"/>
        </w:rPr>
      </w:pPr>
      <w:r>
        <w:rPr>
          <w:rFonts w:ascii="Arial" w:cs="Arial" w:eastAsia="Arial" w:hAnsi="Arial"/>
          <w:sz w:val="21"/>
          <w:szCs w:val="21"/>
          <w:color w:val="auto"/>
        </w:rPr>
        <w:t>Unit is powered but no operation. The manufacturer recommends replacement as this is an obsolete R22 unit. On site contact is unaware of the location of this unit.</w:t>
      </w:r>
    </w:p>
    <w:p>
      <w:pPr>
        <w:spacing w:after="0" w:line="65" w:lineRule="exact"/>
        <w:rPr>
          <w:sz w:val="20"/>
          <w:szCs w:val="20"/>
          <w:color w:val="auto"/>
        </w:rPr>
      </w:pPr>
    </w:p>
    <w:p>
      <w:pPr>
        <w:ind w:left="860" w:hanging="427"/>
        <w:spacing w:after="0" w:line="268" w:lineRule="auto"/>
        <w:tabs>
          <w:tab w:leader="none" w:pos="860" w:val="left"/>
        </w:tabs>
        <w:numPr>
          <w:ilvl w:val="0"/>
          <w:numId w:val="70"/>
        </w:numPr>
        <w:rPr>
          <w:rFonts w:ascii="MS PGothic" w:cs="MS PGothic" w:eastAsia="MS PGothic" w:hAnsi="MS PGothic"/>
          <w:sz w:val="21"/>
          <w:szCs w:val="21"/>
          <w:color w:val="auto"/>
        </w:rPr>
      </w:pPr>
      <w:r>
        <w:rPr>
          <w:rFonts w:ascii="Arial" w:cs="Arial" w:eastAsia="Arial" w:hAnsi="Arial"/>
          <w:sz w:val="21"/>
          <w:szCs w:val="21"/>
          <w:color w:val="auto"/>
        </w:rPr>
        <w:t>This unit will need to be replaced with CU1 as they both require the same refrigerant. Western Allied Mechanical needs access to the unit to determine replacement cost.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080"/>
          </w:cols>
          <w:pgMar w:left="320" w:top="645" w:right="4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20" w:type="dxa"/>
            <w:vAlign w:val="bottom"/>
            <w:gridSpan w:val="3"/>
          </w:tcPr>
          <w:p>
            <w:pPr>
              <w:jc w:val="center"/>
              <w:ind w:right="2900"/>
              <w:spacing w:after="0"/>
              <w:rPr>
                <w:sz w:val="20"/>
                <w:szCs w:val="20"/>
                <w:color w:val="auto"/>
              </w:rPr>
            </w:pPr>
            <w:r>
              <w:rPr>
                <w:rFonts w:ascii="Arial" w:cs="Arial" w:eastAsia="Arial" w:hAnsi="Arial"/>
                <w:sz w:val="21"/>
                <w:szCs w:val="21"/>
                <w:b w:val="1"/>
                <w:bCs w:val="1"/>
                <w:color w:val="auto"/>
              </w:rPr>
              <w:t>EXHIBIT D</w:t>
            </w:r>
          </w:p>
        </w:tc>
      </w:tr>
      <w:tr>
        <w:trPr>
          <w:trHeight w:val="20"/>
        </w:trPr>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33"/>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Arial" w:cs="Arial" w:eastAsia="Arial" w:hAnsi="Arial"/>
                <w:sz w:val="21"/>
                <w:szCs w:val="21"/>
                <w:b w:val="1"/>
                <w:bCs w:val="1"/>
                <w:color w:val="auto"/>
              </w:rPr>
              <w:t>FORM OF LETTER OF CREDIT</w:t>
            </w:r>
          </w:p>
        </w:tc>
        <w:tc>
          <w:tcPr>
            <w:tcW w:w="1880" w:type="dxa"/>
            <w:vAlign w:val="bottom"/>
          </w:tcPr>
          <w:p>
            <w:pPr>
              <w:spacing w:after="0"/>
              <w:rPr>
                <w:sz w:val="24"/>
                <w:szCs w:val="24"/>
                <w:color w:val="auto"/>
              </w:rPr>
            </w:pPr>
          </w:p>
        </w:tc>
      </w:tr>
      <w:tr>
        <w:trPr>
          <w:trHeight w:val="659"/>
        </w:trPr>
        <w:tc>
          <w:tcPr>
            <w:tcW w:w="3700" w:type="dxa"/>
            <w:vAlign w:val="bottom"/>
          </w:tcPr>
          <w:p>
            <w:pPr>
              <w:spacing w:after="0"/>
              <w:rPr>
                <w:sz w:val="24"/>
                <w:szCs w:val="24"/>
                <w:color w:val="auto"/>
              </w:rPr>
            </w:pPr>
          </w:p>
        </w:tc>
        <w:tc>
          <w:tcPr>
            <w:tcW w:w="5380" w:type="dxa"/>
            <w:vAlign w:val="bottom"/>
            <w:gridSpan w:val="5"/>
          </w:tcPr>
          <w:p>
            <w:pPr>
              <w:jc w:val="center"/>
              <w:ind w:right="1520"/>
              <w:spacing w:after="0"/>
              <w:rPr>
                <w:sz w:val="20"/>
                <w:szCs w:val="20"/>
                <w:color w:val="auto"/>
              </w:rPr>
            </w:pPr>
            <w:r>
              <w:rPr>
                <w:rFonts w:ascii="Arial" w:cs="Arial" w:eastAsia="Arial" w:hAnsi="Arial"/>
                <w:sz w:val="21"/>
                <w:szCs w:val="21"/>
                <w:b w:val="1"/>
                <w:bCs w:val="1"/>
                <w:color w:val="auto"/>
                <w:w w:val="91"/>
              </w:rPr>
              <w:t>(Letterhead of a money center bank</w:t>
            </w:r>
          </w:p>
        </w:tc>
      </w:tr>
      <w:tr>
        <w:trPr>
          <w:trHeight w:val="278"/>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4"/>
          </w:tcPr>
          <w:p>
            <w:pPr>
              <w:jc w:val="center"/>
              <w:ind w:right="1880"/>
              <w:spacing w:after="0"/>
              <w:rPr>
                <w:sz w:val="20"/>
                <w:szCs w:val="20"/>
                <w:color w:val="auto"/>
              </w:rPr>
            </w:pPr>
            <w:r>
              <w:rPr>
                <w:rFonts w:ascii="Arial" w:cs="Arial" w:eastAsia="Arial" w:hAnsi="Arial"/>
                <w:sz w:val="21"/>
                <w:szCs w:val="21"/>
                <w:b w:val="1"/>
                <w:bCs w:val="1"/>
                <w:color w:val="auto"/>
                <w:w w:val="91"/>
              </w:rPr>
              <w:t>acceptable to the Landlord)</w:t>
            </w:r>
          </w:p>
        </w:tc>
      </w:tr>
      <w:tr>
        <w:trPr>
          <w:trHeight w:val="847"/>
        </w:trPr>
        <w:tc>
          <w:tcPr>
            <w:tcW w:w="3700" w:type="dxa"/>
            <w:vAlign w:val="bottom"/>
          </w:tcPr>
          <w:p>
            <w:pPr>
              <w:spacing w:after="0"/>
              <w:rPr>
                <w:sz w:val="20"/>
                <w:szCs w:val="20"/>
                <w:color w:val="auto"/>
              </w:rPr>
            </w:pPr>
            <w:r>
              <w:rPr>
                <w:rFonts w:ascii="Arial" w:cs="Arial" w:eastAsia="Arial" w:hAnsi="Arial"/>
                <w:sz w:val="21"/>
                <w:szCs w:val="21"/>
                <w:color w:val="auto"/>
              </w:rPr>
              <w:t>FAX NO. [(___) ___-____]</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rPr>
              <w:t>[Insert Bank Name And Address]</w:t>
            </w:r>
          </w:p>
        </w:tc>
      </w:tr>
      <w:tr>
        <w:trPr>
          <w:trHeight w:val="272"/>
        </w:trPr>
        <w:tc>
          <w:tcPr>
            <w:tcW w:w="3700" w:type="dxa"/>
            <w:vAlign w:val="bottom"/>
          </w:tcPr>
          <w:p>
            <w:pPr>
              <w:spacing w:after="0"/>
              <w:rPr>
                <w:sz w:val="20"/>
                <w:szCs w:val="20"/>
                <w:color w:val="auto"/>
              </w:rPr>
            </w:pPr>
            <w:r>
              <w:rPr>
                <w:rFonts w:ascii="Arial" w:cs="Arial" w:eastAsia="Arial" w:hAnsi="Arial"/>
                <w:sz w:val="21"/>
                <w:szCs w:val="21"/>
                <w:color w:val="auto"/>
              </w:rPr>
              <w:t>SWIFT: [Insert No., if any]</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453"/>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rPr>
              <w:t>DATE OF ISSUE:</w:t>
            </w:r>
          </w:p>
        </w:tc>
      </w:tr>
      <w:tr>
        <w:trPr>
          <w:trHeight w:val="421"/>
        </w:trPr>
        <w:tc>
          <w:tcPr>
            <w:tcW w:w="3700" w:type="dxa"/>
            <w:vAlign w:val="bottom"/>
          </w:tcPr>
          <w:p>
            <w:pPr>
              <w:spacing w:after="0"/>
              <w:rPr>
                <w:sz w:val="20"/>
                <w:szCs w:val="20"/>
                <w:color w:val="auto"/>
              </w:rPr>
            </w:pPr>
            <w:r>
              <w:rPr>
                <w:rFonts w:ascii="Arial" w:cs="Arial" w:eastAsia="Arial" w:hAnsi="Arial"/>
                <w:sz w:val="21"/>
                <w:szCs w:val="21"/>
                <w:color w:val="auto"/>
              </w:rPr>
              <w:t>BENEFICIARY:</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rPr>
              <w:t>APPLICANT:</w:t>
            </w:r>
          </w:p>
        </w:tc>
      </w:tr>
      <w:tr>
        <w:trPr>
          <w:trHeight w:val="272"/>
        </w:trPr>
        <w:tc>
          <w:tcPr>
            <w:tcW w:w="3700" w:type="dxa"/>
            <w:vAlign w:val="bottom"/>
          </w:tcPr>
          <w:p>
            <w:pPr>
              <w:spacing w:after="0"/>
              <w:rPr>
                <w:sz w:val="20"/>
                <w:szCs w:val="20"/>
                <w:color w:val="auto"/>
              </w:rPr>
            </w:pPr>
            <w:r>
              <w:rPr>
                <w:rFonts w:ascii="Arial" w:cs="Arial" w:eastAsia="Arial" w:hAnsi="Arial"/>
                <w:sz w:val="21"/>
                <w:szCs w:val="21"/>
                <w:color w:val="auto"/>
              </w:rPr>
              <w:t>[Insert Beneficiary Name And Address]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rPr>
              <w:t>[Insert Applicant Name And Address]</w:t>
            </w:r>
          </w:p>
        </w:tc>
      </w:tr>
      <w:tr>
        <w:trPr>
          <w:trHeight w:val="453"/>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rPr>
              <w:t>LETTER OF CREDIT NO.</w:t>
            </w:r>
          </w:p>
        </w:tc>
      </w:tr>
      <w:tr>
        <w:trPr>
          <w:trHeight w:val="421"/>
        </w:trPr>
        <w:tc>
          <w:tcPr>
            <w:tcW w:w="3700" w:type="dxa"/>
            <w:vAlign w:val="bottom"/>
          </w:tcPr>
          <w:p>
            <w:pPr>
              <w:spacing w:after="0"/>
              <w:rPr>
                <w:sz w:val="20"/>
                <w:szCs w:val="20"/>
                <w:color w:val="auto"/>
              </w:rPr>
            </w:pPr>
            <w:r>
              <w:rPr>
                <w:rFonts w:ascii="Arial" w:cs="Arial" w:eastAsia="Arial" w:hAnsi="Arial"/>
                <w:sz w:val="21"/>
                <w:szCs w:val="21"/>
                <w:color w:val="auto"/>
              </w:rPr>
              <w:t>EXPIRATION DATE: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rPr>
              <w:t>AMOUNT AVAILABLE:</w:t>
            </w:r>
          </w:p>
        </w:tc>
      </w:tr>
      <w:tr>
        <w:trPr>
          <w:trHeight w:val="240"/>
        </w:trPr>
        <w:tc>
          <w:tcPr>
            <w:tcW w:w="3700" w:type="dxa"/>
            <w:vAlign w:val="bottom"/>
          </w:tcPr>
          <w:p>
            <w:pPr>
              <w:spacing w:after="0" w:line="240" w:lineRule="exact"/>
              <w:rPr>
                <w:sz w:val="20"/>
                <w:szCs w:val="20"/>
                <w:color w:val="auto"/>
              </w:rPr>
            </w:pPr>
            <w:r>
              <w:rPr>
                <w:rFonts w:ascii="Arial" w:cs="Arial" w:eastAsia="Arial" w:hAnsi="Arial"/>
                <w:sz w:val="21"/>
                <w:szCs w:val="21"/>
                <w:color w:val="auto"/>
              </w:rPr>
              <w:t>AT OUR COUNTERS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gridSpan w:val="3"/>
          </w:tcPr>
          <w:p>
            <w:pPr>
              <w:ind w:left="440"/>
              <w:spacing w:after="0" w:line="240" w:lineRule="exact"/>
              <w:rPr>
                <w:sz w:val="20"/>
                <w:szCs w:val="20"/>
                <w:color w:val="auto"/>
              </w:rPr>
            </w:pPr>
            <w:r>
              <w:rPr>
                <w:rFonts w:ascii="Arial" w:cs="Arial" w:eastAsia="Arial" w:hAnsi="Arial"/>
                <w:sz w:val="21"/>
                <w:szCs w:val="21"/>
                <w:color w:val="auto"/>
              </w:rPr>
              <w:t>USD[Insert Dollar Amount]</w:t>
            </w:r>
          </w:p>
        </w:tc>
      </w:tr>
      <w:tr>
        <w:trPr>
          <w:trHeight w:val="272"/>
        </w:trPr>
        <w:tc>
          <w:tcPr>
            <w:tcW w:w="3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20" w:type="dxa"/>
            <w:vAlign w:val="bottom"/>
            <w:gridSpan w:val="3"/>
          </w:tcPr>
          <w:p>
            <w:pPr>
              <w:ind w:left="440"/>
              <w:spacing w:after="0"/>
              <w:rPr>
                <w:sz w:val="20"/>
                <w:szCs w:val="20"/>
                <w:color w:val="auto"/>
              </w:rPr>
            </w:pPr>
            <w:r>
              <w:rPr>
                <w:rFonts w:ascii="Arial" w:cs="Arial" w:eastAsia="Arial" w:hAnsi="Arial"/>
                <w:sz w:val="21"/>
                <w:szCs w:val="21"/>
                <w:color w:val="auto"/>
                <w:w w:val="96"/>
              </w:rPr>
              <w:t>(U.S. DOLLARS [Insert Dollar Amount])</w:t>
            </w:r>
          </w:p>
        </w:tc>
      </w:tr>
      <w:tr>
        <w:trPr>
          <w:trHeight w:val="453"/>
        </w:trPr>
        <w:tc>
          <w:tcPr>
            <w:tcW w:w="3700" w:type="dxa"/>
            <w:vAlign w:val="bottom"/>
          </w:tcPr>
          <w:p>
            <w:pPr>
              <w:spacing w:after="0"/>
              <w:rPr>
                <w:sz w:val="20"/>
                <w:szCs w:val="20"/>
                <w:color w:val="auto"/>
              </w:rPr>
            </w:pPr>
            <w:r>
              <w:rPr>
                <w:rFonts w:ascii="Arial" w:cs="Arial" w:eastAsia="Arial" w:hAnsi="Arial"/>
                <w:sz w:val="21"/>
                <w:szCs w:val="21"/>
                <w:color w:val="auto"/>
              </w:rPr>
              <w:t>LADIES AND GENTLEMEN:</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WE HEREBY ESTABLISH OUR IRREVOCABLE STANDBY LETTER OF CREDIT NO. ___________ IN YOUR FAVOR</w:t>
      </w:r>
    </w:p>
    <w:p>
      <w:pPr>
        <w:spacing w:after="0" w:line="16" w:lineRule="exact"/>
        <w:rPr>
          <w:sz w:val="20"/>
          <w:szCs w:val="20"/>
          <w:color w:val="auto"/>
        </w:rPr>
      </w:pPr>
    </w:p>
    <w:p>
      <w:pPr>
        <w:ind w:right="60"/>
        <w:spacing w:after="0" w:line="242" w:lineRule="auto"/>
        <w:rPr>
          <w:sz w:val="20"/>
          <w:szCs w:val="20"/>
          <w:color w:val="auto"/>
        </w:rPr>
      </w:pPr>
      <w:r>
        <w:rPr>
          <w:rFonts w:ascii="Arial" w:cs="Arial" w:eastAsia="Arial" w:hAnsi="Arial"/>
          <w:sz w:val="21"/>
          <w:szCs w:val="21"/>
          <w:color w:val="auto"/>
        </w:rPr>
        <w:t xml:space="preserve">FOR THE ACCOUNT OF [Insert Tenant's Name], A [Insert Entity Type], UP TO THE AGGREGATE AMOUNT OF USD[Insert Dollar Amount] ([Insert Dollar Amount] U.S. DOLLARS) EFFECTIVE IMMEDIATELY AND EXPIRING ON </w:t>
      </w:r>
      <w:r>
        <w:rPr>
          <w:rFonts w:ascii="Arial" w:cs="Arial" w:eastAsia="Arial" w:hAnsi="Arial"/>
          <w:sz w:val="21"/>
          <w:szCs w:val="21"/>
          <w:u w:val="single" w:color="auto"/>
          <w:color w:val="auto"/>
        </w:rPr>
        <w:t>___(Expiration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Date)___</w:t>
      </w:r>
      <w:r>
        <w:rPr>
          <w:rFonts w:ascii="Arial" w:cs="Arial" w:eastAsia="Arial" w:hAnsi="Arial"/>
          <w:sz w:val="21"/>
          <w:szCs w:val="21"/>
          <w:color w:val="auto"/>
        </w:rPr>
        <w:t xml:space="preserve"> AVAILABLE BY PAYMENT UPON PRESENTATION OF YOUR DRAFT AT SIGHT DRAWN ON [Insert Bank Name] WHEN ACCOMPANIED BY THE FOLLOWING DOCUMENT(S):</w:t>
      </w:r>
    </w:p>
    <w:p>
      <w:pPr>
        <w:spacing w:after="0" w:line="18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color w:val="auto"/>
        </w:rPr>
        <w:t>THE ORIGINAL OF THIS IRREVOCABLE STANDBY LETTER OF CREDIT AND AMENDMENT(S), IF ANY.</w:t>
      </w:r>
    </w:p>
    <w:p>
      <w:pPr>
        <w:spacing w:after="0" w:line="219" w:lineRule="exact"/>
        <w:rPr>
          <w:sz w:val="20"/>
          <w:szCs w:val="20"/>
          <w:color w:val="auto"/>
        </w:rPr>
      </w:pPr>
    </w:p>
    <w:p>
      <w:pPr>
        <w:ind w:left="860" w:hanging="787"/>
        <w:spacing w:after="0" w:line="274" w:lineRule="auto"/>
        <w:tabs>
          <w:tab w:leader="none" w:pos="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BENEFICIARY'S SIGNED STATEMENT PURPORTEDLY SIGNED BY AN AUTHORIZED REPRESENTATIVE OF [Insert Landlord's Name], A [Insert Entity Type] ("LANDLORD") STATING THE FOLLOWING:</w:t>
      </w:r>
    </w:p>
    <w:p>
      <w:pPr>
        <w:sectPr>
          <w:pgSz w:w="11900" w:h="16838" w:orient="portrait"/>
          <w:cols w:equalWidth="0" w:num="1">
            <w:col w:w="11220"/>
          </w:cols>
          <w:pgMar w:left="320" w:top="3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right="840"/>
        <w:spacing w:after="0" w:line="247" w:lineRule="auto"/>
        <w:rPr>
          <w:sz w:val="20"/>
          <w:szCs w:val="20"/>
          <w:color w:val="auto"/>
        </w:rPr>
      </w:pPr>
      <w:r>
        <w:rPr>
          <w:rFonts w:ascii="Arial" w:cs="Arial" w:eastAsia="Arial" w:hAnsi="Arial"/>
          <w:sz w:val="21"/>
          <w:szCs w:val="21"/>
          <w:color w:val="auto"/>
        </w:rPr>
        <w:t>"THE UNDERSIGNED HEREBY CERTIFIES THAT THE LANDLORD, EITHER (A) UNDER THE LEASE (DEFINED BELOW), OR (B) AS A RESULT OF THE TERMINATION OF SUCH LEASE, HAS</w:t>
      </w:r>
    </w:p>
    <w:p>
      <w:pPr>
        <w:spacing w:after="0" w:line="1" w:lineRule="exact"/>
        <w:rPr>
          <w:sz w:val="20"/>
          <w:szCs w:val="20"/>
          <w:color w:val="auto"/>
        </w:rPr>
      </w:pPr>
    </w:p>
    <w:p>
      <w:pPr>
        <w:jc w:val="both"/>
        <w:ind w:right="860"/>
        <w:spacing w:after="0" w:line="242" w:lineRule="auto"/>
        <w:rPr>
          <w:sz w:val="20"/>
          <w:szCs w:val="20"/>
          <w:color w:val="auto"/>
        </w:rPr>
      </w:pPr>
      <w:r>
        <w:rPr>
          <w:rFonts w:ascii="Arial" w:cs="Arial" w:eastAsia="Arial" w:hAnsi="Arial"/>
          <w:sz w:val="21"/>
          <w:szCs w:val="21"/>
          <w:color w:val="auto"/>
        </w:rPr>
        <w:t>THE RIGHT TO DRAW DOWN THE AMOUNT OF USD IN ACCORDANCE WITH THE TERMS OF THAT CERTAIN OFFICE LEASE DATED [Insert Lease Date], AS AMENDED (COLLECTIVELY, THE "LEASE"), OR SUCH AMOUNT CONSTITUTES DAMAGES OWING BY THE TENANT TO BENEFICIARY RESULTING FROM THE BREACH OF SUCH LEASE BY THE TENANT</w:t>
      </w:r>
    </w:p>
    <w:p>
      <w:pPr>
        <w:spacing w:after="0" w:line="243" w:lineRule="exact"/>
        <w:rPr>
          <w:sz w:val="20"/>
          <w:szCs w:val="20"/>
          <w:color w:val="auto"/>
        </w:rPr>
      </w:pPr>
    </w:p>
    <w:p>
      <w:pPr>
        <w:ind w:left="3180"/>
        <w:spacing w:after="0"/>
        <w:tabs>
          <w:tab w:leader="none" w:pos="59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1"/>
          <w:szCs w:val="11"/>
          <w:color w:val="auto"/>
        </w:rPr>
        <w:t>[Revolution Medicines,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214630</wp:posOffset>
            </wp:positionV>
            <wp:extent cx="7150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2">
            <w:col w:w="160" w:space="720"/>
            <w:col w:w="10340"/>
          </w:cols>
          <w:pgMar w:left="320" w:top="311" w:right="359" w:bottom="1440" w:gutter="0" w:footer="0" w:header="0"/>
          <w:type w:val="continuous"/>
        </w:sectPr>
      </w:pPr>
    </w:p>
    <w:bookmarkStart w:id="109" w:name="page110"/>
    <w:bookmarkEnd w:id="109"/>
    <w:p>
      <w:pPr>
        <w:jc w:val="both"/>
        <w:ind w:left="880" w:right="800"/>
        <w:spacing w:after="0" w:line="268" w:lineRule="auto"/>
        <w:rPr>
          <w:sz w:val="20"/>
          <w:szCs w:val="20"/>
          <w:color w:val="auto"/>
        </w:rPr>
      </w:pPr>
      <w:r>
        <w:rPr>
          <w:rFonts w:ascii="Arial" w:cs="Arial" w:eastAsia="Arial" w:hAnsi="Arial"/>
          <w:sz w:val="21"/>
          <w:szCs w:val="21"/>
          <w:color w:val="auto"/>
        </w:rPr>
        <w:t>THEREUNDER, OR THE TERMINATION OF SUCH LEASE, AND SUCH AMOUNT REMAINS UNPAID AT THE TIME OF THIS DRAWING."</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OR</w:t>
      </w:r>
    </w:p>
    <w:p>
      <w:pPr>
        <w:spacing w:after="0" w:line="212" w:lineRule="exact"/>
        <w:rPr>
          <w:sz w:val="20"/>
          <w:szCs w:val="20"/>
          <w:color w:val="auto"/>
        </w:rPr>
      </w:pPr>
    </w:p>
    <w:p>
      <w:pPr>
        <w:jc w:val="both"/>
        <w:ind w:left="880" w:right="780"/>
        <w:spacing w:after="0" w:line="248" w:lineRule="auto"/>
        <w:rPr>
          <w:sz w:val="20"/>
          <w:szCs w:val="20"/>
          <w:color w:val="auto"/>
        </w:rPr>
      </w:pPr>
      <w:r>
        <w:rPr>
          <w:rFonts w:ascii="Arial" w:cs="Arial" w:eastAsia="Arial" w:hAnsi="Arial"/>
          <w:sz w:val="21"/>
          <w:szCs w:val="21"/>
          <w:color w:val="auto"/>
        </w:rPr>
        <w:t>"THE UNDERSIGNED HEREBY CERTIFIES THAT WE HAVE RECEIVED A WRITTEN NOTICE OF [Insert Bank Name]'S ELECTION NOT TO EXTEND ITS STANDBY LETTER OF CREDIT NO. ___________ AND HAVE NOT RECEIVED A REPLACEMENT LETTER OF CREDIT WITHIN AT LEAST THIRTY (30) DAYS PRIOR TO THE PRESENT EXPIRATION DATE."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OR</w:t>
      </w:r>
    </w:p>
    <w:p>
      <w:pPr>
        <w:spacing w:after="0" w:line="212" w:lineRule="exact"/>
        <w:rPr>
          <w:sz w:val="20"/>
          <w:szCs w:val="20"/>
          <w:color w:val="auto"/>
        </w:rPr>
      </w:pPr>
    </w:p>
    <w:p>
      <w:pPr>
        <w:jc w:val="both"/>
        <w:ind w:left="880" w:right="780"/>
        <w:spacing w:after="0" w:line="259" w:lineRule="auto"/>
        <w:rPr>
          <w:sz w:val="20"/>
          <w:szCs w:val="20"/>
          <w:color w:val="auto"/>
        </w:rPr>
      </w:pPr>
      <w:r>
        <w:rPr>
          <w:rFonts w:ascii="Arial" w:cs="Arial" w:eastAsia="Arial" w:hAnsi="Arial"/>
          <w:sz w:val="20"/>
          <w:szCs w:val="20"/>
          <w:color w:val="auto"/>
        </w:rPr>
        <w:t>"THE UNDERSIGNED HEREBY CERTIFIES THAT BENEFICIARY IS ENTITLED TO DRAW DOWN THE FULL AMOUNT OF LETTER OF CREDIT NO. ___________ AS THE RESULT OF THE FILING OF</w:t>
      </w:r>
    </w:p>
    <w:p>
      <w:pPr>
        <w:spacing w:after="0" w:line="1" w:lineRule="exact"/>
        <w:rPr>
          <w:sz w:val="20"/>
          <w:szCs w:val="20"/>
          <w:color w:val="auto"/>
        </w:rPr>
      </w:pPr>
    </w:p>
    <w:p>
      <w:pPr>
        <w:jc w:val="both"/>
        <w:ind w:left="880" w:right="780"/>
        <w:spacing w:after="0" w:line="242" w:lineRule="auto"/>
        <w:rPr>
          <w:sz w:val="20"/>
          <w:szCs w:val="20"/>
          <w:color w:val="auto"/>
        </w:rPr>
      </w:pPr>
      <w:r>
        <w:rPr>
          <w:rFonts w:ascii="Arial" w:cs="Arial" w:eastAsia="Arial" w:hAnsi="Arial"/>
          <w:sz w:val="21"/>
          <w:szCs w:val="21"/>
          <w:color w:val="auto"/>
        </w:rPr>
        <w:t>A VOLUNTARY PETITION UNDER THE U.S. BANKRUPTCY CODE OR A STATE BANKRUPTCY CODE BY THE TENANT UNDER THAT CERTAIN OFFICE LEASE DATED [Insert Lease Date], AS AMENDED (COLLECTIVELY, THE "LEASE"), WHICH FILING HAS NOT BEEN DISMISSED AT THE TIME OF THIS DRAWING."</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OR</w:t>
      </w:r>
    </w:p>
    <w:p>
      <w:pPr>
        <w:spacing w:after="0" w:line="212" w:lineRule="exact"/>
        <w:rPr>
          <w:sz w:val="20"/>
          <w:szCs w:val="20"/>
          <w:color w:val="auto"/>
        </w:rPr>
      </w:pPr>
    </w:p>
    <w:p>
      <w:pPr>
        <w:jc w:val="both"/>
        <w:ind w:left="880" w:right="780"/>
        <w:spacing w:after="0" w:line="247" w:lineRule="auto"/>
        <w:rPr>
          <w:sz w:val="20"/>
          <w:szCs w:val="20"/>
          <w:color w:val="auto"/>
        </w:rPr>
      </w:pPr>
      <w:r>
        <w:rPr>
          <w:rFonts w:ascii="Arial" w:cs="Arial" w:eastAsia="Arial" w:hAnsi="Arial"/>
          <w:sz w:val="21"/>
          <w:szCs w:val="21"/>
          <w:color w:val="auto"/>
        </w:rPr>
        <w:t>"THE UNDERSIGNED HEREBY CERTIFIES THAT BENEFICIARY IS ENTITLED TO DRAW DOWN THE FULL AMOUNT OF LETTER OF CREDIT NO. ___________ AS THE RESULT OF AN</w:t>
      </w:r>
    </w:p>
    <w:p>
      <w:pPr>
        <w:spacing w:after="0" w:line="1" w:lineRule="exact"/>
        <w:rPr>
          <w:sz w:val="20"/>
          <w:szCs w:val="20"/>
          <w:color w:val="auto"/>
        </w:rPr>
      </w:pPr>
    </w:p>
    <w:p>
      <w:pPr>
        <w:jc w:val="both"/>
        <w:ind w:left="880" w:right="780"/>
        <w:spacing w:after="0" w:line="242" w:lineRule="auto"/>
        <w:rPr>
          <w:sz w:val="20"/>
          <w:szCs w:val="20"/>
          <w:color w:val="auto"/>
        </w:rPr>
      </w:pPr>
      <w:r>
        <w:rPr>
          <w:rFonts w:ascii="Arial" w:cs="Arial" w:eastAsia="Arial" w:hAnsi="Arial"/>
          <w:sz w:val="21"/>
          <w:szCs w:val="21"/>
          <w:color w:val="auto"/>
        </w:rPr>
        <w:t>INVOLUNTARY PETITION HAVING BEEN FILED UNDER THE U.S. BANKRUPTCY CODE OR A STATE BANKRUPTCY CODE AGAINST THE TENANT UNDER THAT CERTAIN OFFICE LEASE DATED [Insert Lease Date], AS AMENDED (COLLECTIVELY, THE "LEASE"), WHICH FILING HAS NOT BEEN DISMISSED AT THE TIME OF THIS DRAWING."</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OR</w:t>
      </w:r>
    </w:p>
    <w:p>
      <w:pPr>
        <w:spacing w:after="0" w:line="212" w:lineRule="exact"/>
        <w:rPr>
          <w:sz w:val="20"/>
          <w:szCs w:val="20"/>
          <w:color w:val="auto"/>
        </w:rPr>
      </w:pPr>
    </w:p>
    <w:p>
      <w:pPr>
        <w:jc w:val="both"/>
        <w:ind w:left="880" w:right="780"/>
        <w:spacing w:after="0" w:line="247" w:lineRule="auto"/>
        <w:rPr>
          <w:sz w:val="20"/>
          <w:szCs w:val="20"/>
          <w:color w:val="auto"/>
        </w:rPr>
      </w:pPr>
      <w:r>
        <w:rPr>
          <w:rFonts w:ascii="Arial" w:cs="Arial" w:eastAsia="Arial" w:hAnsi="Arial"/>
          <w:sz w:val="21"/>
          <w:szCs w:val="21"/>
          <w:color w:val="auto"/>
        </w:rPr>
        <w:t>"THE UNDERSIGNED HEREBY CERTIFIES THAT BENEFICIARY IS ENTITLED TO DRAW DOWN THE FULL AMOUNT OF LETTER OF CREDIT NO. ________________ AS THE RESULT OF THE</w:t>
      </w:r>
    </w:p>
    <w:p>
      <w:pPr>
        <w:spacing w:after="0" w:line="1" w:lineRule="exact"/>
        <w:rPr>
          <w:sz w:val="20"/>
          <w:szCs w:val="20"/>
          <w:color w:val="auto"/>
        </w:rPr>
      </w:pPr>
    </w:p>
    <w:p>
      <w:pPr>
        <w:jc w:val="both"/>
        <w:ind w:left="880" w:right="780"/>
        <w:spacing w:after="0" w:line="250" w:lineRule="auto"/>
        <w:rPr>
          <w:sz w:val="20"/>
          <w:szCs w:val="20"/>
          <w:color w:val="auto"/>
        </w:rPr>
      </w:pPr>
      <w:r>
        <w:rPr>
          <w:rFonts w:ascii="Arial" w:cs="Arial" w:eastAsia="Arial" w:hAnsi="Arial"/>
          <w:sz w:val="21"/>
          <w:szCs w:val="21"/>
          <w:color w:val="auto"/>
        </w:rPr>
        <w:t>REJECTION, OR DEEMED REJECTION, OF THAT CERTAIN OFFICE LEASE DATED [Insert Lease Date], AS AMENDED, UNDER SECTION 365 OF THE U.S. BANKRUPTCY CODE."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SPECIAL CONDITIONS: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60"/>
          </w:cols>
          <w:pgMar w:left="320" w:top="545" w:right="419" w:bottom="1440" w:gutter="0" w:footer="0" w:header="0"/>
        </w:sectPr>
      </w:pPr>
    </w:p>
    <w:bookmarkStart w:id="110" w:name="page111"/>
    <w:bookmarkEnd w:id="110"/>
    <w:p>
      <w:pPr>
        <w:ind w:right="280"/>
        <w:spacing w:after="0" w:line="253" w:lineRule="auto"/>
        <w:rPr>
          <w:sz w:val="20"/>
          <w:szCs w:val="20"/>
          <w:color w:val="auto"/>
        </w:rPr>
      </w:pPr>
      <w:r>
        <w:rPr>
          <w:rFonts w:ascii="Arial" w:cs="Arial" w:eastAsia="Arial" w:hAnsi="Arial"/>
          <w:sz w:val="21"/>
          <w:szCs w:val="21"/>
          <w:color w:val="auto"/>
        </w:rPr>
        <w:t>ALL INFORMATION REQUIRED WHETHER INDICATED BY BLANKS, BRACKETS OR OTHERWISE, MUST BE COMPLETED AT THE TIME OF DRAWING. [Please Provide The Required Forms For Review, And Attach As Schedules To The Letter Of Credit.]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ALL SIGNATURES MUST BE MANUALLY EXECUTED IN ORIGINALS.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ALL BANKING CHARGES ARE FOR THE APPLICANT'S ACCOUNT.</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___ (60 days from the Lease Expiration Date).</w:t>
      </w:r>
    </w:p>
    <w:p>
      <w:pPr>
        <w:spacing w:after="0" w:line="187" w:lineRule="exact"/>
        <w:rPr>
          <w:sz w:val="20"/>
          <w:szCs w:val="20"/>
          <w:color w:val="auto"/>
        </w:rPr>
      </w:pPr>
    </w:p>
    <w:p>
      <w:pPr>
        <w:ind w:right="40"/>
        <w:spacing w:after="0" w:line="241" w:lineRule="auto"/>
        <w:rPr>
          <w:sz w:val="20"/>
          <w:szCs w:val="20"/>
          <w:color w:val="auto"/>
        </w:rPr>
      </w:pPr>
      <w:r>
        <w:rPr>
          <w:rFonts w:ascii="Arial" w:cs="Arial" w:eastAsia="Arial" w:hAnsi="Arial"/>
          <w:sz w:val="21"/>
          <w:szCs w:val="21"/>
          <w:color w:val="auto"/>
        </w:rPr>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85" w:lineRule="exact"/>
        <w:rPr>
          <w:sz w:val="20"/>
          <w:szCs w:val="20"/>
          <w:color w:val="auto"/>
        </w:rPr>
      </w:pPr>
    </w:p>
    <w:p>
      <w:pPr>
        <w:ind w:right="140"/>
        <w:spacing w:after="0" w:line="268" w:lineRule="auto"/>
        <w:rPr>
          <w:sz w:val="20"/>
          <w:szCs w:val="20"/>
          <w:color w:val="auto"/>
        </w:rPr>
      </w:pPr>
      <w:r>
        <w:rPr>
          <w:rFonts w:ascii="Arial" w:cs="Arial" w:eastAsia="Arial" w:hAnsi="Arial"/>
          <w:sz w:val="21"/>
          <w:szCs w:val="21"/>
          <w:color w:val="auto"/>
        </w:rPr>
        <w:t>ALL DRAFTS REQUIRED UNDER THIS STANDBY LETTER OF CREDIT MUST BE MARKED: ''DRAWN UNDER [Insert Bank Name] STANDBY LETTER OF CREDIT NO. ___________."</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WE HEREBY AGREE WITH YOU THAT IF DRAFTS ARE PRESENTED TO [Insert Bank Name] UNDER THIS LETTER OF CREDIT AT OR PRIOR TO [Insert Time – (</w:t>
      </w:r>
      <w:r>
        <w:rPr>
          <w:rFonts w:ascii="Arial" w:cs="Arial" w:eastAsia="Arial" w:hAnsi="Arial"/>
          <w:sz w:val="21"/>
          <w:szCs w:val="21"/>
          <w:i w:val="1"/>
          <w:iCs w:val="1"/>
          <w:color w:val="auto"/>
        </w:rPr>
        <w:t>e.g.</w:t>
      </w:r>
      <w:r>
        <w:rPr>
          <w:rFonts w:ascii="Arial" w:cs="Arial" w:eastAsia="Arial" w:hAnsi="Arial"/>
          <w:sz w:val="21"/>
          <w:szCs w:val="21"/>
          <w:color w:val="auto"/>
        </w:rPr>
        <w:t>, 11:00 AM)], ON A BUSINESS DAY, AND PROVIDED THAT SUCH DRAFTS PRESENTED CONFORM TO THE TERMS AND CONDITIONS OF THIS LETTER OF CREDIT, PAYMENT SHALL BE INITIATED BY US IN IMMEDIATELY AVAILABLE FUNDS BY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-3-</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11" w:name="page112"/>
    <w:bookmarkEnd w:id="111"/>
    <w:p>
      <w:pPr>
        <w:ind w:right="160"/>
        <w:spacing w:after="0" w:line="255" w:lineRule="auto"/>
        <w:rPr>
          <w:sz w:val="20"/>
          <w:szCs w:val="20"/>
          <w:color w:val="auto"/>
        </w:rPr>
      </w:pPr>
      <w:r>
        <w:rPr>
          <w:rFonts w:ascii="Arial" w:cs="Arial" w:eastAsia="Arial" w:hAnsi="Arial"/>
          <w:sz w:val="20"/>
          <w:szCs w:val="20"/>
          <w:color w:val="auto"/>
        </w:rPr>
        <w:t>OUR CLOSE OF BUSINESS ON THE SUCCEEDING BUSINESS DAY. IF DRAFTS ARE PRESENTED TO [Insert Bank Name] UNDER THIS LETTER OF CREDIT AFTER [Insert Time – (</w:t>
      </w:r>
      <w:r>
        <w:rPr>
          <w:rFonts w:ascii="Arial" w:cs="Arial" w:eastAsia="Arial" w:hAnsi="Arial"/>
          <w:sz w:val="20"/>
          <w:szCs w:val="20"/>
          <w:i w:val="1"/>
          <w:iCs w:val="1"/>
          <w:color w:val="auto"/>
        </w:rPr>
        <w:t>e.g.</w:t>
      </w:r>
      <w:r>
        <w:rPr>
          <w:rFonts w:ascii="Arial" w:cs="Arial" w:eastAsia="Arial" w:hAnsi="Arial"/>
          <w:sz w:val="20"/>
          <w:szCs w:val="20"/>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73" w:lineRule="exact"/>
        <w:rPr>
          <w:sz w:val="20"/>
          <w:szCs w:val="20"/>
          <w:color w:val="auto"/>
        </w:rPr>
      </w:pPr>
    </w:p>
    <w:p>
      <w:pPr>
        <w:ind w:right="400"/>
        <w:spacing w:after="0" w:line="254" w:lineRule="auto"/>
        <w:rPr>
          <w:sz w:val="20"/>
          <w:szCs w:val="20"/>
          <w:color w:val="auto"/>
        </w:rPr>
      </w:pPr>
      <w:r>
        <w:rPr>
          <w:rFonts w:ascii="Arial" w:cs="Arial" w:eastAsia="Arial" w:hAnsi="Arial"/>
          <w:sz w:val="20"/>
          <w:szCs w:val="20"/>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 FACSIMILE NUMBER, [Insert Fax Number – (___) ___-____], ATTENTION: [Insert Appropriate Recipient], WITH TELEPHONIC</w:t>
      </w:r>
    </w:p>
    <w:p>
      <w:pPr>
        <w:spacing w:after="0" w:line="250" w:lineRule="auto"/>
        <w:rPr>
          <w:sz w:val="20"/>
          <w:szCs w:val="20"/>
          <w:color w:val="auto"/>
        </w:rPr>
      </w:pPr>
      <w:r>
        <w:rPr>
          <w:rFonts w:ascii="Arial" w:cs="Arial" w:eastAsia="Arial" w:hAnsi="Arial"/>
          <w:sz w:val="20"/>
          <w:szCs w:val="20"/>
          <w:color w:val="auto"/>
        </w:rPr>
        <w:t>CONFIRMATION OF OUR RECEIPT OF SUCH FACSIMILE TRANSMISSION AT OUR TELEPHONE NUMBER [Insert Telephone Number – (___) ___-____] OR TO SUCH OTHER FACSIMILE OR TELEPHONE NUMBERS, AS TO WHICH YOU</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21"/>
          <w:szCs w:val="21"/>
          <w:color w:val="auto"/>
        </w:rPr>
        <w:t>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86"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 xml:space="preserve">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21"/>
          <w:szCs w:val="21"/>
          <w:u w:val="single" w:color="auto"/>
          <w:color w:val="auto"/>
        </w:rPr>
        <w:t>___(Expiration Date)___</w:t>
      </w:r>
      <w:r>
        <w:rPr>
          <w:rFonts w:ascii="Arial" w:cs="Arial" w:eastAsia="Arial" w:hAnsi="Arial"/>
          <w:sz w:val="21"/>
          <w:szCs w:val="21"/>
          <w:color w:val="auto"/>
        </w:rPr>
        <w:t>.</w:t>
      </w:r>
    </w:p>
    <w:p>
      <w:pPr>
        <w:spacing w:after="0" w:line="175"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-4-</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1507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112" w:name="page113"/>
    <w:bookmarkEnd w:id="112"/>
    <w:p>
      <w:pPr>
        <w:spacing w:after="0" w:line="253" w:lineRule="auto"/>
        <w:rPr>
          <w:sz w:val="20"/>
          <w:szCs w:val="20"/>
          <w:color w:val="auto"/>
        </w:rPr>
      </w:pPr>
      <w:r>
        <w:rPr>
          <w:rFonts w:ascii="Arial" w:cs="Arial" w:eastAsia="Arial" w:hAnsi="Arial"/>
          <w:sz w:val="21"/>
          <w:szCs w:val="21"/>
          <w:color w:val="auto"/>
        </w:rPr>
        <w:t>EXCEPT SO FAR AS OTHERWISE EXPRESSLY STATED HEREIN, THIS STANDBY LETTER OF CREDIT IS SUBJECT TO THE "INTERNATIONAL STANDBY PRACTICES" (ISP 98) INTERNATIONAL CHAMBER OF COMMERCE (PUBLICATION NO. 590).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of Issuing Bank)</w:t>
      </w:r>
    </w:p>
    <w:p>
      <w:pPr>
        <w:spacing w:after="0" w:line="210"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By: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restart"/>
          </w:tcPr>
          <w:p>
            <w:pPr>
              <w:jc w:val="right"/>
              <w:ind w:right="1231"/>
              <w:spacing w:after="0"/>
              <w:rPr>
                <w:sz w:val="20"/>
                <w:szCs w:val="20"/>
                <w:color w:val="auto"/>
              </w:rPr>
            </w:pPr>
            <w:r>
              <w:rPr>
                <w:rFonts w:ascii="Arial" w:cs="Arial" w:eastAsia="Arial" w:hAnsi="Arial"/>
                <w:sz w:val="18"/>
                <w:szCs w:val="18"/>
                <w:color w:val="auto"/>
              </w:rPr>
              <w:t>-5-</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3480" w:type="dxa"/>
            <w:vAlign w:val="bottom"/>
            <w:vMerge w:val="continue"/>
          </w:tcPr>
          <w:p>
            <w:pPr>
              <w:spacing w:after="0"/>
              <w:rPr>
                <w:sz w:val="13"/>
                <w:szCs w:val="13"/>
                <w:color w:val="auto"/>
              </w:rPr>
            </w:pPr>
          </w:p>
        </w:tc>
        <w:tc>
          <w:tcPr>
            <w:tcW w:w="2740" w:type="dxa"/>
            <w:vAlign w:val="bottom"/>
          </w:tcPr>
          <w:p>
            <w:pPr>
              <w:ind w:left="1300"/>
              <w:spacing w:after="0"/>
              <w:rPr>
                <w:sz w:val="20"/>
                <w:szCs w:val="20"/>
                <w:color w:val="auto"/>
              </w:rPr>
            </w:pPr>
            <w:r>
              <w:rPr>
                <w:rFonts w:ascii="Arial" w:cs="Arial" w:eastAsia="Arial" w:hAnsi="Arial"/>
                <w:sz w:val="12"/>
                <w:szCs w:val="12"/>
                <w:color w:val="auto"/>
                <w:w w:val="96"/>
              </w:rPr>
              <w:t>[Revolution Medicines,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Mark A. Goldsmith, certify that:</w:t>
      </w:r>
    </w:p>
    <w:p>
      <w:pPr>
        <w:spacing w:after="0" w:line="219" w:lineRule="exact"/>
        <w:rPr>
          <w:sz w:val="20"/>
          <w:szCs w:val="20"/>
          <w:color w:val="auto"/>
        </w:rPr>
      </w:pPr>
    </w:p>
    <w:p>
      <w:pPr>
        <w:ind w:left="600" w:hanging="593"/>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Revolution Medicines, Inc.;</w:t>
      </w:r>
    </w:p>
    <w:p>
      <w:pPr>
        <w:spacing w:after="0" w:line="219" w:lineRule="exact"/>
        <w:rPr>
          <w:rFonts w:ascii="Arial" w:cs="Arial" w:eastAsia="Arial" w:hAnsi="Arial"/>
          <w:sz w:val="18"/>
          <w:szCs w:val="18"/>
          <w:color w:val="auto"/>
        </w:rPr>
      </w:pPr>
    </w:p>
    <w:p>
      <w:pPr>
        <w:jc w:val="both"/>
        <w:ind w:left="600" w:right="320" w:hanging="593"/>
        <w:spacing w:after="0" w:line="25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00" w:right="280" w:hanging="593"/>
        <w:spacing w:after="0" w:line="297"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ind w:left="600" w:right="340" w:hanging="593"/>
        <w:spacing w:after="0" w:line="26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1180" w:right="160" w:hanging="587"/>
        <w:spacing w:after="0" w:line="257"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180" w:right="460" w:hanging="587"/>
        <w:spacing w:after="0" w:line="412" w:lineRule="auto"/>
        <w:tabs>
          <w:tab w:leader="none" w:pos="11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180" w:right="20" w:hanging="587"/>
        <w:spacing w:after="0" w:line="257"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0" w:right="40" w:hanging="593"/>
        <w:spacing w:after="0" w:line="330"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180" w:right="700" w:hanging="587"/>
        <w:spacing w:after="0" w:line="330" w:lineRule="auto"/>
        <w:tabs>
          <w:tab w:leader="none" w:pos="11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180" w:right="420" w:hanging="587"/>
        <w:spacing w:after="0" w:line="267" w:lineRule="auto"/>
        <w:tabs>
          <w:tab w:leader="none" w:pos="11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60" w:type="dxa"/>
            <w:vAlign w:val="bottom"/>
          </w:tcPr>
          <w:p>
            <w:pPr>
              <w:spacing w:after="0"/>
              <w:rPr>
                <w:sz w:val="20"/>
                <w:szCs w:val="20"/>
                <w:color w:val="auto"/>
              </w:rPr>
            </w:pPr>
            <w:r>
              <w:rPr>
                <w:rFonts w:ascii="Arial" w:cs="Arial" w:eastAsia="Arial" w:hAnsi="Arial"/>
                <w:sz w:val="18"/>
                <w:szCs w:val="18"/>
                <w:color w:val="auto"/>
              </w:rPr>
              <w:t>Date: May 14, 2020</w:t>
            </w:r>
          </w:p>
        </w:tc>
        <w:tc>
          <w:tcPr>
            <w:tcW w:w="2420" w:type="dxa"/>
            <w:vAlign w:val="bottom"/>
          </w:tcPr>
          <w:p>
            <w:pPr>
              <w:ind w:left="20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A. Goldsmith</w:t>
            </w:r>
          </w:p>
        </w:tc>
      </w:tr>
      <w:tr>
        <w:trPr>
          <w:trHeight w:val="219"/>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Mark A. Goldsmith, M.D., Ph.D.</w:t>
            </w:r>
          </w:p>
        </w:tc>
      </w:tr>
      <w:tr>
        <w:trPr>
          <w:trHeight w:val="216"/>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President and Chief Executive Officer</w:t>
            </w:r>
          </w:p>
        </w:tc>
      </w:tr>
      <w:tr>
        <w:trPr>
          <w:trHeight w:val="224"/>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r>
    </w:tbl>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Jack Anders, certify that:</w:t>
      </w:r>
    </w:p>
    <w:p>
      <w:pPr>
        <w:spacing w:after="0" w:line="219" w:lineRule="exact"/>
        <w:rPr>
          <w:sz w:val="20"/>
          <w:szCs w:val="20"/>
          <w:color w:val="auto"/>
        </w:rPr>
      </w:pPr>
    </w:p>
    <w:p>
      <w:pPr>
        <w:ind w:left="600" w:hanging="593"/>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Revolution Medicines, Inc.;</w:t>
      </w:r>
    </w:p>
    <w:p>
      <w:pPr>
        <w:spacing w:after="0" w:line="219" w:lineRule="exact"/>
        <w:rPr>
          <w:rFonts w:ascii="Arial" w:cs="Arial" w:eastAsia="Arial" w:hAnsi="Arial"/>
          <w:sz w:val="18"/>
          <w:szCs w:val="18"/>
          <w:color w:val="auto"/>
        </w:rPr>
      </w:pPr>
    </w:p>
    <w:p>
      <w:pPr>
        <w:jc w:val="both"/>
        <w:ind w:left="600" w:right="320" w:hanging="593"/>
        <w:spacing w:after="0" w:line="257"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00" w:right="280" w:hanging="593"/>
        <w:spacing w:after="0" w:line="297" w:lineRule="auto"/>
        <w:tabs>
          <w:tab w:leader="none" w:pos="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ind w:left="600" w:right="340" w:hanging="593"/>
        <w:spacing w:after="0" w:line="267"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1180" w:right="160" w:hanging="587"/>
        <w:spacing w:after="0" w:line="257" w:lineRule="auto"/>
        <w:tabs>
          <w:tab w:leader="none" w:pos="11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180" w:right="460" w:hanging="587"/>
        <w:spacing w:after="0" w:line="412" w:lineRule="auto"/>
        <w:tabs>
          <w:tab w:leader="none" w:pos="1180" w:val="left"/>
        </w:tabs>
        <w:numPr>
          <w:ilvl w:val="1"/>
          <w:numId w:val="7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180" w:right="20" w:hanging="587"/>
        <w:spacing w:after="0" w:line="257" w:lineRule="auto"/>
        <w:tabs>
          <w:tab w:leader="none" w:pos="11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0" w:right="40" w:hanging="593"/>
        <w:spacing w:after="0" w:line="330"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180" w:right="700" w:hanging="587"/>
        <w:spacing w:after="0" w:line="330" w:lineRule="auto"/>
        <w:tabs>
          <w:tab w:leader="none" w:pos="11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180" w:right="420" w:hanging="587"/>
        <w:spacing w:after="0" w:line="267" w:lineRule="auto"/>
        <w:tabs>
          <w:tab w:leader="none" w:pos="11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Pr>
          <w:p>
            <w:pPr>
              <w:spacing w:after="0"/>
              <w:rPr>
                <w:sz w:val="20"/>
                <w:szCs w:val="20"/>
                <w:color w:val="auto"/>
              </w:rPr>
            </w:pPr>
            <w:r>
              <w:rPr>
                <w:rFonts w:ascii="Arial" w:cs="Arial" w:eastAsia="Arial" w:hAnsi="Arial"/>
                <w:sz w:val="18"/>
                <w:szCs w:val="18"/>
                <w:color w:val="auto"/>
              </w:rPr>
              <w:t>Date: May 14, 2020</w:t>
            </w:r>
          </w:p>
        </w:tc>
        <w:tc>
          <w:tcPr>
            <w:tcW w:w="2400" w:type="dxa"/>
            <w:vAlign w:val="bottom"/>
          </w:tcPr>
          <w:p>
            <w:pPr>
              <w:ind w:left="204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Jack Anders</w:t>
            </w:r>
          </w:p>
        </w:tc>
      </w:tr>
      <w:tr>
        <w:trPr>
          <w:trHeight w:val="219"/>
        </w:trPr>
        <w:tc>
          <w:tcPr>
            <w:tcW w:w="3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88"/>
              </w:rPr>
              <w:t>Jack Anders</w:t>
            </w:r>
          </w:p>
        </w:tc>
      </w:tr>
      <w:tr>
        <w:trPr>
          <w:trHeight w:val="216"/>
        </w:trPr>
        <w:tc>
          <w:tcPr>
            <w:tcW w:w="3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88"/>
              </w:rPr>
              <w:t>Vice President, Finance and Principal</w:t>
            </w:r>
          </w:p>
        </w:tc>
      </w:tr>
      <w:tr>
        <w:trPr>
          <w:trHeight w:val="213"/>
        </w:trPr>
        <w:tc>
          <w:tcPr>
            <w:tcW w:w="3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Accounting Officer</w:t>
            </w:r>
          </w:p>
        </w:tc>
      </w:tr>
      <w:tr>
        <w:trPr>
          <w:trHeight w:val="224"/>
        </w:trPr>
        <w:tc>
          <w:tcPr>
            <w:tcW w:w="3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connection with the Quarterly Report of Revolution Medicines, Inc. (the “Company”) on Form 10-Q for the period ending March 31, 2020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180" w:hanging="587"/>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1180" w:right="600" w:hanging="587"/>
        <w:spacing w:after="0" w:line="26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tcPr>
          <w:p>
            <w:pPr>
              <w:spacing w:after="0"/>
              <w:rPr>
                <w:sz w:val="20"/>
                <w:szCs w:val="20"/>
                <w:color w:val="auto"/>
              </w:rPr>
            </w:pPr>
            <w:r>
              <w:rPr>
                <w:rFonts w:ascii="Arial" w:cs="Arial" w:eastAsia="Arial" w:hAnsi="Arial"/>
                <w:sz w:val="18"/>
                <w:szCs w:val="18"/>
                <w:color w:val="auto"/>
              </w:rPr>
              <w:t>Date: May 14, 2020</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A. Goldsmith</w:t>
            </w:r>
          </w:p>
        </w:tc>
      </w:tr>
      <w:tr>
        <w:trPr>
          <w:trHeight w:val="219"/>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Mark A. Goldsmith, M.D., Ph.D.</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4"/>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33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connection with the Quarterly Report of Revolution Medicines, Inc. (the “Company”) on Form 10-Q for the period ending March 31, 2020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180" w:hanging="587"/>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1180" w:right="600" w:hanging="587"/>
        <w:spacing w:after="0" w:line="26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tcPr>
          <w:p>
            <w:pPr>
              <w:spacing w:after="0"/>
              <w:rPr>
                <w:sz w:val="20"/>
                <w:szCs w:val="20"/>
                <w:color w:val="auto"/>
              </w:rPr>
            </w:pPr>
            <w:r>
              <w:rPr>
                <w:rFonts w:ascii="Arial" w:cs="Arial" w:eastAsia="Arial" w:hAnsi="Arial"/>
                <w:sz w:val="18"/>
                <w:szCs w:val="18"/>
                <w:color w:val="auto"/>
              </w:rPr>
              <w:t>Date: May 14, 2020</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Jack Anders</w:t>
            </w:r>
          </w:p>
        </w:tc>
      </w:tr>
      <w:tr>
        <w:trPr>
          <w:trHeight w:val="219"/>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8"/>
              </w:rPr>
              <w:t>Jack Anders</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Vice President, Finance and Principal Accounting Officer</w:t>
            </w:r>
          </w:p>
        </w:tc>
      </w:tr>
      <w:tr>
        <w:trPr>
          <w:trHeight w:val="224"/>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2"/>
    </w:lvl>
  </w:abstractNum>
  <w:abstractNum w:abstractNumId="5">
    <w:nsid w:val="2D517796"/>
    <w:multiLevelType w:val="hybridMultilevel"/>
    <w:lvl w:ilvl="0">
      <w:lvlJc w:val="left"/>
      <w:lvlText w:val="%1."/>
      <w:numFmt w:val="decimal"/>
      <w:start w:val="3"/>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4"/>
    </w:lvl>
  </w:abstractNum>
  <w:abstractNum w:abstractNumId="8">
    <w:nsid w:val="3855585C"/>
    <w:multiLevelType w:val="hybridMultilevel"/>
    <w:lvl w:ilvl="0">
      <w:lvlJc w:val="left"/>
      <w:lvlText w:val="%1."/>
      <w:numFmt w:val="decimal"/>
      <w:start w:val="7"/>
    </w:lvl>
  </w:abstractNum>
  <w:abstractNum w:abstractNumId="9">
    <w:nsid w:val="70A64E2A"/>
    <w:multiLevelType w:val="hybridMultilevel"/>
    <w:lvl w:ilvl="0">
      <w:lvlJc w:val="left"/>
      <w:lvlText w:val="%1."/>
      <w:numFmt w:val="decimal"/>
      <w:start w:val="8"/>
    </w:lvl>
  </w:abstractNum>
  <w:abstractNum w:abstractNumId="10">
    <w:nsid w:val="6A2342EC"/>
    <w:multiLevelType w:val="hybridMultilevel"/>
    <w:lvl w:ilvl="0">
      <w:lvlJc w:val="left"/>
      <w:lvlText w:val="%1."/>
      <w:numFmt w:val="decimal"/>
      <w:start w:val="9"/>
    </w:lvl>
  </w:abstractNum>
  <w:abstractNum w:abstractNumId="11">
    <w:nsid w:val="2A487CB0"/>
    <w:multiLevelType w:val="hybridMultilevel"/>
    <w:lvl w:ilvl="0">
      <w:lvlJc w:val="left"/>
      <w:lvlText w:val="%1."/>
      <w:numFmt w:val="decimal"/>
      <w:start w:val="10"/>
    </w:lvl>
  </w:abstractNum>
  <w:abstractNum w:abstractNumId="12">
    <w:nsid w:val="1D4ED43B"/>
    <w:multiLevelType w:val="hybridMultilevel"/>
    <w:lvl w:ilvl="0">
      <w:lvlJc w:val="left"/>
      <w:lvlText w:val="%1."/>
      <w:numFmt w:val="decimal"/>
      <w:start w:val="11"/>
    </w:lvl>
  </w:abstractNum>
  <w:abstractNum w:abstractNumId="13">
    <w:nsid w:val="725A06FB"/>
    <w:multiLevelType w:val="hybridMultilevel"/>
    <w:lvl w:ilvl="0">
      <w:lvlJc w:val="left"/>
      <w:lvlText w:val="%1."/>
      <w:numFmt w:val="decimal"/>
      <w:start w:val="12"/>
    </w:lvl>
  </w:abstractNum>
  <w:abstractNum w:abstractNumId="14">
    <w:nsid w:val="2CD89A32"/>
    <w:multiLevelType w:val="hybridMultilevel"/>
    <w:lvl w:ilvl="0">
      <w:lvlJc w:val="left"/>
      <w:lvlText w:val="%1."/>
      <w:numFmt w:val="decimal"/>
      <w:start w:val="13"/>
    </w:lvl>
  </w:abstractNum>
  <w:abstractNum w:abstractNumId="15">
    <w:nsid w:val="57E4CCAF"/>
    <w:multiLevelType w:val="hybridMultilevel"/>
    <w:lvl w:ilvl="0">
      <w:lvlJc w:val="left"/>
      <w:lvlText w:val="%1."/>
      <w:numFmt w:val="decimal"/>
      <w:start w:val="14"/>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510"/>
    </w:lvl>
    <w:lvl w:ilvl="1">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3"/>
    </w:lvl>
  </w:abstractNum>
  <w:abstractNum w:abstractNumId="53">
    <w:nsid w:val="310C50B3"/>
    <w:multiLevelType w:val="hybridMultilevel"/>
    <w:lvl w:ilvl="0">
      <w:lvlJc w:val="left"/>
      <w:lvlText w:val="%1."/>
      <w:numFmt w:val="decimal"/>
      <w:start w:val="4"/>
    </w:lvl>
  </w:abstractNum>
  <w:abstractNum w:abstractNumId="54">
    <w:nsid w:val="5FF87E05"/>
    <w:multiLevelType w:val="hybridMultilevel"/>
    <w:lvl w:ilvl="0">
      <w:lvlJc w:val="left"/>
      <w:lvlText w:val="%1."/>
      <w:numFmt w:val="decimal"/>
      <w:start w:val="5"/>
    </w:lvl>
  </w:abstractNum>
  <w:abstractNum w:abstractNumId="55">
    <w:nsid w:val="2F305DEF"/>
    <w:multiLevelType w:val="hybridMultilevel"/>
    <w:lvl w:ilvl="0">
      <w:lvlJc w:val="left"/>
      <w:lvlText w:val="%1."/>
      <w:numFmt w:val="decimal"/>
      <w:start w:val="6"/>
    </w:lvl>
  </w:abstractNum>
  <w:abstractNum w:abstractNumId="56">
    <w:nsid w:val="25A70BF7"/>
    <w:multiLevelType w:val="hybridMultilevel"/>
    <w:lvl w:ilvl="0">
      <w:lvlJc w:val="left"/>
      <w:lvlText w:val="%1."/>
      <w:numFmt w:val="decimal"/>
      <w:start w:val="7"/>
    </w:lvl>
  </w:abstractNum>
  <w:abstractNum w:abstractNumId="57">
    <w:nsid w:val="1DBABF00"/>
    <w:multiLevelType w:val="hybridMultilevel"/>
    <w:lvl w:ilvl="0">
      <w:lvlJc w:val="left"/>
      <w:lvlText w:val="%1."/>
      <w:numFmt w:val="decimal"/>
      <w:start w:val="8"/>
    </w:lvl>
  </w:abstractNum>
  <w:abstractNum w:abstractNumId="58">
    <w:nsid w:val="4AD084E9"/>
    <w:multiLevelType w:val="hybridMultilevel"/>
    <w:lvl w:ilvl="0">
      <w:lvlJc w:val="left"/>
      <w:lvlText w:val="%1."/>
      <w:numFmt w:val="decimal"/>
      <w:start w:val="9"/>
    </w:lvl>
  </w:abstractNum>
  <w:abstractNum w:abstractNumId="59">
    <w:nsid w:val="1F48EAA1"/>
    <w:multiLevelType w:val="hybridMultilevel"/>
    <w:lvl w:ilvl="0">
      <w:lvlJc w:val="left"/>
      <w:lvlText w:val="(%1)"/>
      <w:numFmt w:val="lowerRoman"/>
      <w:start w:val="10"/>
    </w:lvl>
  </w:abstractNum>
  <w:abstractNum w:abstractNumId="60">
    <w:nsid w:val="1381823A"/>
    <w:multiLevelType w:val="hybridMultilevel"/>
    <w:lvl w:ilvl="0">
      <w:lvlJc w:val="left"/>
      <w:lvlText w:val="%1."/>
      <w:numFmt w:val="decimal"/>
      <w:start w:val="14"/>
    </w:lvl>
  </w:abstractNum>
  <w:abstractNum w:abstractNumId="61">
    <w:nsid w:val="5DB70AE5"/>
    <w:multiLevelType w:val="hybridMultilevel"/>
    <w:lvl w:ilvl="0">
      <w:lvlJc w:val="left"/>
      <w:lvlText w:val="%1."/>
      <w:numFmt w:val="decimal"/>
      <w:start w:val="15"/>
    </w:lvl>
  </w:abstractNum>
  <w:abstractNum w:abstractNumId="62">
    <w:nsid w:val="100F8FCA"/>
    <w:multiLevelType w:val="hybridMultilevel"/>
    <w:lvl w:ilvl="0">
      <w:lvlJc w:val="left"/>
      <w:lvlText w:val="(%1)"/>
      <w:numFmt w:val="decimal"/>
      <w:start w:val="5"/>
    </w:lvl>
  </w:abstractNum>
  <w:abstractNum w:abstractNumId="63">
    <w:nsid w:val="6590700B"/>
    <w:multiLevelType w:val="hybridMultilevel"/>
    <w:lvl w:ilvl="0">
      <w:lvlJc w:val="left"/>
      <w:lvlText w:val="(%1)"/>
      <w:numFmt w:val="lowerRoman"/>
      <w:start w:val="2"/>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jpe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07" Type="http://schemas.openxmlformats.org/officeDocument/2006/relationships/hyperlink" Target="http://www.sec.gov/Archives/edgar/data/1628171/000119312520010145/d799036dex21.htm" TargetMode="External"/><Relationship Id="rId108" Type="http://schemas.openxmlformats.org/officeDocument/2006/relationships/hyperlink" Target="http://www.sec.gov/Archives/edgar/data/1628171/000119312520040328/d848154dex31.htm" TargetMode="External"/><Relationship Id="rId109" Type="http://schemas.openxmlformats.org/officeDocument/2006/relationships/hyperlink" Target="http://www.sec.gov/Archives/edgar/data/1628171/000119312520040328/d848154dex32.htm" TargetMode="External"/><Relationship Id="rId110" Type="http://schemas.openxmlformats.org/officeDocument/2006/relationships/hyperlink" Target="http://www.sec.gov/Archives/edgar/data/1628171/000119312520022117/d799036dex107a.htm" TargetMode="External"/><Relationship Id="rId111" Type="http://schemas.openxmlformats.org/officeDocument/2006/relationships/hyperlink" Target="http://www.sec.gov/Archives/edgar/data/1628171/000119312520022117/d799036dex107b.htm" TargetMode="External"/><Relationship Id="rId112" Type="http://schemas.openxmlformats.org/officeDocument/2006/relationships/hyperlink" Target="http://www.sec.gov/Archives/edgar/data/1628171/000119312520022117/d799036dex107c.htm" TargetMode="External"/><Relationship Id="rId113" Type="http://schemas.openxmlformats.org/officeDocument/2006/relationships/hyperlink" Target="http://www.sec.gov/Archives/edgar/data/1628171/000119312520022117/d799036dex107d.htm" TargetMode="External"/><Relationship Id="rId114" Type="http://schemas.openxmlformats.org/officeDocument/2006/relationships/hyperlink" Target="http://www.sec.gov/Archives/edgar/data/1628171/000119312520022117/d799036dex108.htm" TargetMode="External"/><Relationship Id="rId115" Type="http://schemas.openxmlformats.org/officeDocument/2006/relationships/hyperlink" Target="http://www.sec.gov/Archives/edgar/data/1628171/000119312520022117/d799036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2020-05-14T15:16:02Z</dcterms:created>
  <dcterms:modified xsi:type="dcterms:W3CDTF">2020-05-14T15:16:02Z</dcterms:modified>
</cp:coreProperties>
</file>