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REVOLUTION MEDICINES,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47-2029180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700 Saginaw Drive</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Redwood City, California</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94063</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481-6801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RVMD</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Warrants to purchase 0.1112 shares of common</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RVMDW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 expiring 2026</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June 26, 2025, Revolution Medicines, Inc. (the “Company”) held its 2025 annual meeting of stockholders (the “Annual Meeting”). At the Annual Meeting, the Company’s stockholders voted on three proposals, each of which is described in more detail in the Company’s definitive proxy statement (the “Proxy Statement”) on Schedule 14A filed with the Securities and Exchange Commission (the “SEC”) on April 29, 2025. Only stockholders of record as of the close of business on April 28, 2025, the record date for the Annual Meeting, were entitled to vote at the Annual Meeting. As of the record date, 186,261,742 shares of the Company’s common stock, par value $0.0001 per share (the “Common Stock”), excluding any treasury shares, were outstanding and entitled to vote at the Annual Meeting. The tabulation of the stockholder votes on each proposal brought before the Annual Meeting is described below.</w:t>
      </w:r>
    </w:p>
    <w:p>
      <w:pPr>
        <w:spacing w:after="0" w:line="187"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The Company’s stockholders elected four Class II directors to hold office until the 2028 annual meeting of stockholders or until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successors are elected and qualified. The results of the vote were as follows:</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4820" w:type="dxa"/>
            <w:vAlign w:val="bottom"/>
          </w:tcPr>
          <w:p>
            <w:pPr>
              <w:spacing w:after="0"/>
              <w:rPr>
                <w:sz w:val="16"/>
                <w:szCs w:val="16"/>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Frank K. Clyburn, Jr.</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147,380,169</w:t>
            </w: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512,898</w:t>
            </w: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10,241,664</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Sandra J. Horning, M.D.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126,395,644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21,497,423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10,241,664</w:t>
            </w:r>
          </w:p>
        </w:tc>
        <w:tc>
          <w:tcPr>
            <w:tcW w:w="6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Sushil Patel, Ph.D.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126,396,068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21,496,999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10,241,664</w:t>
            </w:r>
          </w:p>
        </w:tc>
        <w:tc>
          <w:tcPr>
            <w:tcW w:w="60" w:type="dxa"/>
            <w:vAlign w:val="bottom"/>
            <w:shd w:val="clear" w:color="auto" w:fill="CCEEFF"/>
          </w:tcPr>
          <w:p>
            <w:pPr>
              <w:spacing w:after="0"/>
              <w:rPr>
                <w:sz w:val="18"/>
                <w:szCs w:val="18"/>
                <w:color w:val="auto"/>
              </w:rPr>
            </w:pPr>
          </w:p>
        </w:tc>
      </w:tr>
      <w:tr>
        <w:trPr>
          <w:trHeight w:val="23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Thilo Schroeder, Ph.D.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119,696,091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28,196,976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10,241,664</w:t>
            </w:r>
          </w:p>
        </w:tc>
        <w:tc>
          <w:tcPr>
            <w:tcW w:w="60" w:type="dxa"/>
            <w:vAlign w:val="bottom"/>
          </w:tcPr>
          <w:p>
            <w:pPr>
              <w:spacing w:after="0"/>
              <w:rPr>
                <w:sz w:val="20"/>
                <w:szCs w:val="20"/>
                <w:color w:val="auto"/>
              </w:rPr>
            </w:pPr>
          </w:p>
        </w:tc>
      </w:tr>
    </w:tbl>
    <w:p>
      <w:pPr>
        <w:spacing w:after="0" w:line="17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The Company’s stockholders ratified the appointment, by the audit committee of the Company’s board of directors,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PricewaterhouseCoopers LLP as the independent registered public accounting firm of the Company for the fiscal year ending December 31, 2025. The results of the vote were as follows:</w:t>
      </w:r>
    </w:p>
    <w:p>
      <w:pPr>
        <w:spacing w:after="0" w:line="196"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5060" w:type="dxa"/>
            <w:vAlign w:val="bottom"/>
            <w:gridSpan w:val="3"/>
          </w:tcPr>
          <w:p>
            <w:pPr>
              <w:jc w:val="center"/>
              <w:ind w:right="21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2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0"/>
        </w:trPr>
        <w:tc>
          <w:tcPr>
            <w:tcW w:w="1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09"/>
        </w:trPr>
        <w:tc>
          <w:tcPr>
            <w:tcW w:w="5060" w:type="dxa"/>
            <w:vAlign w:val="bottom"/>
            <w:gridSpan w:val="3"/>
            <w:shd w:val="clear" w:color="auto" w:fill="CCEEFF"/>
          </w:tcPr>
          <w:p>
            <w:pPr>
              <w:jc w:val="right"/>
              <w:ind w:right="3160"/>
              <w:spacing w:after="0"/>
              <w:rPr>
                <w:sz w:val="20"/>
                <w:szCs w:val="20"/>
                <w:color w:val="auto"/>
              </w:rPr>
            </w:pPr>
            <w:r>
              <w:rPr>
                <w:rFonts w:ascii="Times New Roman" w:cs="Times New Roman" w:eastAsia="Times New Roman" w:hAnsi="Times New Roman"/>
                <w:sz w:val="18"/>
                <w:szCs w:val="18"/>
                <w:color w:val="auto"/>
              </w:rPr>
              <w:t>157,875,830</w:t>
            </w: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214,963</w:t>
            </w:r>
          </w:p>
        </w:tc>
        <w:tc>
          <w:tcPr>
            <w:tcW w:w="2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43,938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routine proposal under applicable rules, no broker non-votes were recorded in connection with this proposal.</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Proposal 3</w:t>
      </w:r>
      <w:r>
        <w:rPr>
          <w:rFonts w:ascii="Times New Roman" w:cs="Times New Roman" w:eastAsia="Times New Roman" w:hAnsi="Times New Roman"/>
          <w:sz w:val="18"/>
          <w:szCs w:val="18"/>
          <w:color w:val="auto"/>
        </w:rPr>
        <w:t>. The Company’s stockholders approved, on a non-binding, advisory basis, the compensation of the Company’s named executive officers,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disclosed in the Proxy Statement, pursuant to the compensation disclosure rules of the SEC. The results of the vote were as follows:</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2700" w:type="dxa"/>
            <w:vAlign w:val="bottom"/>
            <w:gridSpan w:val="2"/>
          </w:tcPr>
          <w:p>
            <w:pPr>
              <w:jc w:val="center"/>
              <w:ind w:right="2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2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2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10"/>
        </w:trPr>
        <w:tc>
          <w:tcPr>
            <w:tcW w:w="3560" w:type="dxa"/>
            <w:vAlign w:val="bottom"/>
            <w:gridSpan w:val="3"/>
            <w:shd w:val="clear" w:color="auto" w:fill="CCEEFF"/>
          </w:tcPr>
          <w:p>
            <w:pPr>
              <w:jc w:val="right"/>
              <w:ind w:right="1960"/>
              <w:spacing w:after="0"/>
              <w:rPr>
                <w:sz w:val="20"/>
                <w:szCs w:val="20"/>
                <w:color w:val="auto"/>
              </w:rPr>
            </w:pPr>
            <w:r>
              <w:rPr>
                <w:rFonts w:ascii="Times New Roman" w:cs="Times New Roman" w:eastAsia="Times New Roman" w:hAnsi="Times New Roman"/>
                <w:sz w:val="18"/>
                <w:szCs w:val="18"/>
                <w:color w:val="auto"/>
              </w:rPr>
              <w:t>145,265,825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2,597,920</w:t>
            </w:r>
          </w:p>
        </w:tc>
        <w:tc>
          <w:tcPr>
            <w:tcW w:w="2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29,322</w:t>
            </w:r>
          </w:p>
        </w:tc>
        <w:tc>
          <w:tcPr>
            <w:tcW w:w="23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10,241,664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items were presented for stockholder approval at the Annual Meeting.</w:t>
      </w:r>
    </w:p>
    <w:p>
      <w:pPr>
        <w:sectPr>
          <w:pgSz w:w="11900" w:h="16838" w:orient="portrait"/>
          <w:cols w:equalWidth="0" w:num="1">
            <w:col w:w="10880"/>
          </w:cols>
          <w:pgMar w:left="440" w:top="293" w:right="5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REVOLUTION MEDICINES,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A.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Mark A. Goldsmith, M.D.,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2025-06-27T15:12:11Z</dcterms:created>
  <dcterms:modified xsi:type="dcterms:W3CDTF">2025-06-27T15:12:11Z</dcterms:modified>
</cp:coreProperties>
</file>