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06030dfwp.htm"/>
      <w:bookmarkStart w:id="1" w:name="ksd106030dfwp"/>
      <w:bookmarkEnd w:id="0"/>
      <w:bookmarkEnd w:id="1"/>
      <w:r>
        <w:rPr>
          <w:rFonts w:ascii="Times New Roman" w:hAnsi="Times New Roman"/>
          <w:sz w:val="20"/>
        </w:rPr>
        <w:t xml:space="preserve">Issuer Free Writing Prospectus </w:t>
      </w:r>
    </w:p>
    <w:p>
      <w:pPr>
        <w:pStyle w:val="TextBody"/>
        <w:bidi w:val="0"/>
        <w:spacing w:before="0" w:after="0"/>
        <w:jc w:val="right"/>
        <w:rPr>
          <w:rFonts w:ascii="Times New Roman" w:hAnsi="Times New Roman"/>
          <w:sz w:val="20"/>
        </w:rPr>
      </w:pPr>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Statement No. 333-277640 </w:t>
      </w:r>
    </w:p>
    <w:p>
      <w:pPr>
        <w:pStyle w:val="TextBody"/>
        <w:bidi w:val="0"/>
        <w:spacing w:before="0" w:after="0"/>
        <w:jc w:val="right"/>
        <w:rPr>
          <w:rFonts w:ascii="Times New Roman" w:hAnsi="Times New Roman"/>
          <w:sz w:val="20"/>
        </w:rPr>
      </w:pPr>
      <w:r>
        <w:rPr>
          <w:rFonts w:ascii="Times New Roman" w:hAnsi="Times New Roman"/>
          <w:sz w:val="20"/>
        </w:rPr>
        <w:t xml:space="preserve">Relating to the </w:t>
      </w:r>
    </w:p>
    <w:p>
      <w:pPr>
        <w:pStyle w:val="TextBody"/>
        <w:bidi w:val="0"/>
        <w:spacing w:before="0" w:after="0"/>
        <w:jc w:val="right"/>
        <w:rPr>
          <w:rFonts w:ascii="Times New Roman" w:hAnsi="Times New Roman"/>
          <w:sz w:val="20"/>
        </w:rPr>
      </w:pPr>
      <w:r>
        <w:rPr>
          <w:rFonts w:ascii="Times New Roman" w:hAnsi="Times New Roman"/>
          <w:sz w:val="20"/>
        </w:rPr>
        <w:t xml:space="preserve">Preliminary Prospectus Supplements </w:t>
      </w:r>
    </w:p>
    <w:p>
      <w:pPr>
        <w:pStyle w:val="TextBody"/>
        <w:bidi w:val="0"/>
        <w:spacing w:before="0" w:after="0"/>
        <w:jc w:val="right"/>
        <w:rPr>
          <w:rFonts w:ascii="Times New Roman" w:hAnsi="Times New Roman"/>
          <w:sz w:val="20"/>
        </w:rPr>
      </w:pPr>
      <w:r>
        <w:rPr>
          <w:rFonts w:ascii="Times New Roman" w:hAnsi="Times New Roman"/>
          <w:sz w:val="20"/>
        </w:rPr>
        <w:t xml:space="preserve">Dated April 13, 2026 </w:t>
      </w:r>
    </w:p>
    <w:p>
      <w:pPr>
        <w:pStyle w:val="TextBody"/>
        <w:bidi w:val="0"/>
        <w:spacing w:before="0" w:after="0"/>
        <w:jc w:val="right"/>
        <w:rPr>
          <w:rFonts w:ascii="Times New Roman" w:hAnsi="Times New Roman"/>
          <w:sz w:val="20"/>
        </w:rPr>
      </w:pPr>
      <w:r>
        <w:rPr>
          <w:rFonts w:ascii="Times New Roman" w:hAnsi="Times New Roman"/>
          <w:sz w:val="20"/>
        </w:rPr>
        <w:t xml:space="preserve">(To Prospectus Dated March 4, 2024) </w:t>
      </w:r>
    </w:p>
    <w:p>
      <w:pPr>
        <w:pStyle w:val="TextBody"/>
        <w:bidi w:val="0"/>
        <w:spacing w:before="48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April 14, 2026 </w:t>
      </w:r>
    </w:p>
    <w:p>
      <w:pPr>
        <w:pStyle w:val="TextBody"/>
        <w:bidi w:val="0"/>
        <w:spacing w:before="240" w:after="0"/>
        <w:jc w:val="center"/>
        <w:rPr>
          <w:rFonts w:ascii="Times New Roman" w:hAnsi="Times New Roman"/>
          <w:b/>
          <w:sz w:val="20"/>
        </w:rPr>
      </w:pPr>
      <w:r>
        <w:rPr>
          <w:rFonts w:ascii="Times New Roman" w:hAnsi="Times New Roman"/>
          <w:b/>
          <w:sz w:val="20"/>
        </w:rPr>
        <w:t xml:space="preserve">Revolution Medicines, Inc. </w:t>
      </w:r>
    </w:p>
    <w:p>
      <w:pPr>
        <w:pStyle w:val="TextBody"/>
        <w:bidi w:val="0"/>
        <w:spacing w:before="0" w:after="0"/>
        <w:jc w:val="center"/>
        <w:rPr>
          <w:rFonts w:ascii="Times New Roman" w:hAnsi="Times New Roman"/>
          <w:b/>
          <w:sz w:val="20"/>
        </w:rPr>
      </w:pPr>
      <w:r>
        <w:rPr>
          <w:rFonts w:ascii="Times New Roman" w:hAnsi="Times New Roman"/>
          <w:b/>
          <w:sz w:val="20"/>
        </w:rPr>
        <w:t xml:space="preserve">Offering of </w:t>
      </w:r>
    </w:p>
    <w:p>
      <w:pPr>
        <w:pStyle w:val="TextBody"/>
        <w:bidi w:val="0"/>
        <w:spacing w:before="0" w:after="0"/>
        <w:jc w:val="center"/>
        <w:rPr>
          <w:rFonts w:ascii="Times New Roman" w:hAnsi="Times New Roman"/>
          <w:b/>
          <w:sz w:val="20"/>
        </w:rPr>
      </w:pPr>
      <w:r>
        <w:rPr>
          <w:rFonts w:ascii="Times New Roman" w:hAnsi="Times New Roman"/>
          <w:b/>
          <w:sz w:val="20"/>
        </w:rPr>
        <w:t xml:space="preserve">10,563,381 Shares of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$500,000,000 Aggregate Principal Amount of </w:t>
      </w:r>
    </w:p>
    <w:p>
      <w:pPr>
        <w:pStyle w:val="TextBody"/>
        <w:bidi w:val="0"/>
        <w:spacing w:before="0" w:after="0"/>
        <w:jc w:val="center"/>
        <w:rPr>
          <w:rFonts w:ascii="Times New Roman" w:hAnsi="Times New Roman"/>
          <w:b/>
          <w:sz w:val="20"/>
        </w:rPr>
      </w:pPr>
      <w:r>
        <w:rPr>
          <w:rFonts w:ascii="Times New Roman" w:hAnsi="Times New Roman"/>
          <w:b/>
          <w:sz w:val="20"/>
        </w:rPr>
        <w:t xml:space="preserve">0.50% Convertible Senior Notes due 2033 </w:t>
      </w:r>
    </w:p>
    <w:p>
      <w:pPr>
        <w:pStyle w:val="TextBody"/>
        <w:bidi w:val="0"/>
        <w:spacing w:before="120" w:after="0"/>
        <w:jc w:val="left"/>
        <w:rPr>
          <w:rFonts w:ascii="Times New Roman" w:hAnsi="Times New Roman"/>
          <w:sz w:val="20"/>
        </w:rPr>
      </w:pPr>
      <w:r>
        <w:rPr>
          <w:rFonts w:ascii="Times New Roman" w:hAnsi="Times New Roman"/>
          <w:i/>
          <w:sz w:val="20"/>
        </w:rPr>
        <w:t>The information in this pricing term sheet supplements Revolution Medicines, Inc.’s preliminary prospectus supplement, dated April</w:t>
      </w:r>
      <w:r>
        <w:rPr>
          <w:rFonts w:ascii="Times New Roman" w:hAnsi="Times New Roman"/>
          <w:sz w:val="20"/>
        </w:rPr>
        <w:t> </w:t>
      </w:r>
      <w:r>
        <w:rPr>
          <w:rFonts w:ascii="Times New Roman" w:hAnsi="Times New Roman"/>
          <w:i/>
          <w:sz w:val="20"/>
        </w:rPr>
        <w:t>13, 2026 (the “Common Stock Preliminary Prospectus Supplement”), relating to an offering of common stock (the “Common Stock Offering”), and Revolution Medicines, Inc.’s preliminary prospectus supplement, dated April</w:t>
      </w:r>
      <w:r>
        <w:rPr>
          <w:rFonts w:ascii="Times New Roman" w:hAnsi="Times New Roman"/>
          <w:sz w:val="20"/>
        </w:rPr>
        <w:t> </w:t>
      </w:r>
      <w:r>
        <w:rPr>
          <w:rFonts w:ascii="Times New Roman" w:hAnsi="Times New Roman"/>
          <w:i/>
          <w:sz w:val="20"/>
        </w:rPr>
        <w:t>13, 2026 (the “Convertible Note Preliminary Prospectus Supplement,” and, together with the Common Stock Preliminary Prospectus Supplement, the “Preliminary Prospectus Supplements”), relating to an offering of convertible senior notes due</w:t>
      </w:r>
      <w:r>
        <w:rPr>
          <w:rFonts w:ascii="Times New Roman" w:hAnsi="Times New Roman"/>
          <w:sz w:val="20"/>
        </w:rPr>
        <w:t xml:space="preserve"> 2033 </w:t>
      </w:r>
      <w:r>
        <w:rPr>
          <w:rFonts w:ascii="Times New Roman" w:hAnsi="Times New Roman"/>
          <w:i/>
          <w:sz w:val="20"/>
        </w:rPr>
        <w:t>(the “Convertible Note Offering”), and supersedes the information in the applicable Preliminary Prospectus Supplement to the extent inconsistent with the information in that Preliminary Prospectus Supplement. Terms used, but not defined, in this pricing term sheet have the respective meanings set forth in the applicable Preliminary Prospectus Supplement. As used in this pricing term sheet, “we,” “our” and “us” refer to Revolution Medicines, Inc. and not to its subsidiaries. Revolution Medicines, Inc. has increased the size of the Common Stock Offering from $750.0</w:t>
      </w:r>
      <w:r>
        <w:rPr>
          <w:rFonts w:ascii="Times New Roman" w:hAnsi="Times New Roman"/>
          <w:sz w:val="20"/>
        </w:rPr>
        <w:t> </w:t>
      </w:r>
      <w:r>
        <w:rPr>
          <w:rFonts w:ascii="Times New Roman" w:hAnsi="Times New Roman"/>
          <w:i/>
          <w:sz w:val="20"/>
        </w:rPr>
        <w:t>million to approximately $1.5</w:t>
      </w:r>
      <w:r>
        <w:rPr>
          <w:rFonts w:ascii="Times New Roman" w:hAnsi="Times New Roman"/>
          <w:sz w:val="20"/>
        </w:rPr>
        <w:t> </w:t>
      </w:r>
      <w:r>
        <w:rPr>
          <w:rFonts w:ascii="Times New Roman" w:hAnsi="Times New Roman"/>
          <w:i/>
          <w:sz w:val="20"/>
        </w:rPr>
        <w:t>billion (or approximately $1.725</w:t>
      </w:r>
      <w:r>
        <w:rPr>
          <w:rFonts w:ascii="Times New Roman" w:hAnsi="Times New Roman"/>
          <w:sz w:val="20"/>
        </w:rPr>
        <w:t> </w:t>
      </w:r>
      <w:r>
        <w:rPr>
          <w:rFonts w:ascii="Times New Roman" w:hAnsi="Times New Roman"/>
          <w:i/>
          <w:sz w:val="20"/>
        </w:rPr>
        <w:t>billion if the underwriters of the</w:t>
      </w:r>
      <w:r>
        <w:rPr>
          <w:rFonts w:ascii="Times New Roman" w:hAnsi="Times New Roman"/>
          <w:sz w:val="20"/>
        </w:rPr>
        <w:t xml:space="preserve"> </w:t>
      </w:r>
      <w:r>
        <w:rPr>
          <w:rFonts w:ascii="Times New Roman" w:hAnsi="Times New Roman"/>
          <w:i/>
          <w:sz w:val="20"/>
        </w:rPr>
        <w:t>Common Stock Offering fully exercise their option to purchase additional Common Stock). In addition, Revolution Medicines, Inc. has increased the size of the Convertible Note Offering from $250.0</w:t>
      </w:r>
      <w:r>
        <w:rPr>
          <w:rFonts w:ascii="Times New Roman" w:hAnsi="Times New Roman"/>
          <w:sz w:val="20"/>
        </w:rPr>
        <w:t> </w:t>
      </w:r>
      <w:r>
        <w:rPr>
          <w:rFonts w:ascii="Times New Roman" w:hAnsi="Times New Roman"/>
          <w:i/>
          <w:sz w:val="20"/>
        </w:rPr>
        <w:t>million to $500.0</w:t>
      </w:r>
      <w:r>
        <w:rPr>
          <w:rFonts w:ascii="Times New Roman" w:hAnsi="Times New Roman"/>
          <w:sz w:val="20"/>
        </w:rPr>
        <w:t> </w:t>
      </w:r>
      <w:r>
        <w:rPr>
          <w:rFonts w:ascii="Times New Roman" w:hAnsi="Times New Roman"/>
          <w:i/>
          <w:sz w:val="20"/>
        </w:rPr>
        <w:t>million. The final prospectus supplements relating to the Common Stock Offering and the Convertible Note Offering will reflect conforming changes relating to such increase in the size of the Common Stock Offering and the Convertible Note Offering, respectively.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74"/>
        <w:gridCol w:w="120"/>
        <w:gridCol w:w="6311"/>
      </w:tblGrid>
      <w:tr>
        <w:trPr/>
        <w:tc>
          <w:tcPr>
            <w:tcW w:w="37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311" w:type="dxa"/>
            <w:tcBorders/>
            <w:vAlign w:val="center"/>
          </w:tcPr>
          <w:p>
            <w:pPr>
              <w:pStyle w:val="TableContents"/>
              <w:bidi w:val="0"/>
              <w:spacing w:before="0" w:after="283"/>
              <w:jc w:val="left"/>
              <w:rPr>
                <w:sz w:val="4"/>
                <w:szCs w:val="4"/>
              </w:rPr>
            </w:pPr>
            <w:r>
              <w:rPr>
                <w:sz w:val="4"/>
                <w:szCs w:val="4"/>
              </w:rPr>
            </w:r>
          </w:p>
        </w:tc>
      </w:tr>
      <w:tr>
        <w:trPr/>
        <w:tc>
          <w:tcPr>
            <w:tcW w:w="3774"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6311" w:type="dxa"/>
            <w:tcBorders/>
          </w:tcPr>
          <w:p>
            <w:pPr>
              <w:pStyle w:val="TableContents"/>
              <w:bidi w:val="0"/>
              <w:spacing w:before="0" w:after="283"/>
              <w:jc w:val="left"/>
              <w:rPr/>
            </w:pPr>
            <w:r>
              <w:rPr/>
              <w:t>Revolution Medicines, Inc.</w:t>
            </w:r>
          </w:p>
        </w:tc>
      </w:tr>
      <w:tr>
        <w:trPr>
          <w:trHeight w:val="120" w:hRule="atLeast"/>
        </w:trPr>
        <w:tc>
          <w:tcPr>
            <w:tcW w:w="3774" w:type="dxa"/>
            <w:tcBorders/>
            <w:vAlign w:val="center"/>
          </w:tcPr>
          <w:p>
            <w:pPr>
              <w:pStyle w:val="TableContents"/>
              <w:bidi w:val="0"/>
              <w:spacing w:before="0" w:after="283"/>
              <w:jc w:val="left"/>
              <w:rPr>
                <w:sz w:val="4"/>
                <w:szCs w:val="4"/>
              </w:rPr>
            </w:pPr>
            <w:r>
              <w:rPr>
                <w:sz w:val="4"/>
                <w:szCs w:val="4"/>
              </w:rPr>
            </w:r>
          </w:p>
        </w:tc>
        <w:tc>
          <w:tcPr>
            <w:tcW w:w="6431" w:type="dxa"/>
            <w:gridSpan w:val="2"/>
            <w:tcBorders/>
            <w:vAlign w:val="center"/>
          </w:tcPr>
          <w:p>
            <w:pPr>
              <w:pStyle w:val="TableContents"/>
              <w:bidi w:val="0"/>
              <w:spacing w:before="0" w:after="283"/>
              <w:jc w:val="left"/>
              <w:rPr>
                <w:sz w:val="4"/>
                <w:szCs w:val="4"/>
              </w:rPr>
            </w:pPr>
            <w:r>
              <w:rPr>
                <w:sz w:val="4"/>
                <w:szCs w:val="4"/>
              </w:rPr>
            </w:r>
          </w:p>
        </w:tc>
      </w:tr>
      <w:tr>
        <w:trPr/>
        <w:tc>
          <w:tcPr>
            <w:tcW w:w="3774" w:type="dxa"/>
            <w:tcBorders/>
          </w:tcPr>
          <w:p>
            <w:pPr>
              <w:pStyle w:val="TableContents"/>
              <w:bidi w:val="0"/>
              <w:spacing w:before="0" w:after="283"/>
              <w:jc w:val="left"/>
              <w:rPr/>
            </w:pPr>
            <w:r>
              <w:rPr/>
              <w:t>Securities Offered</w:t>
            </w:r>
          </w:p>
        </w:tc>
        <w:tc>
          <w:tcPr>
            <w:tcW w:w="120" w:type="dxa"/>
            <w:tcBorders/>
            <w:vAlign w:val="bottom"/>
          </w:tcPr>
          <w:p>
            <w:pPr>
              <w:pStyle w:val="TableContents"/>
              <w:bidi w:val="0"/>
              <w:spacing w:before="0" w:after="283"/>
              <w:jc w:val="left"/>
              <w:rPr/>
            </w:pPr>
            <w:r>
              <w:rPr/>
              <w:t>  </w:t>
            </w:r>
          </w:p>
        </w:tc>
        <w:tc>
          <w:tcPr>
            <w:tcW w:w="6311" w:type="dxa"/>
            <w:tcBorders/>
          </w:tcPr>
          <w:p>
            <w:pPr>
              <w:pStyle w:val="TableContents"/>
              <w:bidi w:val="0"/>
              <w:spacing w:before="0" w:after="283"/>
              <w:jc w:val="left"/>
              <w:rPr/>
            </w:pPr>
            <w:r>
              <w:rPr/>
              <w:t>10,563,381 (or, if the underwriters of the Common Stock Offering fully exercise their option to purchase additional shares, 12,147,887) shares of common stock, $0.0001 par value per share, of Revolution Medicines, Inc. (the “Common Stock”).</w:t>
            </w:r>
          </w:p>
        </w:tc>
      </w:tr>
      <w:tr>
        <w:trPr>
          <w:trHeight w:val="120" w:hRule="atLeast"/>
        </w:trPr>
        <w:tc>
          <w:tcPr>
            <w:tcW w:w="3774" w:type="dxa"/>
            <w:tcBorders/>
            <w:vAlign w:val="center"/>
          </w:tcPr>
          <w:p>
            <w:pPr>
              <w:pStyle w:val="TableContents"/>
              <w:bidi w:val="0"/>
              <w:spacing w:before="0" w:after="283"/>
              <w:jc w:val="left"/>
              <w:rPr>
                <w:sz w:val="4"/>
                <w:szCs w:val="4"/>
              </w:rPr>
            </w:pPr>
            <w:r>
              <w:rPr>
                <w:sz w:val="4"/>
                <w:szCs w:val="4"/>
              </w:rPr>
            </w:r>
          </w:p>
        </w:tc>
        <w:tc>
          <w:tcPr>
            <w:tcW w:w="6431" w:type="dxa"/>
            <w:gridSpan w:val="2"/>
            <w:tcBorders/>
            <w:vAlign w:val="center"/>
          </w:tcPr>
          <w:p>
            <w:pPr>
              <w:pStyle w:val="TableContents"/>
              <w:bidi w:val="0"/>
              <w:spacing w:before="0" w:after="283"/>
              <w:jc w:val="left"/>
              <w:rPr>
                <w:sz w:val="4"/>
                <w:szCs w:val="4"/>
              </w:rPr>
            </w:pPr>
            <w:r>
              <w:rPr>
                <w:sz w:val="4"/>
                <w:szCs w:val="4"/>
              </w:rPr>
            </w:r>
          </w:p>
        </w:tc>
      </w:tr>
      <w:tr>
        <w:trPr/>
        <w:tc>
          <w:tcPr>
            <w:tcW w:w="3774" w:type="dxa"/>
            <w:tcBorders/>
          </w:tcPr>
          <w:p>
            <w:pPr>
              <w:pStyle w:val="TableContents"/>
              <w:bidi w:val="0"/>
              <w:spacing w:before="0" w:after="0"/>
              <w:jc w:val="left"/>
              <w:rPr>
                <w:rFonts w:ascii="Times New Roman" w:hAnsi="Times New Roman"/>
                <w:sz w:val="20"/>
              </w:rPr>
            </w:pPr>
            <w:r>
              <w:rPr>
                <w:rFonts w:ascii="Times New Roman" w:hAnsi="Times New Roman"/>
                <w:sz w:val="20"/>
              </w:rPr>
              <w:t>Ticker / Exchange for Common Stock</w:t>
            </w:r>
          </w:p>
        </w:tc>
        <w:tc>
          <w:tcPr>
            <w:tcW w:w="120" w:type="dxa"/>
            <w:tcBorders/>
            <w:vAlign w:val="bottom"/>
          </w:tcPr>
          <w:p>
            <w:pPr>
              <w:pStyle w:val="TableContents"/>
              <w:bidi w:val="0"/>
              <w:spacing w:before="0" w:after="283"/>
              <w:jc w:val="left"/>
              <w:rPr/>
            </w:pPr>
            <w:r>
              <w:rPr/>
              <w:t>  </w:t>
            </w:r>
          </w:p>
        </w:tc>
        <w:tc>
          <w:tcPr>
            <w:tcW w:w="6311" w:type="dxa"/>
            <w:tcBorders/>
          </w:tcPr>
          <w:p>
            <w:pPr>
              <w:pStyle w:val="TableContents"/>
              <w:bidi w:val="0"/>
              <w:spacing w:before="0" w:after="283"/>
              <w:jc w:val="left"/>
              <w:rPr/>
            </w:pPr>
            <w:r>
              <w:rPr/>
              <w:t>RVMD / Nasdaq Global Select (“NASDAQ”).</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93"/>
        <w:gridCol w:w="120"/>
        <w:gridCol w:w="6292"/>
      </w:tblGrid>
      <w:tr>
        <w:trPr/>
        <w:tc>
          <w:tcPr>
            <w:tcW w:w="37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9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Last Reported Sale Price per Share of Common Stock on NASDAQ on April 14, 2026</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$147.01.</w:t>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Public Offering Price per Share of Common Stock</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$142.00.</w:t>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$6.0350 per share of Common Stock, and $63,750,004.34 in the aggregate (or $73,312,498.05 in the aggregate, if the underwriters of the Common Stock Offering exercise in full their option to purchase additional shares of Common Stock).</w:t>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Trade Date</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April 15, 2026.</w:t>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Settlement Date</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April 16, 2026.</w:t>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We estimate that the net proceeds to us from the Common Stock Offering will be approximately $1,435.0 million (or approximately $1,650.4 million if the underwriters of the Common Stock Offering fully exercise their option to purchase additional Common Stock), after deducting the underwriting discounts and commissions and our estimated offering expenses. We intend to use the combined net proceeds from the Common Stock Offering and the Convertible Note Offering, for general corporate purposes, including research and development expenses, expenses relating to the potential commercialization of one or more of our product candidates, general and administrative expenses and capital expenditures. We may also use a portion of the net proceeds to in-license, invest in or acquire businesses, technologies, products or assets that we believe are complementary to our own, although we have no current plans, commitments or agreements with respect to any such transactions. See “Use of Proceeds” in the Common Stock Preliminary Prospectus Supplement.</w:t>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Book-Running Managers</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J.P. Morgan Securities LLC</w:t>
            </w:r>
          </w:p>
        </w:tc>
      </w:tr>
      <w:tr>
        <w:trPr/>
        <w:tc>
          <w:tcPr>
            <w:tcW w:w="37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r>
      <w:tr>
        <w:trPr/>
        <w:tc>
          <w:tcPr>
            <w:tcW w:w="37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Lead Manager</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LifeSci Capital LLC</w:t>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CUSIP / ISIN Numbers for the Common Stock</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76155X100 / US76155X1000.</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Convertible Note Offering</w:t>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Issuer</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Revolution Medicines, Inc.</w:t>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Ticker / Exchange for Common Stock</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RVMD / NASDAQ.</w:t>
            </w:r>
          </w:p>
        </w:tc>
      </w:tr>
      <w:tr>
        <w:trPr>
          <w:trHeight w:val="120" w:hRule="atLeast"/>
        </w:trPr>
        <w:tc>
          <w:tcPr>
            <w:tcW w:w="3793" w:type="dxa"/>
            <w:tcBorders/>
            <w:vAlign w:val="center"/>
          </w:tcPr>
          <w:p>
            <w:pPr>
              <w:pStyle w:val="TableContents"/>
              <w:bidi w:val="0"/>
              <w:spacing w:before="0" w:after="283"/>
              <w:jc w:val="left"/>
              <w:rPr>
                <w:sz w:val="4"/>
                <w:szCs w:val="4"/>
              </w:rPr>
            </w:pPr>
            <w:r>
              <w:rPr>
                <w:sz w:val="4"/>
                <w:szCs w:val="4"/>
              </w:rPr>
            </w:r>
          </w:p>
        </w:tc>
        <w:tc>
          <w:tcPr>
            <w:tcW w:w="6412" w:type="dxa"/>
            <w:gridSpan w:val="2"/>
            <w:tcBorders/>
            <w:vAlign w:val="center"/>
          </w:tcPr>
          <w:p>
            <w:pPr>
              <w:pStyle w:val="TableContents"/>
              <w:bidi w:val="0"/>
              <w:spacing w:before="0" w:after="283"/>
              <w:jc w:val="left"/>
              <w:rPr>
                <w:sz w:val="4"/>
                <w:szCs w:val="4"/>
              </w:rPr>
            </w:pPr>
            <w:r>
              <w:rPr>
                <w:sz w:val="4"/>
                <w:szCs w:val="4"/>
              </w:rPr>
            </w:r>
          </w:p>
        </w:tc>
      </w:tr>
      <w:tr>
        <w:trPr/>
        <w:tc>
          <w:tcPr>
            <w:tcW w:w="3793" w:type="dxa"/>
            <w:tcBorders/>
          </w:tcPr>
          <w:p>
            <w:pPr>
              <w:pStyle w:val="TableContents"/>
              <w:bidi w:val="0"/>
              <w:spacing w:before="0" w:after="0"/>
              <w:jc w:val="left"/>
              <w:rPr>
                <w:rFonts w:ascii="Times New Roman" w:hAnsi="Times New Roman"/>
                <w:sz w:val="20"/>
              </w:rPr>
            </w:pPr>
            <w:r>
              <w:rPr>
                <w:rFonts w:ascii="Times New Roman" w:hAnsi="Times New Roman"/>
                <w:sz w:val="20"/>
              </w:rPr>
              <w:t>Trade Date</w:t>
            </w:r>
          </w:p>
        </w:tc>
        <w:tc>
          <w:tcPr>
            <w:tcW w:w="120" w:type="dxa"/>
            <w:tcBorders/>
            <w:vAlign w:val="bottom"/>
          </w:tcPr>
          <w:p>
            <w:pPr>
              <w:pStyle w:val="TableContents"/>
              <w:bidi w:val="0"/>
              <w:spacing w:before="0" w:after="283"/>
              <w:jc w:val="left"/>
              <w:rPr/>
            </w:pPr>
            <w:r>
              <w:rPr/>
              <w:t>  </w:t>
            </w:r>
          </w:p>
        </w:tc>
        <w:tc>
          <w:tcPr>
            <w:tcW w:w="6292" w:type="dxa"/>
            <w:tcBorders/>
          </w:tcPr>
          <w:p>
            <w:pPr>
              <w:pStyle w:val="TableContents"/>
              <w:bidi w:val="0"/>
              <w:spacing w:before="0" w:after="283"/>
              <w:jc w:val="left"/>
              <w:rPr/>
            </w:pPr>
            <w:r>
              <w:rPr/>
              <w:t>April 15,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20"/>
        <w:gridCol w:w="121"/>
        <w:gridCol w:w="6264"/>
      </w:tblGrid>
      <w:tr>
        <w:trPr/>
        <w:tc>
          <w:tcPr>
            <w:tcW w:w="382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264" w:type="dxa"/>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Settlement Date</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April 17, 2026, which is the second business day after the Trade Date (this settlement cycle being referred to as “T+2”). Under Rule 15c6-1 under the Exchange Act of 1934, as amended, trades in the secondary market generally must settle in one business day, unless the parties to the trade expressly agree otherwise. Accordingly, purchasers who wish to trade the Notes before the business day before the Settlement Date must, because the Notes initially will settle T+2, specify an alternate settlement cycle at the time of such trade to prevent a failed settlement. Those purchasers should consult their advisors.</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Notes</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0.50% convertible senior notes due 2033 (the “Notes”).</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Principal Amount</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$500,000,000.</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Public Offering Price</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100% of the principal amount of the Notes, plus accrued interest, if any, from the Settlement Date.</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Underwriting Discount</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2.50% of the principal amount of the Notes, and $12,500,000.00 in the aggregate, in each case plus accrued interest, if any, from the Settlement Date.</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Maturity</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May 1, 2033, unless earlier repurchased, redeemed or converted.</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Stated Interest Rate</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0.50% per annum.</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Interest Payment Dates</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May 1 and November 1 of each year, beginning on November 1, 2026.</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Record Dates</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April 15 and October 15.</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0"/>
              <w:jc w:val="left"/>
              <w:rPr>
                <w:rFonts w:ascii="Times New Roman" w:hAnsi="Times New Roman"/>
                <w:sz w:val="20"/>
              </w:rPr>
            </w:pPr>
            <w:r>
              <w:rPr>
                <w:rFonts w:ascii="Times New Roman" w:hAnsi="Times New Roman"/>
                <w:sz w:val="20"/>
              </w:rPr>
              <w:t>Last Reported Sale Price per Share of Common Stock on NASDAQ on April 14, 2026</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$147.01.</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Conversion Premium</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Approximately 40.0% above the Public Offering Price per Share of Common Stock in the Common Stock Offering.</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Initial Conversion Price</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Approximately $198.80 per share of our Common Stock.</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Initial Conversion Rate</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5.0302 shares of our Common Stock per $1,000 principal amount of Notes.</w:t>
            </w:r>
          </w:p>
        </w:tc>
      </w:tr>
      <w:tr>
        <w:trPr>
          <w:trHeight w:val="120" w:hRule="atLeast"/>
        </w:trPr>
        <w:tc>
          <w:tcPr>
            <w:tcW w:w="3820" w:type="dxa"/>
            <w:tcBorders/>
            <w:vAlign w:val="center"/>
          </w:tcPr>
          <w:p>
            <w:pPr>
              <w:pStyle w:val="TableContents"/>
              <w:bidi w:val="0"/>
              <w:spacing w:before="0" w:after="283"/>
              <w:jc w:val="left"/>
              <w:rPr>
                <w:sz w:val="4"/>
                <w:szCs w:val="4"/>
              </w:rPr>
            </w:pPr>
            <w:r>
              <w:rPr>
                <w:sz w:val="4"/>
                <w:szCs w:val="4"/>
              </w:rPr>
            </w:r>
          </w:p>
        </w:tc>
        <w:tc>
          <w:tcPr>
            <w:tcW w:w="6385" w:type="dxa"/>
            <w:gridSpan w:val="2"/>
            <w:tcBorders/>
            <w:vAlign w:val="center"/>
          </w:tcPr>
          <w:p>
            <w:pPr>
              <w:pStyle w:val="TableContents"/>
              <w:bidi w:val="0"/>
              <w:spacing w:before="0" w:after="283"/>
              <w:jc w:val="left"/>
              <w:rPr>
                <w:sz w:val="4"/>
                <w:szCs w:val="4"/>
              </w:rPr>
            </w:pPr>
            <w:r>
              <w:rPr>
                <w:sz w:val="4"/>
                <w:szCs w:val="4"/>
              </w:rPr>
            </w:r>
          </w:p>
        </w:tc>
      </w:tr>
      <w:tr>
        <w:trPr/>
        <w:tc>
          <w:tcPr>
            <w:tcW w:w="3820" w:type="dxa"/>
            <w:tcBorders/>
          </w:tcPr>
          <w:p>
            <w:pPr>
              <w:pStyle w:val="TableContents"/>
              <w:bidi w:val="0"/>
              <w:spacing w:before="0" w:after="283"/>
              <w:jc w:val="left"/>
              <w:rPr/>
            </w:pPr>
            <w:r>
              <w:rPr/>
              <w:t>Optional Redemption</w:t>
            </w:r>
          </w:p>
        </w:tc>
        <w:tc>
          <w:tcPr>
            <w:tcW w:w="121" w:type="dxa"/>
            <w:tcBorders/>
            <w:vAlign w:val="bottom"/>
          </w:tcPr>
          <w:p>
            <w:pPr>
              <w:pStyle w:val="TableContents"/>
              <w:bidi w:val="0"/>
              <w:spacing w:before="0" w:after="283"/>
              <w:jc w:val="left"/>
              <w:rPr/>
            </w:pPr>
            <w:r>
              <w:rPr/>
              <w:t>  </w:t>
            </w:r>
          </w:p>
        </w:tc>
        <w:tc>
          <w:tcPr>
            <w:tcW w:w="6264" w:type="dxa"/>
            <w:tcBorders/>
          </w:tcPr>
          <w:p>
            <w:pPr>
              <w:pStyle w:val="TableContents"/>
              <w:bidi w:val="0"/>
              <w:spacing w:before="0" w:after="283"/>
              <w:jc w:val="left"/>
              <w:rPr/>
            </w:pPr>
            <w:r>
              <w:rPr/>
              <w:t>The Notes will be redeemable, in whole or in part (subject to certain limitations described below), at our option at any time, and from time to time, on or after May 6, 2030 and on or before the 31st scheduled trading day immediately before the maturity date, at a cash redemption price equal to the principal amount of the Notes to be redeemed, plus accrued and unpaid interest, if any, to, but excluding, the redemption date,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However, we may not redeem less than all of the outstanding Notes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14"/>
        <w:gridCol w:w="122"/>
        <w:gridCol w:w="6269"/>
      </w:tblGrid>
      <w:tr>
        <w:trPr/>
        <w:tc>
          <w:tcPr>
            <w:tcW w:w="38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269" w:type="dxa"/>
            <w:tcBorders/>
            <w:vAlign w:val="center"/>
          </w:tcPr>
          <w:p>
            <w:pPr>
              <w:pStyle w:val="TableContents"/>
              <w:bidi w:val="0"/>
              <w:spacing w:before="0" w:after="283"/>
              <w:jc w:val="left"/>
              <w:rPr>
                <w:sz w:val="4"/>
                <w:szCs w:val="4"/>
              </w:rPr>
            </w:pPr>
            <w:r>
              <w:rPr>
                <w:sz w:val="4"/>
                <w:szCs w:val="4"/>
              </w:rPr>
            </w:r>
          </w:p>
        </w:tc>
      </w:tr>
      <w:tr>
        <w:trPr/>
        <w:tc>
          <w:tcPr>
            <w:tcW w:w="38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269" w:type="dxa"/>
            <w:tcBorders/>
          </w:tcPr>
          <w:p>
            <w:pPr>
              <w:pStyle w:val="TableContents"/>
              <w:bidi w:val="0"/>
              <w:spacing w:before="0" w:after="283"/>
              <w:jc w:val="left"/>
              <w:rPr/>
            </w:pPr>
            <w:r>
              <w:rPr/>
              <w:t>unless at least $100.0 million aggregate principal amount of Notes are outstanding and not called for redemption as of the time we send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 See “Description of Notes—Optional Redemption” in the Convertible Note Preliminary Prospectus Supplement.</w:t>
            </w:r>
          </w:p>
        </w:tc>
      </w:tr>
      <w:tr>
        <w:trPr>
          <w:trHeight w:val="120" w:hRule="atLeast"/>
        </w:trPr>
        <w:tc>
          <w:tcPr>
            <w:tcW w:w="3814" w:type="dxa"/>
            <w:tcBorders/>
            <w:vAlign w:val="center"/>
          </w:tcPr>
          <w:p>
            <w:pPr>
              <w:pStyle w:val="TableContents"/>
              <w:bidi w:val="0"/>
              <w:spacing w:before="0" w:after="283"/>
              <w:jc w:val="left"/>
              <w:rPr>
                <w:sz w:val="4"/>
                <w:szCs w:val="4"/>
              </w:rPr>
            </w:pPr>
            <w:r>
              <w:rPr>
                <w:sz w:val="4"/>
                <w:szCs w:val="4"/>
              </w:rPr>
            </w:r>
          </w:p>
        </w:tc>
        <w:tc>
          <w:tcPr>
            <w:tcW w:w="6391" w:type="dxa"/>
            <w:gridSpan w:val="2"/>
            <w:tcBorders/>
            <w:vAlign w:val="center"/>
          </w:tcPr>
          <w:p>
            <w:pPr>
              <w:pStyle w:val="TableContents"/>
              <w:bidi w:val="0"/>
              <w:spacing w:before="0" w:after="283"/>
              <w:jc w:val="left"/>
              <w:rPr>
                <w:sz w:val="4"/>
                <w:szCs w:val="4"/>
              </w:rPr>
            </w:pPr>
            <w:r>
              <w:rPr>
                <w:sz w:val="4"/>
                <w:szCs w:val="4"/>
              </w:rPr>
            </w:r>
          </w:p>
        </w:tc>
      </w:tr>
      <w:tr>
        <w:trPr/>
        <w:tc>
          <w:tcPr>
            <w:tcW w:w="3814" w:type="dxa"/>
            <w:tcBorders/>
          </w:tcPr>
          <w:p>
            <w:pPr>
              <w:pStyle w:val="TableContents"/>
              <w:bidi w:val="0"/>
              <w:spacing w:before="0" w:after="283"/>
              <w:jc w:val="left"/>
              <w:rPr/>
            </w:pPr>
            <w:r>
              <w:rPr/>
              <w:t>Use of Proceeds</w:t>
            </w:r>
          </w:p>
        </w:tc>
        <w:tc>
          <w:tcPr>
            <w:tcW w:w="122" w:type="dxa"/>
            <w:tcBorders/>
            <w:vAlign w:val="bottom"/>
          </w:tcPr>
          <w:p>
            <w:pPr>
              <w:pStyle w:val="TableContents"/>
              <w:bidi w:val="0"/>
              <w:spacing w:before="0" w:after="283"/>
              <w:jc w:val="left"/>
              <w:rPr/>
            </w:pPr>
            <w:r>
              <w:rPr/>
              <w:t>  </w:t>
            </w:r>
          </w:p>
        </w:tc>
        <w:tc>
          <w:tcPr>
            <w:tcW w:w="6269" w:type="dxa"/>
            <w:tcBorders/>
          </w:tcPr>
          <w:p>
            <w:pPr>
              <w:pStyle w:val="TableContents"/>
              <w:bidi w:val="0"/>
              <w:spacing w:before="0" w:after="283"/>
              <w:jc w:val="left"/>
              <w:rPr/>
            </w:pPr>
            <w:r>
              <w:rPr/>
              <w:t>We estimate that the net proceeds to us from the Convertible Note Offering will be approximately $486.8 million, after deducting the underwriting discounts and commissions and our estimated offering expenses. We intend to use the combined net proceeds from the Convertible Note Offering and the Common Stock Offering for general corporate purposes, including research and development expenses, expenses relating to the potential commercialization of one or more of our product candidates, general and administrative expenses and capital expenditures. We may also use a portion of the net proceeds to in-license, invest in or acquire businesses, technologies, products or assets that we believe are complementary to our own, although we have no current plans, commitments or agreements with respect to any such transactions. See “Use of Proceeds” in the Convertible Note Preliminary Prospectus Supplement.</w:t>
            </w:r>
          </w:p>
        </w:tc>
      </w:tr>
      <w:tr>
        <w:trPr>
          <w:trHeight w:val="120" w:hRule="atLeast"/>
        </w:trPr>
        <w:tc>
          <w:tcPr>
            <w:tcW w:w="3814" w:type="dxa"/>
            <w:tcBorders/>
            <w:vAlign w:val="center"/>
          </w:tcPr>
          <w:p>
            <w:pPr>
              <w:pStyle w:val="TableContents"/>
              <w:bidi w:val="0"/>
              <w:spacing w:before="0" w:after="283"/>
              <w:jc w:val="left"/>
              <w:rPr>
                <w:sz w:val="4"/>
                <w:szCs w:val="4"/>
              </w:rPr>
            </w:pPr>
            <w:r>
              <w:rPr>
                <w:sz w:val="4"/>
                <w:szCs w:val="4"/>
              </w:rPr>
            </w:r>
          </w:p>
        </w:tc>
        <w:tc>
          <w:tcPr>
            <w:tcW w:w="6391" w:type="dxa"/>
            <w:gridSpan w:val="2"/>
            <w:tcBorders/>
            <w:vAlign w:val="center"/>
          </w:tcPr>
          <w:p>
            <w:pPr>
              <w:pStyle w:val="TableContents"/>
              <w:bidi w:val="0"/>
              <w:spacing w:before="0" w:after="283"/>
              <w:jc w:val="left"/>
              <w:rPr>
                <w:sz w:val="4"/>
                <w:szCs w:val="4"/>
              </w:rPr>
            </w:pPr>
            <w:r>
              <w:rPr>
                <w:sz w:val="4"/>
                <w:szCs w:val="4"/>
              </w:rPr>
            </w:r>
          </w:p>
        </w:tc>
      </w:tr>
      <w:tr>
        <w:trPr/>
        <w:tc>
          <w:tcPr>
            <w:tcW w:w="3814" w:type="dxa"/>
            <w:tcBorders/>
          </w:tcPr>
          <w:p>
            <w:pPr>
              <w:pStyle w:val="TableContents"/>
              <w:bidi w:val="0"/>
              <w:spacing w:before="0" w:after="283"/>
              <w:jc w:val="left"/>
              <w:rPr/>
            </w:pPr>
            <w:r>
              <w:rPr/>
              <w:t>Book-Running Managers</w:t>
            </w:r>
          </w:p>
        </w:tc>
        <w:tc>
          <w:tcPr>
            <w:tcW w:w="122" w:type="dxa"/>
            <w:tcBorders/>
            <w:vAlign w:val="bottom"/>
          </w:tcPr>
          <w:p>
            <w:pPr>
              <w:pStyle w:val="TableContents"/>
              <w:bidi w:val="0"/>
              <w:spacing w:before="0" w:after="283"/>
              <w:jc w:val="left"/>
              <w:rPr/>
            </w:pPr>
            <w:r>
              <w:rPr/>
              <w:t>  </w:t>
            </w:r>
          </w:p>
        </w:tc>
        <w:tc>
          <w:tcPr>
            <w:tcW w:w="6269" w:type="dxa"/>
            <w:tcBorders/>
          </w:tcPr>
          <w:p>
            <w:pPr>
              <w:pStyle w:val="TableContents"/>
              <w:bidi w:val="0"/>
              <w:spacing w:before="0" w:after="283"/>
              <w:jc w:val="left"/>
              <w:rPr/>
            </w:pPr>
            <w:r>
              <w:rPr/>
              <w:t>J.P. Morgan Securities LLC</w:t>
            </w:r>
          </w:p>
        </w:tc>
      </w:tr>
      <w:tr>
        <w:trPr/>
        <w:tc>
          <w:tcPr>
            <w:tcW w:w="38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269" w:type="dxa"/>
            <w:tcBorders/>
          </w:tcPr>
          <w:p>
            <w:pPr>
              <w:pStyle w:val="TableContents"/>
              <w:bidi w:val="0"/>
              <w:spacing w:before="0" w:after="283"/>
              <w:jc w:val="left"/>
              <w:rPr/>
            </w:pPr>
            <w:r>
              <w:rPr/>
              <w:t>TD Securities (USA) LLC</w:t>
            </w:r>
          </w:p>
        </w:tc>
      </w:tr>
      <w:tr>
        <w:trPr/>
        <w:tc>
          <w:tcPr>
            <w:tcW w:w="38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269" w:type="dxa"/>
            <w:tcBorders/>
          </w:tcPr>
          <w:p>
            <w:pPr>
              <w:pStyle w:val="TableContents"/>
              <w:bidi w:val="0"/>
              <w:spacing w:before="0" w:after="283"/>
              <w:jc w:val="left"/>
              <w:rPr/>
            </w:pPr>
            <w:r>
              <w:rPr/>
              <w:t>Guggenheim Securities, LLC</w:t>
            </w:r>
          </w:p>
        </w:tc>
      </w:tr>
      <w:tr>
        <w:trPr>
          <w:trHeight w:val="120" w:hRule="atLeast"/>
        </w:trPr>
        <w:tc>
          <w:tcPr>
            <w:tcW w:w="3814" w:type="dxa"/>
            <w:tcBorders/>
            <w:vAlign w:val="center"/>
          </w:tcPr>
          <w:p>
            <w:pPr>
              <w:pStyle w:val="TableContents"/>
              <w:bidi w:val="0"/>
              <w:spacing w:before="0" w:after="283"/>
              <w:jc w:val="left"/>
              <w:rPr>
                <w:sz w:val="4"/>
                <w:szCs w:val="4"/>
              </w:rPr>
            </w:pPr>
            <w:r>
              <w:rPr>
                <w:sz w:val="4"/>
                <w:szCs w:val="4"/>
              </w:rPr>
            </w:r>
          </w:p>
        </w:tc>
        <w:tc>
          <w:tcPr>
            <w:tcW w:w="6391" w:type="dxa"/>
            <w:gridSpan w:val="2"/>
            <w:tcBorders/>
            <w:vAlign w:val="center"/>
          </w:tcPr>
          <w:p>
            <w:pPr>
              <w:pStyle w:val="TableContents"/>
              <w:bidi w:val="0"/>
              <w:spacing w:before="0" w:after="283"/>
              <w:jc w:val="left"/>
              <w:rPr>
                <w:sz w:val="4"/>
                <w:szCs w:val="4"/>
              </w:rPr>
            </w:pPr>
            <w:r>
              <w:rPr>
                <w:sz w:val="4"/>
                <w:szCs w:val="4"/>
              </w:rPr>
            </w:r>
          </w:p>
        </w:tc>
      </w:tr>
      <w:tr>
        <w:trPr/>
        <w:tc>
          <w:tcPr>
            <w:tcW w:w="3814" w:type="dxa"/>
            <w:tcBorders/>
          </w:tcPr>
          <w:p>
            <w:pPr>
              <w:pStyle w:val="TableContents"/>
              <w:bidi w:val="0"/>
              <w:spacing w:before="0" w:after="283"/>
              <w:jc w:val="left"/>
              <w:rPr/>
            </w:pPr>
            <w:r>
              <w:rPr/>
              <w:t>Lead Manager</w:t>
            </w:r>
          </w:p>
        </w:tc>
        <w:tc>
          <w:tcPr>
            <w:tcW w:w="122" w:type="dxa"/>
            <w:tcBorders/>
            <w:vAlign w:val="bottom"/>
          </w:tcPr>
          <w:p>
            <w:pPr>
              <w:pStyle w:val="TableContents"/>
              <w:bidi w:val="0"/>
              <w:spacing w:before="0" w:after="283"/>
              <w:jc w:val="left"/>
              <w:rPr/>
            </w:pPr>
            <w:r>
              <w:rPr/>
              <w:t>  </w:t>
            </w:r>
          </w:p>
        </w:tc>
        <w:tc>
          <w:tcPr>
            <w:tcW w:w="6269" w:type="dxa"/>
            <w:tcBorders/>
          </w:tcPr>
          <w:p>
            <w:pPr>
              <w:pStyle w:val="TableContents"/>
              <w:bidi w:val="0"/>
              <w:spacing w:before="0" w:after="283"/>
              <w:jc w:val="left"/>
              <w:rPr/>
            </w:pPr>
            <w:r>
              <w:rPr/>
              <w:t>LifeSci Capital LLC</w:t>
            </w:r>
          </w:p>
        </w:tc>
      </w:tr>
      <w:tr>
        <w:trPr>
          <w:trHeight w:val="120" w:hRule="atLeast"/>
        </w:trPr>
        <w:tc>
          <w:tcPr>
            <w:tcW w:w="3814" w:type="dxa"/>
            <w:tcBorders/>
            <w:vAlign w:val="center"/>
          </w:tcPr>
          <w:p>
            <w:pPr>
              <w:pStyle w:val="TableContents"/>
              <w:bidi w:val="0"/>
              <w:spacing w:before="0" w:after="283"/>
              <w:jc w:val="left"/>
              <w:rPr>
                <w:sz w:val="4"/>
                <w:szCs w:val="4"/>
              </w:rPr>
            </w:pPr>
            <w:r>
              <w:rPr>
                <w:sz w:val="4"/>
                <w:szCs w:val="4"/>
              </w:rPr>
            </w:r>
          </w:p>
        </w:tc>
        <w:tc>
          <w:tcPr>
            <w:tcW w:w="6391" w:type="dxa"/>
            <w:gridSpan w:val="2"/>
            <w:tcBorders/>
            <w:vAlign w:val="center"/>
          </w:tcPr>
          <w:p>
            <w:pPr>
              <w:pStyle w:val="TableContents"/>
              <w:bidi w:val="0"/>
              <w:spacing w:before="0" w:after="283"/>
              <w:jc w:val="left"/>
              <w:rPr>
                <w:sz w:val="4"/>
                <w:szCs w:val="4"/>
              </w:rPr>
            </w:pPr>
            <w:r>
              <w:rPr>
                <w:sz w:val="4"/>
                <w:szCs w:val="4"/>
              </w:rPr>
            </w:r>
          </w:p>
        </w:tc>
      </w:tr>
      <w:tr>
        <w:trPr/>
        <w:tc>
          <w:tcPr>
            <w:tcW w:w="3814" w:type="dxa"/>
            <w:tcBorders/>
          </w:tcPr>
          <w:p>
            <w:pPr>
              <w:pStyle w:val="TableContents"/>
              <w:bidi w:val="0"/>
              <w:spacing w:before="0" w:after="283"/>
              <w:jc w:val="left"/>
              <w:rPr/>
            </w:pPr>
            <w:r>
              <w:rPr/>
              <w:t>CUSIP / ISIN Numbers for the Notes</w:t>
            </w:r>
          </w:p>
        </w:tc>
        <w:tc>
          <w:tcPr>
            <w:tcW w:w="122" w:type="dxa"/>
            <w:tcBorders/>
            <w:vAlign w:val="bottom"/>
          </w:tcPr>
          <w:p>
            <w:pPr>
              <w:pStyle w:val="TableContents"/>
              <w:bidi w:val="0"/>
              <w:spacing w:before="0" w:after="283"/>
              <w:jc w:val="left"/>
              <w:rPr/>
            </w:pPr>
            <w:r>
              <w:rPr/>
              <w:t>  </w:t>
            </w:r>
          </w:p>
        </w:tc>
        <w:tc>
          <w:tcPr>
            <w:tcW w:w="6269" w:type="dxa"/>
            <w:tcBorders/>
          </w:tcPr>
          <w:p>
            <w:pPr>
              <w:pStyle w:val="TableContents"/>
              <w:bidi w:val="0"/>
              <w:spacing w:before="0" w:after="283"/>
              <w:jc w:val="left"/>
              <w:rPr/>
            </w:pPr>
            <w:r>
              <w:rPr/>
              <w:t>76155XAA8 / US76155XAA81.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02"/>
        <w:gridCol w:w="121"/>
        <w:gridCol w:w="6282"/>
      </w:tblGrid>
      <w:tr>
        <w:trPr/>
        <w:tc>
          <w:tcPr>
            <w:tcW w:w="38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282" w:type="dxa"/>
            <w:tcBorders/>
            <w:vAlign w:val="center"/>
          </w:tcPr>
          <w:p>
            <w:pPr>
              <w:pStyle w:val="TableContents"/>
              <w:bidi w:val="0"/>
              <w:spacing w:before="0" w:after="283"/>
              <w:jc w:val="left"/>
              <w:rPr>
                <w:sz w:val="4"/>
                <w:szCs w:val="4"/>
              </w:rPr>
            </w:pPr>
            <w:r>
              <w:rPr>
                <w:sz w:val="4"/>
                <w:szCs w:val="4"/>
              </w:rPr>
            </w:r>
          </w:p>
        </w:tc>
      </w:tr>
      <w:tr>
        <w:trPr/>
        <w:tc>
          <w:tcPr>
            <w:tcW w:w="3802" w:type="dxa"/>
            <w:tcBorders/>
          </w:tcPr>
          <w:p>
            <w:pPr>
              <w:pStyle w:val="TableContents"/>
              <w:bidi w:val="0"/>
              <w:spacing w:before="0" w:after="0"/>
              <w:jc w:val="left"/>
              <w:rPr>
                <w:rFonts w:ascii="Times New Roman" w:hAnsi="Times New Roman"/>
                <w:sz w:val="20"/>
              </w:rPr>
            </w:pPr>
            <w:r>
              <w:rPr>
                <w:rFonts w:ascii="Times New Roman" w:hAnsi="Times New Roman"/>
                <w:sz w:val="20"/>
              </w:rPr>
              <w:t>Increase to Conversion Rate in Connection with a Make-Whole Fundamental Change</w:t>
            </w:r>
          </w:p>
        </w:tc>
        <w:tc>
          <w:tcPr>
            <w:tcW w:w="121" w:type="dxa"/>
            <w:tcBorders/>
            <w:vAlign w:val="bottom"/>
          </w:tcPr>
          <w:p>
            <w:pPr>
              <w:pStyle w:val="TableContents"/>
              <w:bidi w:val="0"/>
              <w:spacing w:before="0" w:after="283"/>
              <w:jc w:val="left"/>
              <w:rPr/>
            </w:pPr>
            <w:r>
              <w:rPr/>
              <w:t>  </w:t>
            </w:r>
          </w:p>
        </w:tc>
        <w:tc>
          <w:tcPr>
            <w:tcW w:w="6282" w:type="dxa"/>
            <w:tcBorders/>
          </w:tcPr>
          <w:p>
            <w:pPr>
              <w:pStyle w:val="TableContents"/>
              <w:bidi w:val="0"/>
              <w:spacing w:before="0" w:after="283"/>
              <w:jc w:val="left"/>
              <w:rPr/>
            </w:pPr>
            <w:r>
              <w:rPr/>
              <w:t>If a make-whole fundamental change occurs with respect to any Note and the conversion date for the conversion of such Note occurs during the related make-whole fundamental change conversion period, then, subject to the provisions described in the Convertible Note Preliminary Prospectus Supplement under the caption “Description of Notes—Conversion Rights—Increase in Conversion Rate in Connection with a Make-Whole Fundamental Change,” the conversion rate applicable to such conversion will be increased by a number of shares set forth in the table below corresponding (after interpolation, as described below) to the make-whole fundamental change effective date and the stock price of such make-whole fundamental change:</w:t>
            </w:r>
          </w:p>
        </w:tc>
      </w:tr>
    </w:tbl>
    <w:p>
      <w:pPr>
        <w:pStyle w:val="TextBody"/>
        <w:bidi w:val="0"/>
        <w:spacing w:before="0" w:after="0"/>
        <w:jc w:val="left"/>
        <w:rPr/>
      </w:pPr>
      <w:r>
        <w:rPr/>
        <w:t> </w:t>
      </w:r>
    </w:p>
    <w:tbl>
      <w:tblPr>
        <w:tblW w:w="13900" w:type="dxa"/>
        <w:jc w:val="center"/>
        <w:tblInd w:w="0" w:type="dxa"/>
        <w:tblLayout w:type="fixed"/>
        <w:tblCellMar>
          <w:top w:w="0" w:type="dxa"/>
          <w:left w:w="0" w:type="dxa"/>
          <w:bottom w:w="0" w:type="dxa"/>
          <w:right w:w="0" w:type="dxa"/>
        </w:tblCellMar>
      </w:tblPr>
      <w:tblGrid>
        <w:gridCol w:w="1580"/>
        <w:gridCol w:w="60"/>
        <w:gridCol w:w="64"/>
        <w:gridCol w:w="736"/>
        <w:gridCol w:w="60"/>
        <w:gridCol w:w="60"/>
        <w:gridCol w:w="64"/>
        <w:gridCol w:w="736"/>
        <w:gridCol w:w="60"/>
        <w:gridCol w:w="60"/>
        <w:gridCol w:w="64"/>
        <w:gridCol w:w="736"/>
        <w:gridCol w:w="60"/>
        <w:gridCol w:w="60"/>
        <w:gridCol w:w="64"/>
        <w:gridCol w:w="736"/>
        <w:gridCol w:w="60"/>
        <w:gridCol w:w="60"/>
        <w:gridCol w:w="64"/>
        <w:gridCol w:w="736"/>
        <w:gridCol w:w="60"/>
        <w:gridCol w:w="60"/>
        <w:gridCol w:w="64"/>
        <w:gridCol w:w="736"/>
        <w:gridCol w:w="60"/>
        <w:gridCol w:w="60"/>
        <w:gridCol w:w="64"/>
        <w:gridCol w:w="736"/>
        <w:gridCol w:w="60"/>
        <w:gridCol w:w="60"/>
        <w:gridCol w:w="64"/>
        <w:gridCol w:w="736"/>
        <w:gridCol w:w="60"/>
        <w:gridCol w:w="60"/>
        <w:gridCol w:w="64"/>
        <w:gridCol w:w="736"/>
        <w:gridCol w:w="60"/>
        <w:gridCol w:w="60"/>
        <w:gridCol w:w="64"/>
        <w:gridCol w:w="736"/>
        <w:gridCol w:w="60"/>
        <w:gridCol w:w="60"/>
        <w:gridCol w:w="64"/>
        <w:gridCol w:w="736"/>
        <w:gridCol w:w="60"/>
        <w:gridCol w:w="60"/>
        <w:gridCol w:w="79"/>
        <w:gridCol w:w="901"/>
        <w:gridCol w:w="60"/>
        <w:gridCol w:w="60"/>
        <w:gridCol w:w="79"/>
        <w:gridCol w:w="901"/>
        <w:gridCol w:w="60"/>
      </w:tblGrid>
      <w:tr>
        <w:trPr/>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0" w:type="dxa"/>
            <w:gridSpan w:val="50"/>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Make-Whole</w:t>
            </w:r>
          </w:p>
          <w:p>
            <w:pPr>
              <w:pStyle w:val="TableContents"/>
              <w:bidi w:val="0"/>
              <w:spacing w:before="0" w:after="0"/>
              <w:jc w:val="left"/>
              <w:rPr>
                <w:rFonts w:ascii="Times New Roman" w:hAnsi="Times New Roman"/>
                <w:b/>
                <w:sz w:val="16"/>
              </w:rPr>
            </w:pPr>
            <w:r>
              <w:rPr>
                <w:rFonts w:ascii="Times New Roman" w:hAnsi="Times New Roman"/>
                <w:b/>
                <w:sz w:val="16"/>
              </w:rPr>
              <w:t>Fundamental Change</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Effective Date</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$142.00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$165.00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$198.80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$258.44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$850.00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$1,250.00</w:t>
            </w:r>
          </w:p>
        </w:tc>
        <w:tc>
          <w:tcPr>
            <w:tcW w:w="60"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April 17, 2026</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2.0120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1.5714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1.1392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0.9106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0.7008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0.5207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0.2773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0.1582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0.0931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16"/>
              </w:rPr>
            </w:pPr>
            <w:r>
              <w:rPr>
                <w:rFonts w:ascii="Times New Roman" w:hAnsi="Times New Roman"/>
                <w:sz w:val="16"/>
              </w:rPr>
              <w:t>May 1, 2027</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2.0120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1.5714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1.1392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0.9106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0.6974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0.5120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0.2655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0.1476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0.0845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0.0484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0.0198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May 1, 2028</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2.0120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1.5714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1.1392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0.9028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0.6783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0.4898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0.2442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0.1306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16"/>
              </w:rPr>
            </w:pPr>
            <w:r>
              <w:rPr>
                <w:rFonts w:ascii="Times New Roman" w:hAnsi="Times New Roman"/>
                <w:sz w:val="16"/>
              </w:rPr>
              <w:t>May 1, 2029</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2.0120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1.5714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1.1262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0.8688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0.6397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0.4507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0.2121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0.1068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0.0274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May 1, 2030</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2.0120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1.5714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1.0711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0.8059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0.5749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0.3897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0.1672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0.0764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0.0148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16"/>
              </w:rPr>
            </w:pPr>
            <w:r>
              <w:rPr>
                <w:rFonts w:ascii="Times New Roman" w:hAnsi="Times New Roman"/>
                <w:sz w:val="16"/>
              </w:rPr>
              <w:t>May 1, 2031</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2.0120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1.5233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0.9648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0.6943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0.4680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0.2959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0.1077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0.0411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0.0146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58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May 1, 2032</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2.0120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1.3586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0.7534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0.4863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0.2862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0.1544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16"/>
              </w:rPr>
            </w:pPr>
            <w:r>
              <w:rPr>
                <w:rFonts w:ascii="Times New Roman" w:hAnsi="Times New Roman"/>
                <w:sz w:val="16"/>
              </w:rPr>
              <w:t>May 1, 2033</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2.0120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1.0304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such make-whole fundamental change effective date or stock price is not set forth in the table above,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stock price is greater than $1,250.00 (subject to adjustment in the same manner as the stock prices set forth in the column headings of the table above are adjusted, as described in the Convertible Note Preliminary Prospectus Supplement under the caption “Description of Notes—Conversion Rights—Increase in Conversion Rate in Connection with a Make-Whole Fundamental Change—Adjustment of Stock Prices and Number of Additional Shares”), or less than $142.00 (subject to adjustment in the same manner), per share, then no additional shares will be added to the conversion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no event will the conversion rate be increased to an amount that exceeds 7.0422 shares of our Common Stock per $1,000 principal amount of Notes, which amount is subject to adjustment in the same manner as, and at the same time and for the same events for which, the conversion rate is required to be adjusted pursuant to the provisions described in the Convertible Note Preliminary Prospectus Supplement under the caption “Description of Notes—Conversion Rights—Conversion Rate Adjustments—Generally.”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120" w:after="0"/>
        <w:jc w:val="left"/>
        <w:rPr>
          <w:rFonts w:ascii="Times New Roman" w:hAnsi="Times New Roman"/>
          <w:b/>
          <w:sz w:val="20"/>
        </w:rPr>
      </w:pPr>
      <w:r>
        <w:rPr>
          <w:rFonts w:ascii="Times New Roman" w:hAnsi="Times New Roman"/>
          <w:b/>
          <w:sz w:val="20"/>
        </w:rPr>
        <w:t xml:space="preserve">We have filed a registration statement (including a prospectus) and the Preliminary Prospectus Supplements with the SEC for the offerings to which this communication relates. Before you invest, you should read the applicable Preliminary Prospectus Supplement and the prospectus in that registration statement and other documents we have filed with the SEC for more complete information about us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these offerings. You may get these documents free by visiting EDGAR on the SEC website at </w:t>
      </w:r>
      <w:r>
        <w:rPr>
          <w:rFonts w:ascii="Times New Roman" w:hAnsi="Times New Roman"/>
          <w:b/>
          <w:i/>
          <w:sz w:val="20"/>
        </w:rPr>
        <w:t>www.sec.gov</w:t>
      </w:r>
      <w:r>
        <w:rPr>
          <w:rFonts w:ascii="Times New Roman" w:hAnsi="Times New Roman"/>
          <w:b/>
          <w:sz w:val="20"/>
        </w:rPr>
        <w:t xml:space="preserve">. Alternatively, we, any underwriter or any dealer participating in the applicable offering will arrange to send you the applicable Preliminary Prospectus Supplement (or, when available, the applicable final prospectus supplement) and the accompanying prospectus upon request to: J.P. Morgan Securities LLC, c/o Broadridge Financial Solutions, 1155 Long Island Avenue, Edgewood, New York 11717, or by email at prospectus-eq_fi@jpmchase.com and postsalemanualrequests@broadridge.com; TD Securities (USA) LLC, c/o Broadridge Financial Solutions, 1155 Long Island Avenue, Edgewood, NY 11717, or by email at TDManualrequest@broadridge.com; or Guggenheim Securities, LLC, Attention: Equity Syndicate Department, 330 Madison Avenue, 8th Floor, New York, NY 10017, by telephone at (212) 518-9544, or by email at GSEquityProspectusDelivery@guggenheimpartners.com. </w:t>
      </w:r>
    </w:p>
    <w:p>
      <w:pPr>
        <w:pStyle w:val="TextBody"/>
        <w:bidi w:val="0"/>
        <w:spacing w:before="240" w:after="0"/>
        <w:jc w:val="left"/>
        <w:rPr>
          <w:rFonts w:ascii="Times New Roman" w:hAnsi="Times New Roman"/>
          <w:b/>
          <w:sz w:val="20"/>
        </w:rPr>
      </w:pPr>
      <w:r>
        <w:rPr>
          <w:rFonts w:ascii="Times New Roman" w:hAnsi="Times New Roman"/>
          <w:b/>
          <w:sz w:val="20"/>
        </w:rPr>
        <w:t xml:space="preserve">The information in this pricing term sheet is not a complete description of the Common Stock, the Common Stock Offering, the Notes or the Convertible Note Offering. You should rely only on the information contained or incorporated by reference in the applicable Preliminary Prospectus Supplement and the accompanying prospectus, as supplemented by this pricing term sheet, in making an investment decision with respect to the Common Stock or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2161</Words>
  <Characters>12091</Characters>
  <CharactersWithSpaces>14471</CharactersWithSpaces>
  <Paragraphs>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