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Revolution Medicines,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76155X100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76155X100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9,364,972.00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76155X100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Baker Bros.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9,364,972.00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76155X100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Julian C.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9,364,972.00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76155X100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Felix J. Baker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9,364,972.00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9,364,972.00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8"/>
        <w:gridCol w:w="8882"/>
        <w:gridCol w:w="155"/>
      </w:tblGrid>
      <w:tr>
        <w:trPr/>
        <w:tc>
          <w:tcPr>
            <w:tcW w:w="1168" w:type="dxa"/>
            <w:tcBorders/>
            <w:vAlign w:val="center"/>
          </w:tcPr>
          <w:p>
            <w:pPr>
              <w:pStyle w:val="TableContents"/>
              <w:bidi w:val="0"/>
              <w:spacing w:before="0" w:after="283"/>
              <w:jc w:val="left"/>
              <w:rPr/>
            </w:pPr>
            <w:r>
              <w:rPr/>
              <w:t>Item 1.</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issuer: </w:t>
            </w:r>
          </w:p>
          <w:p>
            <w:pPr>
              <w:pStyle w:val="TableContents"/>
              <w:bidi w:val="0"/>
              <w:spacing w:before="0" w:after="0"/>
              <w:jc w:val="left"/>
              <w:rPr/>
            </w:pPr>
            <w:r>
              <w:rPr/>
              <w:t>Revolution Medicines, Inc.</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700 Saginaw Drive Redwood City, CA, 94063</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2.</w:t>
            </w:r>
          </w:p>
        </w:tc>
        <w:tc>
          <w:tcPr>
            <w:tcW w:w="888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Baker Bros. Advisors LP (the "Adviser"), Baker Bros. Advisors (GP) LLC (the "Adviser GP"), Julian C. Baker and Felix J. Baker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business address of each of the Reporting Persons is: c/o Baker Bros. Advisors LP 860 Washington Street, 3rd Floor New York, NY 10014 (212) 339-5690</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jc w:val="left"/>
              <w:rPr/>
            </w:pPr>
            <w:r>
              <w:rPr/>
              <w:t xml:space="preserve">Citizenship: </w:t>
            </w:r>
          </w:p>
          <w:p>
            <w:pPr>
              <w:pStyle w:val="TableContents"/>
              <w:bidi w:val="0"/>
              <w:spacing w:before="0" w:after="0"/>
              <w:jc w:val="left"/>
              <w:rPr/>
            </w:pPr>
            <w:r>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jc w:val="left"/>
              <w:rPr/>
            </w:pPr>
            <w:r>
              <w:rPr/>
              <w:t xml:space="preserve">CUSIP No.: </w:t>
            </w:r>
          </w:p>
          <w:p>
            <w:pPr>
              <w:pStyle w:val="TableContents"/>
              <w:bidi w:val="0"/>
              <w:spacing w:before="0" w:after="0"/>
              <w:jc w:val="left"/>
              <w:rPr/>
            </w:pPr>
            <w:r>
              <w:rPr/>
              <w:t>76155X100</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3.</w:t>
            </w:r>
          </w:p>
        </w:tc>
        <w:tc>
          <w:tcPr>
            <w:tcW w:w="888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(d)</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(e)</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(f)</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(g)</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(h)</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(j)</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(k)</w:t>
            </w:r>
          </w:p>
        </w:tc>
        <w:tc>
          <w:tcPr>
            <w:tcW w:w="888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9037" w:type="dxa"/>
            <w:gridSpan w:val="2"/>
            <w:tcBorders/>
            <w:vAlign w:val="center"/>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4.</w:t>
            </w:r>
          </w:p>
        </w:tc>
        <w:tc>
          <w:tcPr>
            <w:tcW w:w="888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(a)</w:t>
            </w:r>
          </w:p>
        </w:tc>
        <w:tc>
          <w:tcPr>
            <w:tcW w:w="888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Items 5 through 9 and 11 of each of the cover pages to this Schedule 13G are incorporated herein by reference. Set forth below is the aggregate number of shares of Common Stock ("Common Stock") of Revolution Medicines, Inc. (the "Issuer") directly held by each of Baker Brothers Life Sciences, L.P. ("Life Sciences") and 667, L.P. ("667", and together with Life Sciences, the "Funds") which may be deemed to be indirectly beneficially owned by the Reporting Persons, as well as Common Stock that may be acquired upon exercise of prefunded warrants with no expiration date exercisable at any time for Common Stock on a 1-for-1 basis at an exercise price of $0.0001 per share, subject to limitations on exercise described below ("Prefunded Warrants"). The percentage of beneficial ownership for each of the Reporting Persons reported herein and the information set forth below is based on 186,901,268 shares of Common Stock outstanding as of June 30, 2025, as reported in the Issuer's Form 10-Q filed with the Securities and Exchange Commission on August 6, 2025. Such percentage figures are calculated in accordance with Rule 13d-3 under the Securities Exchange Act of 1934, as amended (the "Exchange Act"). The Prefunded Warrants are only exercisable to the extent that upon giving effect or immediately prior to such exercise the holders thereof, together with their affiliates and any members of a Section 13(d) group with such holders and/or their affiliates would beneficially own, for purposes of Rule 13d-3 under the Exchange Act, no more than 4.99% of the outstanding shares of Common Stock (the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this restriction, the number of shares that may be issued upon exercise of the Prefunded Warrants by the above holders may change depending upon changes in the amount of outstanding shares of Common Stock. Due to such Maximum Percentage, the Funds cannot presently exercise any of the Prefunded Warrants.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(b)</w:t>
            </w:r>
          </w:p>
        </w:tc>
        <w:tc>
          <w:tcPr>
            <w:tcW w:w="888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Funds beneficially own 9,364,972 shares of Common Stock or 5.0% of the outstanding Common Stock. 667 beneficially owns 0.4% and Life Sciences beneficially owns 4.6% of the outstanding Common Stock.  %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(c)</w:t>
            </w:r>
          </w:p>
        </w:tc>
        <w:tc>
          <w:tcPr>
            <w:tcW w:w="888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667 directly holds 772,886 shares of Common Stock and Life Sciences directly holds 8,592,086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667 directly holds 772,886 shares of Common Stock and Life Sciences directly holds 8,592,086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5.</w:t>
            </w:r>
          </w:p>
        </w:tc>
        <w:tc>
          <w:tcPr>
            <w:tcW w:w="888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6.</w:t>
            </w:r>
          </w:p>
        </w:tc>
        <w:tc>
          <w:tcPr>
            <w:tcW w:w="888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7.</w:t>
            </w:r>
          </w:p>
        </w:tc>
        <w:tc>
          <w:tcPr>
            <w:tcW w:w="888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information in Item 4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8.</w:t>
            </w:r>
          </w:p>
        </w:tc>
        <w:tc>
          <w:tcPr>
            <w:tcW w:w="888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Item 9.</w:t>
            </w:r>
          </w:p>
        </w:tc>
        <w:tc>
          <w:tcPr>
            <w:tcW w:w="888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8" w:type="dxa"/>
            <w:tcBorders/>
            <w:vAlign w:val="center"/>
          </w:tcPr>
          <w:p>
            <w:pPr>
              <w:pStyle w:val="TableContents"/>
              <w:bidi w:val="0"/>
              <w:spacing w:before="0" w:after="283"/>
              <w:jc w:val="left"/>
              <w:rPr/>
            </w:pPr>
            <w:r>
              <w:rPr/>
              <w:t> </w:t>
            </w:r>
          </w:p>
        </w:tc>
        <w:tc>
          <w:tcPr>
            <w:tcW w:w="888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24" w:type="dxa"/>
        <w:jc w:val="left"/>
        <w:tblInd w:w="0" w:type="dxa"/>
        <w:tblLayout w:type="fixed"/>
        <w:tblCellMar>
          <w:top w:w="28" w:type="dxa"/>
          <w:left w:w="28" w:type="dxa"/>
          <w:bottom w:w="28" w:type="dxa"/>
          <w:right w:w="28" w:type="dxa"/>
        </w:tblCellMar>
      </w:tblPr>
      <w:tblGrid>
        <w:gridCol w:w="2712"/>
        <w:gridCol w:w="2712"/>
      </w:tblGrid>
      <w:tr>
        <w:trPr/>
        <w:tc>
          <w:tcPr>
            <w:tcW w:w="2712" w:type="dxa"/>
            <w:tcBorders/>
            <w:vAlign w:val="center"/>
          </w:tcPr>
          <w:p>
            <w:pPr>
              <w:pStyle w:val="TableContents"/>
              <w:bidi w:val="0"/>
              <w:spacing w:before="0" w:after="0"/>
              <w:jc w:val="left"/>
              <w:rPr/>
            </w:pPr>
            <w:r>
              <w:rPr/>
              <w:t> </w:t>
            </w:r>
          </w:p>
          <w:tbl>
            <w:tblPr>
              <w:tblW w:w="2566" w:type="dxa"/>
              <w:jc w:val="left"/>
              <w:tblInd w:w="0" w:type="dxa"/>
              <w:tblLayout w:type="fixed"/>
              <w:tblCellMar>
                <w:top w:w="28" w:type="dxa"/>
                <w:left w:w="28" w:type="dxa"/>
                <w:bottom w:w="28" w:type="dxa"/>
                <w:right w:w="28" w:type="dxa"/>
              </w:tblCellMar>
            </w:tblPr>
            <w:tblGrid>
              <w:gridCol w:w="2566"/>
            </w:tblGrid>
            <w:tr>
              <w:trPr/>
              <w:tc>
                <w:tcPr>
                  <w:tcW w:w="2566" w:type="dxa"/>
                  <w:tcBorders/>
                  <w:vAlign w:val="center"/>
                </w:tcPr>
                <w:p>
                  <w:pPr>
                    <w:pStyle w:val="TableContents"/>
                    <w:bidi w:val="0"/>
                    <w:spacing w:before="0" w:after="0"/>
                    <w:jc w:val="left"/>
                    <w:rPr/>
                  </w:pPr>
                  <w:r>
                    <w:rPr/>
                    <w:t>Baker Bros. Advisors LP</w:t>
                  </w:r>
                </w:p>
              </w:tc>
            </w:tr>
          </w:tbl>
          <w:p>
            <w:pPr>
              <w:pStyle w:val="TableContents"/>
              <w:bidi w:val="0"/>
              <w:spacing w:before="0" w:after="283"/>
              <w:jc w:val="left"/>
              <w:rPr/>
            </w:pPr>
            <w:r>
              <w:rPr/>
            </w:r>
          </w:p>
        </w:tc>
        <w:tc>
          <w:tcPr>
            <w:tcW w:w="27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6"/>
        <w:gridCol w:w="4379"/>
      </w:tblGrid>
      <w:tr>
        <w:trPr/>
        <w:tc>
          <w:tcPr>
            <w:tcW w:w="58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Scott L. Lessing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Scott L. Lessing/ President By: Baker Bros. Advisors (GP)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379"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Baker Bros. Advisors (GP)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Scott L. Lessing</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Scott L. Lessing/ President</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Julian C. Baker</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Julian C. Baker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Julian C. Baker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224" w:type="dxa"/>
        <w:jc w:val="left"/>
        <w:tblInd w:w="0" w:type="dxa"/>
        <w:tblLayout w:type="fixed"/>
        <w:tblCellMar>
          <w:top w:w="28" w:type="dxa"/>
          <w:left w:w="28" w:type="dxa"/>
          <w:bottom w:w="28" w:type="dxa"/>
          <w:right w:w="28" w:type="dxa"/>
        </w:tblCellMar>
      </w:tblPr>
      <w:tblGrid>
        <w:gridCol w:w="1612"/>
        <w:gridCol w:w="1612"/>
      </w:tblGrid>
      <w:tr>
        <w:trPr/>
        <w:tc>
          <w:tcPr>
            <w:tcW w:w="1612" w:type="dxa"/>
            <w:tcBorders/>
            <w:vAlign w:val="center"/>
          </w:tcPr>
          <w:p>
            <w:pPr>
              <w:pStyle w:val="TableContents"/>
              <w:bidi w:val="0"/>
              <w:spacing w:before="0" w:after="0"/>
              <w:jc w:val="left"/>
              <w:rPr/>
            </w:pPr>
            <w:r>
              <w:rPr/>
              <w:t> </w:t>
            </w:r>
          </w:p>
          <w:tbl>
            <w:tblPr>
              <w:tblW w:w="1486" w:type="dxa"/>
              <w:jc w:val="left"/>
              <w:tblInd w:w="0" w:type="dxa"/>
              <w:tblLayout w:type="fixed"/>
              <w:tblCellMar>
                <w:top w:w="28" w:type="dxa"/>
                <w:left w:w="28" w:type="dxa"/>
                <w:bottom w:w="28" w:type="dxa"/>
                <w:right w:w="28" w:type="dxa"/>
              </w:tblCellMar>
            </w:tblPr>
            <w:tblGrid>
              <w:gridCol w:w="1486"/>
            </w:tblGrid>
            <w:tr>
              <w:trPr/>
              <w:tc>
                <w:tcPr>
                  <w:tcW w:w="1486" w:type="dxa"/>
                  <w:tcBorders/>
                  <w:vAlign w:val="center"/>
                </w:tcPr>
                <w:p>
                  <w:pPr>
                    <w:pStyle w:val="TableContents"/>
                    <w:bidi w:val="0"/>
                    <w:spacing w:before="0" w:after="0"/>
                    <w:jc w:val="left"/>
                    <w:rPr/>
                  </w:pPr>
                  <w:r>
                    <w:rPr/>
                    <w:t>Felix J. Baker</w:t>
                  </w:r>
                </w:p>
              </w:tc>
            </w:tr>
          </w:tbl>
          <w:p>
            <w:pPr>
              <w:pStyle w:val="TableContents"/>
              <w:bidi w:val="0"/>
              <w:spacing w:before="0" w:after="283"/>
              <w:jc w:val="left"/>
              <w:rPr/>
            </w:pPr>
            <w:r>
              <w:rPr/>
            </w:r>
          </w:p>
        </w:tc>
        <w:tc>
          <w:tcPr>
            <w:tcW w:w="16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15"/>
        <w:gridCol w:w="4490"/>
      </w:tblGrid>
      <w:tr>
        <w:trPr/>
        <w:tc>
          <w:tcPr>
            <w:tcW w:w="57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Felix J. Baker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Felix J. Baker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08/14/2025</w:t>
                  </w:r>
                </w:p>
              </w:tc>
            </w:tr>
          </w:tbl>
          <w:p>
            <w:pPr>
              <w:pStyle w:val="TableContents"/>
              <w:bidi w:val="0"/>
              <w:spacing w:before="0" w:after="283"/>
              <w:jc w:val="left"/>
              <w:rPr/>
            </w:pPr>
            <w:r>
              <w:rPr/>
            </w:r>
          </w:p>
        </w:tc>
        <w:tc>
          <w:tcPr>
            <w:tcW w:w="4490" w:type="dxa"/>
            <w:tcBorders/>
            <w:vAlign w:val="center"/>
          </w:tcPr>
          <w:p>
            <w:pPr>
              <w:pStyle w:val="TableContents"/>
              <w:bidi w:val="0"/>
              <w:spacing w:before="0" w:after="283"/>
              <w:jc w:val="left"/>
              <w:rPr>
                <w:sz w:val="4"/>
                <w:szCs w:val="4"/>
              </w:rPr>
            </w:pPr>
            <w:r>
              <w:rPr>
                <w:sz w:val="4"/>
                <w:szCs w:val="4"/>
              </w:rPr>
            </w:r>
          </w:p>
        </w:tc>
      </w:tr>
    </w:tbl>
    <w:tbl>
      <w:tblPr>
        <w:tblW w:w="3856" w:type="dxa"/>
        <w:jc w:val="left"/>
        <w:tblInd w:w="0" w:type="dxa"/>
        <w:tblLayout w:type="fixed"/>
        <w:tblCellMar>
          <w:top w:w="28" w:type="dxa"/>
          <w:left w:w="28" w:type="dxa"/>
          <w:bottom w:w="28" w:type="dxa"/>
          <w:right w:w="28" w:type="dxa"/>
        </w:tblCellMar>
      </w:tblPr>
      <w:tblGrid>
        <w:gridCol w:w="3856"/>
      </w:tblGrid>
      <w:tr>
        <w:trPr/>
        <w:tc>
          <w:tcPr>
            <w:tcW w:w="3856" w:type="dxa"/>
            <w:tcBorders/>
            <w:vAlign w:val="center"/>
          </w:tcPr>
          <w:p>
            <w:pPr>
              <w:pStyle w:val="TableContents"/>
              <w:bidi w:val="0"/>
              <w:spacing w:before="0" w:after="283"/>
              <w:jc w:val="center"/>
              <w:rPr>
                <w:b/>
              </w:rPr>
            </w:pPr>
            <w:r>
              <w:rPr>
                <w:b/>
              </w:rPr>
              <w:t xml:space="preserve">Exhibit Information </w:t>
            </w:r>
          </w:p>
        </w:tc>
      </w:tr>
      <w:tr>
        <w:trPr/>
        <w:tc>
          <w:tcPr>
            <w:tcW w:w="3856"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8" w:name="tm2521335d1_ex99-1.htm"/>
      <w:bookmarkStart w:id="29" w:name="kstm2521335d1_ex991"/>
      <w:bookmarkEnd w:id="28"/>
      <w:bookmarkEnd w:id="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13d-1(k)(1) under the Securities Exchange Act of 1934, as amended, the undersigned hereby agree that this Statement on Schedule 13G relating to the Common Stock of Revolution Medicines, Inc. is being filed with the Securities and Exchange Commission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320" w:right="0" w:hanging="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2025</w:t>
      </w:r>
    </w:p>
    <w:p>
      <w:pPr>
        <w:pStyle w:val="TextBody"/>
        <w:bidi w:val="0"/>
        <w:spacing w:before="0" w:after="0"/>
        <w:ind w:left="4320" w:right="0" w:hanging="432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75"/>
        <w:gridCol w:w="766"/>
        <w:gridCol w:w="4578"/>
      </w:tblGrid>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b/>
              </w:rPr>
            </w:pPr>
            <w:r>
              <w:rPr>
                <w:b/>
              </w:rPr>
              <w:t>BAKER BROS. ADVISORS LP  </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By: Baker Bros. Advisors (GP) LLC, its general partner</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br/>
              <w:t>Title: President</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BAKER BROS. ADVISORS (GP) LLC</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Scott L. Lessing</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Scott L. Lessing</w:t>
              <w:br/>
              <w:t>Title: President</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Julian C. Baker</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Julian C. Baker</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Felix J. Baker</w:t>
            </w:r>
          </w:p>
        </w:tc>
      </w:tr>
      <w:tr>
        <w:trPr/>
        <w:tc>
          <w:tcPr>
            <w:tcW w:w="75"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45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Felix J. Baker</w:t>
            </w:r>
          </w:p>
        </w:tc>
      </w:tr>
    </w:tbl>
    <w:p>
      <w:pPr>
        <w:pStyle w:val="TextBody"/>
        <w:bidi w:val="0"/>
        <w:spacing w:before="0" w:after="0"/>
        <w:ind w:left="4320" w:right="0" w:hanging="43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43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1960</Words>
  <Characters>10060</Characters>
  <CharactersWithSpaces>11970</CharactersWithSpaces>
  <Paragraphs>365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