
<file path=[Content_Types].xml><?xml version="1.0" encoding="utf-8"?>
<Types xmlns="http://schemas.openxmlformats.org/package/2006/content-types">
  <Default Extension="xml" ContentType="application/xml"/>
  <Default Extension="rels" ContentType="application/vnd.openxmlformats-package.relationships+xml"/>
  <Default Extension="png" ContentType="image/png"/>
  <Default Extension="jpeg" ContentType="image/jpeg"/>
  <Override PartName="/_rels/.rels" ContentType="application/vnd.openxmlformats-package.relationships+xml"/>
  <Override PartName="/docProps/core.xml" ContentType="application/vnd.openxmlformats-package.core-properties+xml"/>
  <Override PartName="/docProps/app.xml" ContentType="application/vnd.openxmlformats-officedocument.extended-properties+xml"/>
  <Override PartName="/word/_rels/document.xml.rels" ContentType="application/vnd.openxmlformats-package.relationship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fontTable.xml" ContentType="application/vnd.openxmlformats-officedocument.wordprocessingml.fontTable+xml"/>
  <Override PartName="/word/settings.xml" ContentType="application/vnd.openxmlformats-officedocument.wordprocessingml.settings+xml"/>
</Types>
</file>

<file path=_rels/.rels><?xml version="1.0" encoding="UTF-8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officeDocument" Target="word/document.xml"/>
</Relationships>
</file>

<file path=word/document.xml><?xml version="1.0" encoding="utf-8"?>
<w:document xmlns:o="urn:schemas-microsoft-com:office:office" xmlns:r="http://schemas.openxmlformats.org/officeDocument/2006/relationships" xmlns:v="urn:schemas-microsoft-com:vml" xmlns:w="http://schemas.openxmlformats.org/wordprocessingml/2006/main" xmlns:w10="urn:schemas-microsoft-com:office:word" xmlns:wp="http://schemas.openxmlformats.org/drawingml/2006/wordprocessingDrawing" xmlns:wps="http://schemas.microsoft.com/office/word/2010/wordprocessingShape" xmlns:wpg="http://schemas.microsoft.com/office/word/2010/wordprocessingGroup" xmlns:mc="http://schemas.openxmlformats.org/markup-compatibility/2006" xmlns:wp14="http://schemas.microsoft.com/office/word/2010/wordprocessingDrawing" xmlns:w14="http://schemas.microsoft.com/office/word/2010/wordml" xmlns:w15="http://schemas.microsoft.com/office/word/2012/wordml" mc:Ignorable="w14 wp14 w15">
  <w:body>
    <w:p>
      <w:pPr>
        <w:pStyle w:val="TextBody"/>
        <w:bidi w:val="0"/>
        <w:spacing w:before="0" w:after="0"/>
        <w:jc w:val="left"/>
        <w:rPr/>
      </w:pPr>
      <w:bookmarkStart w:id="0" w:name="ownership.xml.htm"/>
      <w:bookmarkStart w:id="1" w:name="ksownership"/>
      <w:bookmarkEnd w:id="0"/>
      <w:bookmarkEnd w:id="1"/>
      <w:r>
        <w:rPr/>
        <w:t xml:space="preserve">SEC Form 4 </w:t>
      </w:r>
    </w:p>
    <w:tbl>
      <w:tblPr>
        <w:tblW w:w="5000" w:type="pct"/>
        <w:jc w:val="left"/>
        <w:tblInd w:w="0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45"/>
        <w:gridCol w:w="1891"/>
        <w:gridCol w:w="5977"/>
        <w:gridCol w:w="1992"/>
      </w:tblGrid>
      <w:tr>
        <w:trPr/>
        <w:tc>
          <w:tcPr>
            <w:tcW w:w="2236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36"/>
              </w:rPr>
            </w:pPr>
            <w:r>
              <w:rPr>
                <w:rFonts w:ascii="arial;helvetica;sans-serif" w:hAnsi="arial;helvetica;sans-serif"/>
                <w:b/>
                <w:sz w:val="36"/>
              </w:rPr>
              <w:t>FORM 4</w:t>
            </w:r>
          </w:p>
        </w:tc>
        <w:tc>
          <w:tcPr>
            <w:tcW w:w="5977" w:type="dxa"/>
            <w:vMerge w:val="restart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/>
                <w:sz w:val="28"/>
              </w:rPr>
              <w:t>UNITED STATES SECURITIES AND EXCHANGE COMMISSION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Washington, D.C. 20549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b/>
                <w:sz w:val="28"/>
              </w:rPr>
              <w:t>STATEMENT OF CHANGES IN BENEFICIAL OWNERSHIP</w:t>
            </w:r>
            <w:r>
              <w:rPr/>
              <w:br/>
              <w:br/>
            </w:r>
            <w:r>
              <w:rPr>
                <w:rFonts w:ascii="arial;helvetica;sans-serif" w:hAnsi="arial;helvetica;sans-serif"/>
                <w:sz w:val="20"/>
              </w:rPr>
              <w:t>Filed pursuant to Section 16(a) of the Securities Exchange Act of 1934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or Section 30(h) of the Investment Company Act of 1940</w:t>
            </w:r>
          </w:p>
        </w:tc>
        <w:tc>
          <w:tcPr>
            <w:tcW w:w="1992" w:type="dxa"/>
            <w:vMerge w:val="restart"/>
            <w:tcBorders/>
          </w:tcPr>
          <w:p>
            <w:pPr>
              <w:pStyle w:val="TableContents"/>
              <w:bidi w:val="0"/>
              <w:spacing w:before="0" w:after="0"/>
              <w:jc w:val="center"/>
              <w:rPr/>
            </w:pPr>
            <w:r>
              <w:rPr/>
              <w:t> </w:t>
            </w:r>
          </w:p>
          <w:tbl>
            <w:tblPr>
              <w:tblW w:w="5000" w:type="pct"/>
              <w:jc w:val="center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872"/>
            </w:tblGrid>
            <w:tr>
              <w:trPr/>
              <w:tc>
                <w:tcPr>
                  <w:tcW w:w="1872" w:type="dxa"/>
                  <w:tcBorders>
                    <w:top w:val="double" w:sz="2" w:space="0" w:color="808080"/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0"/>
                    <w:jc w:val="center"/>
                    <w:rPr>
                      <w:rFonts w:ascii="arial;helvetica;sans-serif" w:hAnsi="arial;helvetica;sans-serif"/>
                      <w:b w:val="false"/>
                      <w:sz w:val="24"/>
                    </w:rPr>
                  </w:pPr>
                  <w:r>
                    <w:rPr>
                      <w:rFonts w:ascii="arial;helvetica;sans-serif" w:hAnsi="arial;helvetica;sans-serif"/>
                      <w:b w:val="false"/>
                      <w:sz w:val="24"/>
                    </w:rPr>
                    <w:t>OMB APPROVAL</w:t>
                  </w:r>
                </w:p>
                <w:tbl>
                  <w:tblPr>
                    <w:tblW w:w="5000" w:type="pct"/>
                    <w:jc w:val="left"/>
                    <w:tblInd w:w="0" w:type="dxa"/>
                    <w:tblLayout w:type="fixed"/>
                    <w:tblCellMar>
                      <w:top w:w="28" w:type="dxa"/>
                      <w:left w:w="28" w:type="dxa"/>
                      <w:bottom w:w="28" w:type="dxa"/>
                      <w:right w:w="28" w:type="dxa"/>
                    </w:tblCellMar>
                  </w:tblPr>
                  <w:tblGrid>
                    <w:gridCol w:w="1147"/>
                    <w:gridCol w:w="669"/>
                  </w:tblGrid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OMB Number: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3235-0287</w:t>
                        </w:r>
                      </w:p>
                    </w:tc>
                  </w:tr>
                  <w:tr>
                    <w:trPr/>
                    <w:tc>
                      <w:tcPr>
                        <w:tcW w:w="1816" w:type="dxa"/>
                        <w:gridSpan w:val="2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Estimated average burden</w:t>
                        </w:r>
                      </w:p>
                    </w:tc>
                  </w:tr>
                  <w:tr>
                    <w:trPr/>
                    <w:tc>
                      <w:tcPr>
                        <w:tcW w:w="1147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lef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hours per response:</w:t>
                        </w:r>
                      </w:p>
                    </w:tc>
                    <w:tc>
                      <w:tcPr>
                        <w:tcW w:w="669" w:type="dxa"/>
                        <w:tcBorders/>
                        <w:vAlign w:val="center"/>
                      </w:tcPr>
                      <w:p>
                        <w:pPr>
                          <w:pStyle w:val="TableContents"/>
                          <w:bidi w:val="0"/>
                          <w:spacing w:before="0" w:after="283"/>
                          <w:jc w:val="right"/>
                          <w:rPr>
                            <w:rFonts w:ascii="arial;helvetica;sans-serif" w:hAnsi="arial;helvetica;sans-serif"/>
                            <w:sz w:val="14"/>
                          </w:rPr>
                        </w:pPr>
                        <w:r>
                          <w:rPr>
                            <w:rFonts w:ascii="arial;helvetica;sans-serif" w:hAnsi="arial;helvetica;sans-serif"/>
                            <w:sz w:val="14"/>
                          </w:rPr>
                          <w:t>0.5</w:t>
                        </w:r>
                      </w:p>
                    </w:tc>
                  </w:tr>
                </w:tbl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r>
                    <w:rPr/>
                  </w:r>
                </w:p>
              </w:tc>
            </w:tr>
            <w:tr>
              <w:trPr/>
              <w:tc>
                <w:tcPr>
                  <w:tcW w:w="1872" w:type="dxa"/>
                  <w:tcBorders>
                    <w:left w:val="double" w:sz="2" w:space="0" w:color="808080"/>
                    <w:bottom w:val="double" w:sz="2" w:space="0" w:color="808080"/>
                    <w:right w:val="double" w:sz="2" w:space="0" w:color="808080"/>
                  </w:tcBorders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4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1" name="Image1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1" name="Image1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2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Check this box if no longer subject to Section 16. Form 4 or Form 5 obligations may continue. </w:t>
            </w:r>
            <w:r>
              <w:rPr>
                <w:rFonts w:ascii="arial;helvetica;sans-serif" w:hAnsi="arial;helvetica;sans-serif"/>
                <w:i/>
                <w:sz w:val="14"/>
              </w:rPr>
              <w:t>See</w:t>
            </w:r>
            <w:r>
              <w:rPr>
                <w:rFonts w:ascii="arial;helvetica;sans-serif" w:hAnsi="arial;helvetica;sans-serif"/>
                <w:sz w:val="14"/>
              </w:rPr>
              <w:t xml:space="preserve"> Instruction 1(b).</w:t>
            </w:r>
          </w:p>
        </w:tc>
        <w:tc>
          <w:tcPr>
            <w:tcW w:w="5977" w:type="dxa"/>
            <w:vMerge w:val="continue"/>
            <w:tcBorders/>
            <w:vAlign w:val="center"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1992" w:type="dxa"/>
            <w:vMerge w:val="continue"/>
            <w:tcBorders/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>
          <w:trHeight w:val="570" w:hRule="atLeast"/>
        </w:trPr>
        <w:tc>
          <w:tcPr>
            <w:tcW w:w="345" w:type="dxa"/>
            <w:tcBorders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/>
              <w:drawing>
                <wp:inline distT="0" distB="0" distL="0" distR="0">
                  <wp:extent cx="142875" cy="142875"/>
                  <wp:effectExtent l="0" t="0" r="0" b="0"/>
                  <wp:docPr id="2" name="Image2" descr=""/>
                  <wp:cNvGraphicFramePr>
                    <a:graphicFrameLocks xmlns:a="http://schemas.openxmlformats.org/drawingml/2006/main" noChangeAspect="1"/>
                  </wp:cNvGraphicFramePr>
                  <a:graphic xmlns:a="http://schemas.openxmlformats.org/drawingml/2006/main">
                    <a:graphicData uri="http://schemas.openxmlformats.org/drawingml/2006/picture">
                      <pic:pic xmlns:pic="http://schemas.openxmlformats.org/drawingml/2006/picture">
                        <pic:nvPicPr>
                          <pic:cNvPr id="2" name="Image2" descr=""/>
                          <pic:cNvPicPr>
                            <a:picLocks noChangeAspect="1" noChangeArrowheads="1"/>
                          </pic:cNvPicPr>
                        </pic:nvPicPr>
                        <pic:blipFill>
                          <a:blip r:link="rId3"/>
                          <a:stretch>
                            <a:fillRect/>
                          </a:stretch>
                        </pic:blipFill>
                        <pic:spPr bwMode="auto">
                          <a:xfrm>
                            <a:off x="0" y="0"/>
                            <a:ext cx="142875" cy="142875"/>
                          </a:xfrm>
                          <a:prstGeom prst="rect">
                            <a:avLst/>
                          </a:prstGeom>
                        </pic:spPr>
                      </pic:pic>
                    </a:graphicData>
                  </a:graphic>
                </wp:inline>
              </w:drawing>
            </w:r>
          </w:p>
        </w:tc>
        <w:tc>
          <w:tcPr>
            <w:tcW w:w="189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Check this box to indicate that a transaction was made pursuant to a contract, instruction or written plan for the purchase or sale of equity securities of the issuer that is intended to satisfy the affirmative defense conditions of Rule 10b5-1(c). See Instruction 10.</w:t>
            </w:r>
          </w:p>
        </w:tc>
        <w:tc>
          <w:tcPr>
            <w:tcW w:w="7969" w:type="dxa"/>
            <w:gridSpan w:val="2"/>
            <w:tcBorders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3571"/>
        <w:gridCol w:w="3572"/>
        <w:gridCol w:w="3062"/>
      </w:tblGrid>
      <w:tr>
        <w:trPr/>
        <w:tc>
          <w:tcPr>
            <w:tcW w:w="3571" w:type="dxa"/>
            <w:vMerge w:val="restart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1. Name and Address of Reporting Person</w:t>
            </w:r>
            <w:r>
              <w:rPr>
                <w:rFonts w:ascii="arial;helvetica;sans-serif" w:hAnsi="arial;helvetica;sans-serif"/>
                <w:position w:val="7"/>
                <w:sz w:val="16"/>
                <w:sz w:val="20"/>
              </w:rPr>
              <w:t>*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/>
                  </w:pPr>
                  <w:hyperlink r:id="rId4">
                    <w:r>
                      <w:rPr>
                        <w:rStyle w:val="InternetLink"/>
                      </w:rPr>
                      <w:t>Cislini Jeff</w:t>
                    </w:r>
                  </w:hyperlink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(Last)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(First)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(Middle)</w:t>
                  </w:r>
                </w:p>
              </w:tc>
            </w:tr>
          </w:tbl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3451"/>
            </w:tblGrid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REVOLUTION MEDICINES, INC.</w:t>
                  </w:r>
                </w:p>
              </w:tc>
            </w:tr>
            <w:tr>
              <w:trPr/>
              <w:tc>
                <w:tcPr>
                  <w:tcW w:w="34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700 SAGINAW DRIVE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(Street)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REDWOOD CITY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CA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94063</w:t>
                  </w:r>
                </w:p>
              </w:tc>
            </w:tr>
          </w:tbl>
          <w:p>
            <w:pPr>
              <w:pStyle w:val="HorizontalLine"/>
              <w:pBdr>
                <w:bottom w:val="double" w:sz="2" w:space="0" w:color="808080"/>
              </w:pBdr>
              <w:bidi w:val="0"/>
              <w:spacing w:before="0" w:after="283"/>
              <w:jc w:val="left"/>
              <w:rPr/>
            </w:pPr>
            <w:r>
              <w:rPr/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1150"/>
              <w:gridCol w:w="1150"/>
              <w:gridCol w:w="1151"/>
            </w:tblGrid>
            <w:tr>
              <w:trPr/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(City)</w:t>
                  </w:r>
                </w:p>
              </w:tc>
              <w:tc>
                <w:tcPr>
                  <w:tcW w:w="115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(State)</w:t>
                  </w:r>
                </w:p>
              </w:tc>
              <w:tc>
                <w:tcPr>
                  <w:tcW w:w="115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(Zip)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3572" w:type="dxa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2. Issuer Name </w:t>
            </w:r>
            <w:r>
              <w:rPr>
                <w:rFonts w:ascii="arial;helvetica;sans-serif" w:hAnsi="arial;helvetica;sans-serif"/>
                <w:b/>
                <w:sz w:val="20"/>
              </w:rPr>
              <w:t>and</w:t>
            </w:r>
            <w:r>
              <w:rPr>
                <w:rFonts w:ascii="arial;helvetica;sans-serif" w:hAnsi="arial;helvetica;sans-serif"/>
                <w:sz w:val="20"/>
              </w:rPr>
              <w:t xml:space="preserve"> Ticker or Trading Symbol </w:t>
            </w:r>
            <w:r>
              <w:rPr/>
              <w:br/>
            </w:r>
            <w:hyperlink r:id="rId5">
              <w:r>
                <w:rPr>
                  <w:rStyle w:val="InternetLink"/>
                </w:rPr>
                <w:t>Revolution Medicines, Inc.</w:t>
              </w:r>
            </w:hyperlink>
            <w:r>
              <w:rPr/>
              <w:t xml:space="preserve"> [ 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RVMD</w:t>
            </w:r>
            <w:r>
              <w:rPr/>
              <w:t xml:space="preserve"> ] </w:t>
              <w:br/>
            </w:r>
            <w:r>
              <w:rPr>
                <w:rFonts w:ascii="arial;helvetica;sans-serif" w:hAnsi="arial;helvetica;sans-serif"/>
                <w:sz w:val="20"/>
              </w:rPr>
              <w:t>Foreign Trading Symbol</w:t>
            </w:r>
          </w:p>
        </w:tc>
        <w:tc>
          <w:tcPr>
            <w:tcW w:w="3062" w:type="dxa"/>
            <w:vMerge w:val="restart"/>
            <w:tcBorders>
              <w:top w:val="single" w:sz="6" w:space="0" w:color="808080"/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 xml:space="preserve">5. Relationship of Reporting Person(s) to Issuer </w:t>
            </w:r>
            <w:r>
              <w:rPr/>
              <w:br/>
            </w:r>
            <w:r>
              <w:rPr>
                <w:rFonts w:ascii="arial;helvetica;sans-serif" w:hAnsi="arial;helvetica;sans-serif"/>
                <w:sz w:val="20"/>
              </w:rPr>
              <w:t>(Check all applicable)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1031"/>
              <w:gridCol w:w="440"/>
              <w:gridCol w:w="1031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Director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10% Owner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3" name="Image3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3" name="Image3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6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Officer (give title below)</w:t>
                  </w:r>
                </w:p>
              </w:tc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1031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Other (specify below)</w:t>
                  </w:r>
                </w:p>
              </w:tc>
            </w:tr>
            <w:tr>
              <w:trPr/>
              <w:tc>
                <w:tcPr>
                  <w:tcW w:w="2942" w:type="dxa"/>
                  <w:gridSpan w:val="4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</w:pPr>
                  <w:r>
                    <w:rPr>
                      <w:rFonts w:ascii="Times;serif" w:hAnsi="Times;serif"/>
                      <w:color w:val="0000FF"/>
                      <w:sz w:val="24"/>
                      <w:shd w:fill="FFFFFF" w:val="clear"/>
                    </w:rPr>
                    <w:t>SVP &amp; General Counsel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sz w:val="20"/>
              </w:rPr>
              <w:t>3. Date of Earliest Transaction (Month/Day/Year)</w:t>
            </w:r>
            <w:r>
              <w:rPr/>
              <w:br/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3062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3571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357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4. If Amendment, Date of Original Filed (Month/Day/Year)</w:t>
            </w:r>
          </w:p>
        </w:tc>
        <w:tc>
          <w:tcPr>
            <w:tcW w:w="306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TableContents"/>
              <w:bidi w:val="0"/>
              <w:spacing w:before="0" w:after="0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6. Individual or Joint/Group Filing (Check Applicable Line) </w:t>
            </w:r>
          </w:p>
          <w:tbl>
            <w:tblPr>
              <w:tblW w:w="5000" w:type="pct"/>
              <w:jc w:val="left"/>
              <w:tblInd w:w="0" w:type="dxa"/>
              <w:tblLayout w:type="fixed"/>
              <w:tblCellMar>
                <w:top w:w="28" w:type="dxa"/>
                <w:left w:w="28" w:type="dxa"/>
                <w:bottom w:w="28" w:type="dxa"/>
                <w:right w:w="28" w:type="dxa"/>
              </w:tblCellMar>
            </w:tblPr>
            <w:tblGrid>
              <w:gridCol w:w="440"/>
              <w:gridCol w:w="2502"/>
            </w:tblGrid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center"/>
                    <w:rPr>
                      <w:color w:val="0000FF"/>
                      <w:shd w:fill="FFFFFF" w:val="clear"/>
                    </w:rPr>
                  </w:pPr>
                  <w:r>
                    <w:rPr>
                      <w:color w:val="0000FF"/>
                      <w:shd w:fill="FFFFFF" w:val="clear"/>
                    </w:rPr>
                    <w:drawing>
                      <wp:inline distT="0" distB="0" distL="0" distR="0">
                        <wp:extent cx="142875" cy="142875"/>
                        <wp:effectExtent l="0" t="0" r="0" b="0"/>
                        <wp:docPr id="4" name="Image4" descr=""/>
                        <wp:cNvGraphicFramePr>
                          <a:graphicFrameLocks xmlns:a="http://schemas.openxmlformats.org/drawingml/2006/main" noChangeAspect="1"/>
                        </wp:cNvGraphicFramePr>
                        <a:graphic xmlns:a="http://schemas.openxmlformats.org/drawingml/2006/main">
                          <a:graphicData uri="http://schemas.openxmlformats.org/drawingml/2006/picture">
                            <pic:pic xmlns:pic="http://schemas.openxmlformats.org/drawingml/2006/picture">
                              <pic:nvPicPr>
                                <pic:cNvPr id="4" name="Image4" descr=""/>
                                <pic:cNvPicPr>
                                  <a:picLocks noChangeAspect="1" noChangeArrowheads="1"/>
                                </pic:cNvPicPr>
                              </pic:nvPicPr>
                              <pic:blipFill>
                                <a:blip r:link="rId7"/>
                                <a:stretch>
                                  <a:fillRect/>
                                </a:stretch>
                              </pic:blipFill>
                              <pic:spPr bwMode="auto">
                                <a:xfrm>
                                  <a:off x="0" y="0"/>
                                  <a:ext cx="142875" cy="142875"/>
                                </a:xfrm>
                                <a:prstGeom prst="rect">
                                  <a:avLst/>
                                </a:prstGeom>
                              </pic:spPr>
                            </pic:pic>
                          </a:graphicData>
                        </a:graphic>
                      </wp:inline>
                    </w:drawing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One Reporting Person</w:t>
                  </w:r>
                </w:p>
              </w:tc>
            </w:tr>
            <w:tr>
              <w:trPr/>
              <w:tc>
                <w:tcPr>
                  <w:tcW w:w="440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sz w:val="4"/>
                      <w:szCs w:val="4"/>
                    </w:rPr>
                  </w:pPr>
                  <w:r>
                    <w:rPr>
                      <w:sz w:val="4"/>
                      <w:szCs w:val="4"/>
                    </w:rPr>
                  </w:r>
                </w:p>
              </w:tc>
              <w:tc>
                <w:tcPr>
                  <w:tcW w:w="2502" w:type="dxa"/>
                  <w:tcBorders/>
                  <w:vAlign w:val="center"/>
                </w:tcPr>
                <w:p>
                  <w:pPr>
                    <w:pStyle w:val="TableContents"/>
                    <w:bidi w:val="0"/>
                    <w:spacing w:before="0" w:after="283"/>
                    <w:jc w:val="left"/>
                    <w:rPr>
                      <w:rFonts w:ascii="arial;helvetica;sans-serif" w:hAnsi="arial;helvetica;sans-serif"/>
                      <w:sz w:val="20"/>
                    </w:rPr>
                  </w:pPr>
                  <w:r>
                    <w:rPr>
                      <w:rFonts w:ascii="arial;helvetica;sans-serif" w:hAnsi="arial;helvetica;sans-serif"/>
                      <w:sz w:val="20"/>
                    </w:rPr>
                    <w:t>Form filed by More than One Reporting Person</w:t>
                  </w:r>
                </w:p>
              </w:tc>
            </w:tr>
          </w:tbl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5000" w:type="pct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2086"/>
        <w:gridCol w:w="931"/>
        <w:gridCol w:w="799"/>
        <w:gridCol w:w="618"/>
        <w:gridCol w:w="347"/>
        <w:gridCol w:w="829"/>
        <w:gridCol w:w="433"/>
        <w:gridCol w:w="1102"/>
        <w:gridCol w:w="1140"/>
        <w:gridCol w:w="986"/>
        <w:gridCol w:w="934"/>
      </w:tblGrid>
      <w:tr>
        <w:trPr>
          <w:tblHeader w:val="true"/>
        </w:trPr>
        <w:tc>
          <w:tcPr>
            <w:tcW w:w="10205" w:type="dxa"/>
            <w:gridSpan w:val="11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 - Non-Derivative Securities Acquired, Disposed of, or Beneficially Owned</w:t>
            </w:r>
          </w:p>
        </w:tc>
      </w:tr>
      <w:tr>
        <w:trPr>
          <w:tblHeader w:val="true"/>
        </w:trPr>
        <w:tc>
          <w:tcPr>
            <w:tcW w:w="2086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1. Title of Security (Instr. 3) </w:t>
            </w:r>
          </w:p>
        </w:tc>
        <w:tc>
          <w:tcPr>
            <w:tcW w:w="9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2. Transaction Date (Month/Day/Year)</w:t>
            </w:r>
          </w:p>
        </w:tc>
        <w:tc>
          <w:tcPr>
            <w:tcW w:w="799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2A. Deemed Execution Date, if any (Month/Day/Year)</w:t>
            </w:r>
          </w:p>
        </w:tc>
        <w:tc>
          <w:tcPr>
            <w:tcW w:w="965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3. Transaction Code (Instr. 8) </w:t>
            </w:r>
          </w:p>
        </w:tc>
        <w:tc>
          <w:tcPr>
            <w:tcW w:w="2364" w:type="dxa"/>
            <w:gridSpan w:val="3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Securities Acquired (A) or Disposed Of (D) (Instr. 3, 4 and 5) </w:t>
            </w:r>
          </w:p>
        </w:tc>
        <w:tc>
          <w:tcPr>
            <w:tcW w:w="1140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Amount of Securities Beneficially Owned Following Reported Transaction(s) (Instr. 3 and 4) </w:t>
            </w:r>
          </w:p>
        </w:tc>
        <w:tc>
          <w:tcPr>
            <w:tcW w:w="98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6. Ownership Form: Direct (D) or Indirect (I) (Instr. 4) </w:t>
            </w:r>
          </w:p>
        </w:tc>
        <w:tc>
          <w:tcPr>
            <w:tcW w:w="934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Nature of Indirect Beneficial Ownership (Instr. 4) </w:t>
            </w:r>
          </w:p>
        </w:tc>
      </w:tr>
      <w:tr>
        <w:trPr>
          <w:tblHeader w:val="true"/>
        </w:trPr>
        <w:tc>
          <w:tcPr>
            <w:tcW w:w="2086" w:type="dxa"/>
            <w:vMerge w:val="continue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1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99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 or (D)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Price</w:t>
            </w:r>
          </w:p>
        </w:tc>
        <w:tc>
          <w:tcPr>
            <w:tcW w:w="1140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86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4" w:type="dxa"/>
            <w:vMerge w:val="continue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195.0087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(2)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55,855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  <w:tr>
        <w:trPr/>
        <w:tc>
          <w:tcPr>
            <w:tcW w:w="2086" w:type="dxa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Common Stock</w:t>
            </w:r>
          </w:p>
        </w:tc>
        <w:tc>
          <w:tcPr>
            <w:tcW w:w="93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09/16/2026</w:t>
            </w:r>
          </w:p>
        </w:tc>
        <w:tc>
          <w:tcPr>
            <w:tcW w:w="79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618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0"/>
                <w:shd w:fill="FFFFFF" w:val="clear"/>
              </w:rPr>
              <w:t>S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(1)</w:t>
            </w:r>
          </w:p>
        </w:tc>
        <w:tc>
          <w:tcPr>
            <w:tcW w:w="347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829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3,314</w:t>
            </w:r>
          </w:p>
        </w:tc>
        <w:tc>
          <w:tcPr>
            <w:tcW w:w="433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1102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/>
            </w:pPr>
            <w:r>
              <w:rPr>
                <w:rFonts w:ascii="arial;helvetica;sans-serif" w:hAnsi="arial;helvetica;sans-serif"/>
                <w:b w:val="false"/>
                <w:sz w:val="24"/>
              </w:rPr>
              <w:t>$</w:t>
            </w: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199.3032</w:t>
            </w:r>
          </w:p>
        </w:tc>
        <w:tc>
          <w:tcPr>
            <w:tcW w:w="114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/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52,541</w:t>
            </w:r>
            <w:r>
              <w:rPr>
                <w:rFonts w:ascii="Times;serif" w:hAnsi="Times;serif"/>
                <w:color w:val="008000"/>
                <w:position w:val="7"/>
                <w:sz w:val="16"/>
                <w:sz w:val="20"/>
                <w:shd w:fill="FFFFFF" w:val="clear"/>
              </w:rPr>
              <w:t>(3)</w:t>
            </w:r>
          </w:p>
        </w:tc>
        <w:tc>
          <w:tcPr>
            <w:tcW w:w="98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center"/>
              <w:rPr>
                <w:rFonts w:ascii="Times;serif" w:hAnsi="Times;serif"/>
                <w:color w:val="0000FF"/>
                <w:sz w:val="24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shd w:fill="FFFFFF" w:val="clear"/>
              </w:rPr>
              <w:t>D</w:t>
            </w:r>
          </w:p>
        </w:tc>
        <w:tc>
          <w:tcPr>
            <w:tcW w:w="934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</w:tr>
    </w:tbl>
    <w:tbl>
      <w:tblPr>
        <w:tblW w:w="11213" w:type="dxa"/>
        <w:jc w:val="left"/>
        <w:tblInd w:w="-7" w:type="dxa"/>
        <w:tblLayout w:type="fixed"/>
        <w:tblCellMar>
          <w:top w:w="60" w:type="dxa"/>
          <w:left w:w="60" w:type="dxa"/>
          <w:bottom w:w="60" w:type="dxa"/>
          <w:right w:w="60" w:type="dxa"/>
        </w:tblCellMar>
      </w:tblPr>
      <w:tblGrid>
        <w:gridCol w:w="815"/>
        <w:gridCol w:w="861"/>
        <w:gridCol w:w="891"/>
        <w:gridCol w:w="771"/>
        <w:gridCol w:w="591"/>
        <w:gridCol w:w="300"/>
        <w:gridCol w:w="400"/>
        <w:gridCol w:w="401"/>
        <w:gridCol w:w="906"/>
        <w:gridCol w:w="801"/>
        <w:gridCol w:w="426"/>
        <w:gridCol w:w="636"/>
        <w:gridCol w:w="801"/>
        <w:gridCol w:w="936"/>
        <w:gridCol w:w="831"/>
        <w:gridCol w:w="846"/>
      </w:tblGrid>
      <w:tr>
        <w:trPr>
          <w:tblHeader w:val="true"/>
        </w:trPr>
        <w:tc>
          <w:tcPr>
            <w:tcW w:w="11213" w:type="dxa"/>
            <w:gridSpan w:val="16"/>
            <w:tcBorders>
              <w:top w:val="single" w:sz="6" w:space="0" w:color="808080"/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center"/>
              <w:rPr>
                <w:rFonts w:ascii="arial;helvetica;sans-serif" w:hAnsi="arial;helvetica;sans-serif"/>
                <w:b w:val="false"/>
                <w:sz w:val="24"/>
              </w:rPr>
            </w:pPr>
            <w:r>
              <w:rPr>
                <w:rFonts w:ascii="arial;helvetica;sans-serif" w:hAnsi="arial;helvetica;sans-serif"/>
                <w:b/>
                <w:sz w:val="24"/>
              </w:rPr>
              <w:t>Table II - Derivative Securities Acquired, Disposed of, or Beneficially Owned</w:t>
            </w:r>
            <w:r>
              <w:rPr>
                <w:rFonts w:ascii="arial;helvetica;sans-serif" w:hAnsi="arial;helvetica;sans-serif"/>
                <w:b w:val="false"/>
                <w:sz w:val="24"/>
              </w:rPr>
              <w:br/>
            </w:r>
            <w:r>
              <w:rPr>
                <w:rFonts w:ascii="arial;helvetica;sans-serif" w:hAnsi="arial;helvetica;sans-serif"/>
                <w:b/>
                <w:sz w:val="24"/>
              </w:rPr>
              <w:t>(e.g., puts, calls, warrants, options, convertible securities)</w:t>
            </w:r>
          </w:p>
        </w:tc>
      </w:tr>
      <w:tr>
        <w:trPr>
          <w:tblHeader w:val="true"/>
        </w:trPr>
        <w:tc>
          <w:tcPr>
            <w:tcW w:w="815" w:type="dxa"/>
            <w:vMerge w:val="restart"/>
            <w:tcBorders>
              <w:left w:val="single" w:sz="6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1. Title of Derivative Security (Instr. 3) </w:t>
            </w:r>
          </w:p>
        </w:tc>
        <w:tc>
          <w:tcPr>
            <w:tcW w:w="86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2. Conversion or Exercise Price of Derivative Security </w:t>
            </w:r>
          </w:p>
        </w:tc>
        <w:tc>
          <w:tcPr>
            <w:tcW w:w="89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3. Transaction Date (Month/Day/Year)</w:t>
            </w:r>
          </w:p>
        </w:tc>
        <w:tc>
          <w:tcPr>
            <w:tcW w:w="77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3A. Deemed Execution Date, if any (Month/Day/Year)</w:t>
            </w:r>
          </w:p>
        </w:tc>
        <w:tc>
          <w:tcPr>
            <w:tcW w:w="89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4. Transaction Code (Instr. 8) </w:t>
            </w:r>
          </w:p>
        </w:tc>
        <w:tc>
          <w:tcPr>
            <w:tcW w:w="801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5. Number of Derivative Securities Acquired (A) or Disposed of (D) (Instr. 3, 4 and 5) </w:t>
            </w:r>
          </w:p>
        </w:tc>
        <w:tc>
          <w:tcPr>
            <w:tcW w:w="1707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6. Date Exercisable and Expiration Date (Month/Day/Year)</w:t>
            </w:r>
          </w:p>
        </w:tc>
        <w:tc>
          <w:tcPr>
            <w:tcW w:w="1062" w:type="dxa"/>
            <w:gridSpan w:val="2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7. Title and Amount of Securities Underlying Derivative Security (Instr. 3 and 4) </w:t>
            </w:r>
          </w:p>
        </w:tc>
        <w:tc>
          <w:tcPr>
            <w:tcW w:w="80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8. Price of Derivative Security (Instr. 5) </w:t>
            </w:r>
          </w:p>
        </w:tc>
        <w:tc>
          <w:tcPr>
            <w:tcW w:w="93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9. Number of derivative Securities Beneficially Owned Following Reported Transaction(s) (Instr. 4) </w:t>
            </w:r>
          </w:p>
        </w:tc>
        <w:tc>
          <w:tcPr>
            <w:tcW w:w="831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10. Ownership Form: Direct (D) or Indirect (I) (Instr. 4) </w:t>
            </w:r>
          </w:p>
        </w:tc>
        <w:tc>
          <w:tcPr>
            <w:tcW w:w="846" w:type="dxa"/>
            <w:vMerge w:val="restart"/>
            <w:tcBorders>
              <w:left w:val="single" w:sz="2" w:space="0" w:color="808080"/>
              <w:bottom w:val="single" w:sz="2" w:space="0" w:color="808080"/>
              <w:right w:val="single" w:sz="6" w:space="0" w:color="808080"/>
            </w:tcBorders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 xml:space="preserve">11. Nature of Indirect Beneficial Ownership (Instr. 4) </w:t>
            </w:r>
          </w:p>
        </w:tc>
      </w:tr>
      <w:tr>
        <w:trPr>
          <w:tblHeader w:val="true"/>
        </w:trPr>
        <w:tc>
          <w:tcPr>
            <w:tcW w:w="815" w:type="dxa"/>
            <w:vMerge w:val="continue"/>
            <w:tcBorders>
              <w:left w:val="single" w:sz="6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6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9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77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59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Code</w:t>
            </w:r>
          </w:p>
        </w:tc>
        <w:tc>
          <w:tcPr>
            <w:tcW w:w="3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V</w:t>
            </w:r>
          </w:p>
        </w:tc>
        <w:tc>
          <w:tcPr>
            <w:tcW w:w="400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(A)</w:t>
            </w:r>
          </w:p>
        </w:tc>
        <w:tc>
          <w:tcPr>
            <w:tcW w:w="4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(D)</w:t>
            </w:r>
          </w:p>
        </w:tc>
        <w:tc>
          <w:tcPr>
            <w:tcW w:w="90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Date Exercisable</w:t>
            </w:r>
          </w:p>
        </w:tc>
        <w:tc>
          <w:tcPr>
            <w:tcW w:w="801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Expiration Date</w:t>
            </w:r>
          </w:p>
        </w:tc>
        <w:tc>
          <w:tcPr>
            <w:tcW w:w="42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Title</w:t>
            </w:r>
          </w:p>
        </w:tc>
        <w:tc>
          <w:tcPr>
            <w:tcW w:w="636" w:type="dxa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  <w:vAlign w:val="bottom"/>
          </w:tcPr>
          <w:p>
            <w:pPr>
              <w:pStyle w:val="TableHeading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14"/>
              </w:rPr>
            </w:pPr>
            <w:r>
              <w:rPr>
                <w:rFonts w:ascii="arial;helvetica;sans-serif" w:hAnsi="arial;helvetica;sans-serif"/>
                <w:sz w:val="14"/>
              </w:rPr>
              <w:t>Amount or Number of Shares</w:t>
            </w:r>
          </w:p>
        </w:tc>
        <w:tc>
          <w:tcPr>
            <w:tcW w:w="80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93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31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  <w:tc>
          <w:tcPr>
            <w:tcW w:w="846" w:type="dxa"/>
            <w:vMerge w:val="continue"/>
            <w:tcBorders>
              <w:left w:val="single" w:sz="2" w:space="0" w:color="808080"/>
              <w:bottom w:val="single" w:sz="6" w:space="0" w:color="808080"/>
              <w:right w:val="single" w:sz="6" w:space="0" w:color="808080"/>
            </w:tcBorders>
          </w:tcPr>
          <w:p>
            <w:pPr>
              <w:pStyle w:val="Normal"/>
              <w:bidi w:val="0"/>
              <w:jc w:val="left"/>
              <w:rPr/>
            </w:pPr>
            <w:r>
              <w:rPr/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10205"/>
      </w:tblGrid>
      <w:tr>
        <w:trPr/>
        <w:tc>
          <w:tcPr>
            <w:tcW w:w="10205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Explanation of Responses: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1. Transaction made pursuant to a Rule 10b5-1 instruction letter adopted on May 31, 2023 to satisfy the Reporting Person's tax withholding obligation upon the vesting of restricted stock units.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2. The transaction was executed in multiple trades at prices ranging from $195.00 to $195.03, inclusive. The price reported in Column 4 above reflects the weighted average sale price. The Reporting Person hereby undertakes to provide to the Securities and Exchange Commission staff, the Issuer, or a security holder of the Issuer, upon request, full information regarding the number of shares sold at each respective price within the range set forth in this footnote.</w:t>
            </w:r>
          </w:p>
        </w:tc>
      </w:tr>
      <w:tr>
        <w:trPr/>
        <w:tc>
          <w:tcPr>
            <w:tcW w:w="10205" w:type="dxa"/>
            <w:tcBorders/>
            <w:shd w:fill="FFFFFF" w:val="clear"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8000"/>
                <w:sz w:val="20"/>
              </w:rPr>
            </w:pPr>
            <w:r>
              <w:rPr>
                <w:rFonts w:ascii="Times;serif" w:hAnsi="Times;serif"/>
                <w:color w:val="008000"/>
                <w:sz w:val="20"/>
              </w:rPr>
              <w:t>3. Includes 37,088 restricted stock units.</w:t>
            </w:r>
          </w:p>
        </w:tc>
      </w:tr>
    </w:tbl>
    <w:tbl>
      <w:tblPr>
        <w:tblW w:w="5000" w:type="pct"/>
        <w:jc w:val="left"/>
        <w:tblInd w:w="0" w:type="dxa"/>
        <w:tblLayout w:type="fixed"/>
        <w:tblCellMar>
          <w:top w:w="28" w:type="dxa"/>
          <w:left w:w="28" w:type="dxa"/>
          <w:bottom w:w="28" w:type="dxa"/>
          <w:right w:w="28" w:type="dxa"/>
        </w:tblCellMar>
      </w:tblPr>
      <w:tblGrid>
        <w:gridCol w:w="6124"/>
        <w:gridCol w:w="2040"/>
        <w:gridCol w:w="2041"/>
      </w:tblGrid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/s/ Jack Anders, as Attorney-in-fact for Jeff Cislini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</w:pPr>
            <w:r>
              <w:rPr>
                <w:rFonts w:ascii="Times;serif" w:hAnsi="Times;serif"/>
                <w:color w:val="0000FF"/>
                <w:sz w:val="24"/>
                <w:u w:val="single"/>
                <w:shd w:fill="FFFFFF" w:val="clear"/>
              </w:rPr>
              <w:t>09/18/2026</w:t>
            </w:r>
          </w:p>
        </w:tc>
      </w:tr>
      <w:tr>
        <w:trPr/>
        <w:tc>
          <w:tcPr>
            <w:tcW w:w="6124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sz w:val="4"/>
                <w:szCs w:val="4"/>
              </w:rPr>
            </w:pPr>
            <w:r>
              <w:rPr>
                <w:sz w:val="4"/>
                <w:szCs w:val="4"/>
              </w:rPr>
            </w:r>
          </w:p>
        </w:tc>
        <w:tc>
          <w:tcPr>
            <w:tcW w:w="2040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** Signature of Reporting Person</w:t>
            </w:r>
          </w:p>
        </w:tc>
        <w:tc>
          <w:tcPr>
            <w:tcW w:w="2041" w:type="dxa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Date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>Reminder: Report on a separate line for each class of securities beneficially owned directly or indirectly.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 If the form is filed by more than one reporting person,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4 (b)(v).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** Intentional misstatements or omissions of facts constitute Federal Criminal Violations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18 U.S.C. 1001 and 15 U.S.C. 78ff(a).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sz w:val="20"/>
              </w:rPr>
            </w:pPr>
            <w:r>
              <w:rPr>
                <w:rFonts w:ascii="arial;helvetica;sans-serif" w:hAnsi="arial;helvetica;sans-serif"/>
                <w:sz w:val="20"/>
              </w:rPr>
              <w:t xml:space="preserve">Note: File three copies of this Form, one of which must be manually signed. If space is insufficient, </w:t>
            </w:r>
            <w:r>
              <w:rPr>
                <w:rFonts w:ascii="arial;helvetica;sans-serif" w:hAnsi="arial;helvetica;sans-serif"/>
                <w:i/>
                <w:sz w:val="20"/>
              </w:rPr>
              <w:t>see</w:t>
            </w:r>
            <w:r>
              <w:rPr>
                <w:rFonts w:ascii="arial;helvetica;sans-serif" w:hAnsi="arial;helvetica;sans-serif"/>
                <w:sz w:val="20"/>
              </w:rPr>
              <w:t xml:space="preserve"> Instruction 6 for procedure.</w:t>
            </w:r>
          </w:p>
        </w:tc>
      </w:tr>
      <w:tr>
        <w:trPr/>
        <w:tc>
          <w:tcPr>
            <w:tcW w:w="10205" w:type="dxa"/>
            <w:gridSpan w:val="3"/>
            <w:tcBorders/>
            <w:vAlign w:val="center"/>
          </w:tcPr>
          <w:p>
            <w:pPr>
              <w:pStyle w:val="TableContents"/>
              <w:bidi w:val="0"/>
              <w:spacing w:before="0" w:after="283"/>
              <w:jc w:val="left"/>
              <w:rPr>
                <w:rFonts w:ascii="arial;helvetica;sans-serif" w:hAnsi="arial;helvetica;sans-serif"/>
                <w:b/>
                <w:sz w:val="20"/>
              </w:rPr>
            </w:pPr>
            <w:r>
              <w:rPr>
                <w:rFonts w:ascii="arial;helvetica;sans-serif" w:hAnsi="arial;helvetica;sans-serif"/>
                <w:b/>
                <w:sz w:val="20"/>
              </w:rPr>
              <w:t>Persons who respond to the collection of information contained in this form are not required to respond unless the form displays a currently valid OMB Number.</w:t>
            </w:r>
          </w:p>
        </w:tc>
      </w:tr>
    </w:tbl>
    <w:p>
      <w:pPr>
        <w:pStyle w:val="TextBody"/>
        <w:bidi w:val="0"/>
        <w:spacing w:before="0" w:after="283"/>
        <w:jc w:val="left"/>
        <w:rPr/>
      </w:pPr>
      <w:r>
        <w:rPr/>
      </w:r>
    </w:p>
    <w:sectPr>
      <w:type w:val="nextPage"/>
      <w:pgSz w:w="11906" w:h="16838"/>
      <w:pgMar w:left="1134" w:right="567" w:gutter="0" w:header="0" w:top="567" w:footer="0" w:bottom="567"/>
      <w:pgNumType w:fmt="decimal"/>
      <w:formProt w:val="false"/>
      <w:textDirection w:val="lrTb"/>
      <w:docGrid w:type="default" w:linePitch="600" w:charSpace="32768"/>
    </w:sectPr>
  </w:body>
</w:document>
</file>

<file path=word/fontTable.xml><?xml version="1.0" encoding="utf-8"?>
<w:fonts xmlns:w="http://schemas.openxmlformats.org/wordprocessingml/2006/main" xmlns:r="http://schemas.openxmlformats.org/officeDocument/2006/relationships">
  <w:font w:name="Times New Roman">
    <w:charset w:val="00"/>
    <w:family w:val="roman"/>
    <w:pitch w:val="variable"/>
  </w:font>
  <w:font w:name="Symbol">
    <w:charset w:val="02"/>
    <w:family w:val="roman"/>
    <w:pitch w:val="variable"/>
  </w:font>
  <w:font w:name="Arial">
    <w:charset w:val="00"/>
    <w:family w:val="swiss"/>
    <w:pitch w:val="variable"/>
  </w:font>
  <w:font w:name="Liberation Serif">
    <w:altName w:val="Times New Roman"/>
    <w:charset w:val="01"/>
    <w:family w:val="roman"/>
    <w:pitch w:val="variable"/>
  </w:font>
  <w:font w:name="Liberation Sans Unicode MS">
    <w:charset w:val="01"/>
    <w:family w:val="auto"/>
    <w:pitch w:val="variable"/>
  </w:font>
  <w:font w:name="Liberation Sans">
    <w:altName w:val="Arial"/>
    <w:charset w:val="01"/>
    <w:family w:val="swiss"/>
    <w:pitch w:val="variable"/>
  </w:font>
  <w:font w:name="arial">
    <w:altName w:val="helvetica"/>
    <w:charset w:val="01"/>
    <w:family w:val="auto"/>
    <w:pitch w:val="default"/>
  </w:font>
  <w:font w:name="Times">
    <w:altName w:val="Times New Roman"/>
    <w:charset w:val="01"/>
    <w:family w:val="auto"/>
    <w:pitch w:val="default"/>
  </w:font>
</w:fonts>
</file>

<file path=word/settings.xml><?xml version="1.0" encoding="utf-8"?>
<w:settings xmlns:w="http://schemas.openxmlformats.org/wordprocessingml/2006/main">
  <w:zoom w:percent="100"/>
  <w:defaultTabStop w:val="1134"/>
  <w:autoHyphenation w:val="true"/>
  <w:compat>
    <w:compatSetting w:name="compatibilityMode" w:uri="http://schemas.microsoft.com/office/word" w:val="15"/>
  </w:compat>
</w:settings>
</file>

<file path=word/styles.xml><?xml version="1.0" encoding="utf-8"?>
<w:styles xmlns:w="http://schemas.openxmlformats.org/wordprocessingml/2006/main" xmlns:w14="http://schemas.microsoft.com/office/word/2010/wordml" xmlns:mc="http://schemas.openxmlformats.org/markup-compatibility/2006" mc:Ignorable="w14">
  <w:docDefaults>
    <w:rPrDefault>
      <w:rPr>
        <w:rFonts w:ascii="Liberation Serif" w:hAnsi="Liberation Serif" w:eastAsia="Tahoma" w:cs="Noto Sans Devanagari"/>
        <w:sz w:val="24"/>
        <w:szCs w:val="24"/>
        <w:lang w:val="en-US" w:eastAsia="zh-CN" w:bidi="hi-IN"/>
      </w:rPr>
    </w:rPrDefault>
    <w:pPrDefault>
      <w:pPr>
        <w:suppressAutoHyphens w:val="true"/>
      </w:pPr>
    </w:pPrDefault>
  </w:docDefaults>
  <w:style w:type="paragraph" w:styleId="Normal">
    <w:name w:val="Normal"/>
    <w:qFormat/>
    <w:pPr>
      <w:widowControl w:val="false"/>
      <w:kinsoku w:val="true"/>
      <w:overflowPunct w:val="true"/>
      <w:autoSpaceDE w:val="true"/>
      <w:bidi w:val="0"/>
    </w:pPr>
    <w:rPr>
      <w:rFonts w:ascii="Liberation Serif" w:hAnsi="Liberation Serif" w:eastAsia="Tahoma" w:cs="Noto Sans Devanagari"/>
      <w:color w:val="auto"/>
      <w:sz w:val="24"/>
      <w:szCs w:val="24"/>
      <w:lang w:val="en-US" w:eastAsia="zh-CN" w:bidi="hi-IN"/>
    </w:rPr>
  </w:style>
  <w:style w:type="paragraph" w:styleId="Heading1">
    <w:name w:val="Heading 1"/>
    <w:basedOn w:val="Heading"/>
    <w:next w:val="TextBody"/>
    <w:qFormat/>
    <w:pPr/>
    <w:rPr>
      <w:rFonts w:ascii="Liberation Sans Unicode MS" w:hAnsi="Liberation Sans Unicode MS"/>
      <w:b/>
      <w:bCs/>
      <w:sz w:val="48"/>
      <w:szCs w:val="44"/>
    </w:rPr>
  </w:style>
  <w:style w:type="character" w:styleId="EndnoteCharacters">
    <w:name w:val="Endnote Characters"/>
    <w:qFormat/>
    <w:rPr/>
  </w:style>
  <w:style w:type="character" w:styleId="FootnoteCharacters">
    <w:name w:val="Footnote Characters"/>
    <w:qFormat/>
    <w:rPr/>
  </w:style>
  <w:style w:type="character" w:styleId="InternetLink">
    <w:name w:val="Hyperlink"/>
    <w:rPr>
      <w:color w:val="000080"/>
      <w:u w:val="single"/>
    </w:rPr>
  </w:style>
  <w:style w:type="paragraph" w:styleId="HorizontalLine">
    <w:name w:val="Horizontal Line"/>
    <w:basedOn w:val="Normal"/>
    <w:next w:val="TextBody"/>
    <w:qFormat/>
    <w:pPr>
      <w:pBdr>
        <w:bottom w:val="double" w:sz="2" w:space="0" w:color="808080"/>
      </w:pBdr>
      <w:spacing w:before="0" w:after="283"/>
    </w:pPr>
    <w:rPr>
      <w:sz w:val="12"/>
    </w:rPr>
  </w:style>
  <w:style w:type="paragraph" w:styleId="TextBody">
    <w:name w:val="Body Text"/>
    <w:basedOn w:val="Normal"/>
    <w:pPr>
      <w:spacing w:before="0" w:after="283"/>
    </w:pPr>
    <w:rPr/>
  </w:style>
  <w:style w:type="paragraph" w:styleId="Sender">
    <w:name w:val="Envelope Return"/>
    <w:basedOn w:val="Normal"/>
    <w:pPr/>
    <w:rPr>
      <w:i/>
    </w:rPr>
  </w:style>
  <w:style w:type="paragraph" w:styleId="TableContents">
    <w:name w:val="Table Contents"/>
    <w:basedOn w:val="TextBody"/>
    <w:qFormat/>
    <w:pPr/>
    <w:rPr/>
  </w:style>
  <w:style w:type="paragraph" w:styleId="HeaderandFooter">
    <w:name w:val="Header and Footer"/>
    <w:basedOn w:val="Normal"/>
    <w:qFormat/>
    <w:pPr>
      <w:suppressLineNumbers/>
      <w:tabs>
        <w:tab w:val="clear" w:pos="1134"/>
        <w:tab w:val="center" w:pos="4819" w:leader="none"/>
        <w:tab w:val="right" w:pos="9638" w:leader="none"/>
      </w:tabs>
    </w:pPr>
    <w:rPr/>
  </w:style>
  <w:style w:type="paragraph" w:styleId="Footer">
    <w:name w:val="Foot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er">
    <w:name w:val="Header"/>
    <w:basedOn w:val="Normal"/>
    <w:pPr>
      <w:suppressLineNumbers/>
      <w:tabs>
        <w:tab w:val="clear" w:pos="1134"/>
        <w:tab w:val="center" w:pos="4818" w:leader="none"/>
        <w:tab w:val="right" w:pos="9637" w:leader="none"/>
      </w:tabs>
    </w:pPr>
    <w:rPr/>
  </w:style>
  <w:style w:type="paragraph" w:styleId="Heading">
    <w:name w:val="Heading"/>
    <w:basedOn w:val="Normal"/>
    <w:next w:val="TextBody"/>
    <w:qFormat/>
    <w:pPr>
      <w:keepNext w:val="true"/>
      <w:spacing w:before="240" w:after="283"/>
    </w:pPr>
    <w:rPr>
      <w:rFonts w:ascii="Liberation Sans" w:hAnsi="Liberation Sans"/>
      <w:sz w:val="28"/>
      <w:szCs w:val="28"/>
    </w:rPr>
  </w:style>
  <w:style w:type="paragraph" w:styleId="Index">
    <w:name w:val="Index"/>
    <w:basedOn w:val="Normal"/>
    <w:qFormat/>
    <w:pPr>
      <w:suppressLineNumbers/>
    </w:pPr>
    <w:rPr>
      <w:rFonts w:cs="Noto Sans Devanagari"/>
    </w:rPr>
  </w:style>
  <w:style w:type="paragraph" w:styleId="Caption">
    <w:name w:val="Caption"/>
    <w:basedOn w:val="Normal"/>
    <w:qFormat/>
    <w:pPr>
      <w:suppressLineNumbers/>
      <w:spacing w:before="120" w:after="120"/>
    </w:pPr>
    <w:rPr>
      <w:rFonts w:cs="Noto Sans Devanagari"/>
      <w:i/>
      <w:iCs/>
      <w:sz w:val="24"/>
      <w:szCs w:val="24"/>
    </w:rPr>
  </w:style>
  <w:style w:type="paragraph" w:styleId="List">
    <w:name w:val="List"/>
    <w:basedOn w:val="TextBody"/>
    <w:pPr/>
    <w:rPr>
      <w:rFonts w:cs="Noto Sans Devanagari"/>
    </w:rPr>
  </w:style>
  <w:style w:type="paragraph" w:styleId="TableHeading">
    <w:name w:val="Table Heading"/>
    <w:basedOn w:val="TableContents"/>
    <w:qFormat/>
    <w:pPr>
      <w:suppressLineNumbers/>
      <w:jc w:val="center"/>
    </w:pPr>
    <w:rPr>
      <w:b/>
      <w:bCs/>
    </w:rPr>
  </w:style>
</w:styles>
</file>

<file path=word/_rels/document.xml.rels><?xml version="1.0" encoding="UTF-8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image" Target="https://cdn.kscope.io/box-unchecked.jpg" TargetMode="External"/><Relationship Id="rId3" Type="http://schemas.openxmlformats.org/officeDocument/2006/relationships/image" Target="https://cdn.kscope.io/box-checked.jpg" TargetMode="External"/><Relationship Id="rId4" Type="http://schemas.openxmlformats.org/officeDocument/2006/relationships/hyperlink" Target="http://www.sec.gov/cgi-bin/browse-edgar?action=getcompany&amp;CIK=0001969082" TargetMode="External"/><Relationship Id="rId5" Type="http://schemas.openxmlformats.org/officeDocument/2006/relationships/hyperlink" Target="http://www.sec.gov/cgi-bin/browse-edgar?action=getcompany&amp;CIK=0001628171" TargetMode="External"/><Relationship Id="rId6" Type="http://schemas.openxmlformats.org/officeDocument/2006/relationships/image" Target="https://cdn.kscope.io/box-checked.jpg" TargetMode="External"/><Relationship Id="rId7" Type="http://schemas.openxmlformats.org/officeDocument/2006/relationships/image" Target="https://cdn.kscope.io/box-checked.jpg" TargetMode="External"/><Relationship Id="rId8" Type="http://schemas.openxmlformats.org/officeDocument/2006/relationships/fontTable" Target="fontTable.xml"/><Relationship Id="rId9" Type="http://schemas.openxmlformats.org/officeDocument/2006/relationships/settings" Target="settings.xml"/>
</Relationships>
</file>

<file path=docProps/app.xml><?xml version="1.0" encoding="utf-8"?>
<Properties xmlns="http://schemas.openxmlformats.org/officeDocument/2006/extended-properties" xmlns:vt="http://schemas.openxmlformats.org/officeDocument/2006/docPropsVTypes">
  <Template/>
  <TotalTime>0</TotalTime>
  <Application>LibreOffice/7.3.7.2$Linux_X86_64 LibreOffice_project/30$Build-2</Application>
  <AppVersion>15.0000</AppVersion>
  <Pages>2</Pages>
  <Words>689</Words>
  <Characters>3759</Characters>
  <CharactersWithSpaces>4370</CharactersWithSpaces>
  <Paragraphs>106</Paragraphs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description/>
  <dc:language>en-US</dc:language>
  <cp:lastModifiedBy/>
  <cp:revision>0</cp:revision>
  <dc:subject/>
  <dc:title/>
</cp:coreProperties>
</file>