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REVOLUTION MEDICINES,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644" w:type="dxa"/>
        <w:tblCellMar>
          <w:top w:w="0" w:type="dxa"/>
          <w:left w:w="0" w:type="dxa"/>
          <w:bottom w:w="0" w:type="dxa"/>
          <w:right w:w="0" w:type="dxa"/>
        </w:tblCellMar>
      </w:tblP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0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001-39219</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47-2029180</w:t>
            </w:r>
          </w:p>
        </w:tc>
      </w:tr>
      <w:tr>
        <w:trPr>
          <w:trHeight w:val="148"/>
        </w:trPr>
        <w:tc>
          <w:tcPr>
            <w:tcW w:w="3520" w:type="dxa"/>
            <w:vAlign w:val="bottom"/>
          </w:tcPr>
          <w:p>
            <w:pPr>
              <w:jc w:val="center"/>
              <w:ind w:right="9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00" w:type="dxa"/>
            <w:vAlign w:val="bottom"/>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0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700 Saginaw Drive</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4"/>
        </w:trPr>
        <w:tc>
          <w:tcPr>
            <w:tcW w:w="352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Redwood City, California</w:t>
            </w:r>
          </w:p>
        </w:tc>
        <w:tc>
          <w:tcPr>
            <w:tcW w:w="32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94063</w:t>
            </w:r>
          </w:p>
        </w:tc>
      </w:tr>
      <w:tr>
        <w:trPr>
          <w:trHeight w:val="190"/>
        </w:trPr>
        <w:tc>
          <w:tcPr>
            <w:tcW w:w="3520" w:type="dxa"/>
            <w:vAlign w:val="bottom"/>
          </w:tcPr>
          <w:p>
            <w:pPr>
              <w:jc w:val="center"/>
              <w:ind w:right="9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RVMD</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Warrants to purchase 0.1112 shares of common</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RVMDW</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stock expiring 2026</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9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740"/>
          </w:cols>
          <w:pgMar w:left="440" w:top="293" w:right="519" w:bottom="1440" w:gutter="0" w:footer="0" w:header="0"/>
        </w:sect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On June 18, 2026, Steve Kelsey, M.D., FRCP, FRCPath, informed Revolution Medicines, Inc. (the “Company”) of his intent to retire from his employment with the Company effective as of January 4, 2027. Dr. Kelsey will transition from his role as the Company’s president, research and development to a new position as senior advisor to the chief executive officer effective as of July 1, 2026.</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Upon his retirement from the Company, Dr. Kelsey will be eligible to receive certain benefits under the Company’s retirement policy for equity awards.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Company currently contemplates appointing Dr. Kelsey to its board of directors (the “Board”) effective as of his retirement on January 4, 2027, subject to Board approval.</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June 18, 2026, the Company held its annual meeting of stockholders (the “Annual Meeting”). At the Annual Meeting, the Company’s stockholders voted on three proposals, each of which is described in more detail in the Company’s definitive proxy statement (the “Proxy Statement”) on Schedule 14A filed with the Securities and Exchange Commission (the “SEC”) on April 27, 2026. Only stockholders of record as of the close of business on April 23, 2026, the record date for the Annual Meeting, were entitled to vote at the Annual Meeting. As of the record date, 212,592,561 shares of the Company’s common stock, par value $0.0001 per share, excluding any treasury shares, were outstanding and entitled to vote at the Annual Meeting. The tabulation of the stockholder votes on each proposal brought before the Annual Meeting is described below.</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Proposal 1</w:t>
      </w:r>
      <w:r>
        <w:rPr>
          <w:rFonts w:ascii="Times New Roman" w:cs="Times New Roman" w:eastAsia="Times New Roman" w:hAnsi="Times New Roman"/>
          <w:sz w:val="18"/>
          <w:szCs w:val="18"/>
          <w:color w:val="auto"/>
        </w:rPr>
        <w:t>. The Company’s stockholders elected two Class III directors to hold office until the 2029 annual meeting of stockholders or until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are elected and qualified. The results of the vote were as follows:</w:t>
      </w:r>
    </w:p>
    <w:p>
      <w:pPr>
        <w:spacing w:after="0" w:line="179" w:lineRule="exact"/>
        <w:rPr>
          <w:sz w:val="20"/>
          <w:szCs w:val="20"/>
          <w:color w:val="auto"/>
        </w:rPr>
      </w:pPr>
    </w:p>
    <w:tbl>
      <w:tblPr>
        <w:tblLayout w:type="fixed"/>
        <w:tblInd w:w="880" w:type="dxa"/>
        <w:tblCellMar>
          <w:top w:w="0" w:type="dxa"/>
          <w:left w:w="0" w:type="dxa"/>
          <w:bottom w:w="0" w:type="dxa"/>
          <w:right w:w="0" w:type="dxa"/>
        </w:tblCellMar>
      </w:tblPr>
      <w:tr>
        <w:trPr>
          <w:trHeight w:val="193"/>
        </w:trPr>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4820" w:type="dxa"/>
            <w:vAlign w:val="bottom"/>
          </w:tcPr>
          <w:p>
            <w:pPr>
              <w:spacing w:after="0"/>
              <w:rPr>
                <w:sz w:val="16"/>
                <w:szCs w:val="16"/>
                <w:color w:val="auto"/>
              </w:rPr>
            </w:pPr>
          </w:p>
        </w:tc>
        <w:tc>
          <w:tcPr>
            <w:tcW w:w="9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3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Alexis Borisy</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127,181,172</w:t>
            </w:r>
          </w:p>
        </w:tc>
        <w:tc>
          <w:tcPr>
            <w:tcW w:w="4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33,660,532</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20,813,641</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Goldsmith, M.D., Ph.D.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157,681,628</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3,160,076</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20,813,641</w:t>
            </w:r>
          </w:p>
        </w:tc>
        <w:tc>
          <w:tcPr>
            <w:tcW w:w="60" w:type="dxa"/>
            <w:vAlign w:val="bottom"/>
          </w:tcPr>
          <w:p>
            <w:pPr>
              <w:spacing w:after="0"/>
              <w:rPr>
                <w:sz w:val="20"/>
                <w:szCs w:val="20"/>
                <w:color w:val="auto"/>
              </w:rPr>
            </w:pPr>
          </w:p>
        </w:tc>
      </w:tr>
    </w:tbl>
    <w:p>
      <w:pPr>
        <w:spacing w:after="0" w:line="17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Proposal 2</w:t>
      </w:r>
      <w:r>
        <w:rPr>
          <w:rFonts w:ascii="Times New Roman" w:cs="Times New Roman" w:eastAsia="Times New Roman" w:hAnsi="Times New Roman"/>
          <w:sz w:val="18"/>
          <w:szCs w:val="18"/>
          <w:color w:val="auto"/>
        </w:rPr>
        <w:t>. The Company’s stockholders ratified the appointment, by the audit committee of the Company’s board of directors,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PricewaterhouseCoopers LLP as the independent registered public accounting firm of the Company for the fiscal year ending December 31, 2026. The results of the vote were as follows:</w:t>
      </w:r>
    </w:p>
    <w:p>
      <w:pPr>
        <w:spacing w:after="0" w:line="195" w:lineRule="exact"/>
        <w:rPr>
          <w:sz w:val="20"/>
          <w:szCs w:val="20"/>
          <w:color w:val="auto"/>
        </w:rPr>
      </w:pPr>
    </w:p>
    <w:tbl>
      <w:tblPr>
        <w:tblLayout w:type="fixed"/>
        <w:tblInd w:w="78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192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3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9"/>
        </w:trPr>
        <w:tc>
          <w:tcPr>
            <w:tcW w:w="3220" w:type="dxa"/>
            <w:vAlign w:val="bottom"/>
            <w:gridSpan w:val="3"/>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181,309,783</w:t>
            </w:r>
          </w:p>
        </w:tc>
        <w:tc>
          <w:tcPr>
            <w:tcW w:w="2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206,306</w:t>
            </w:r>
          </w:p>
        </w:tc>
        <w:tc>
          <w:tcPr>
            <w:tcW w:w="11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139,256</w:t>
            </w:r>
          </w:p>
        </w:tc>
        <w:tc>
          <w:tcPr>
            <w:tcW w:w="1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a routine proposal under applicable rules, no broker non-votes were recorded in connection with this proposal.</w:t>
      </w:r>
    </w:p>
    <w:p>
      <w:pPr>
        <w:spacing w:after="0" w:line="221" w:lineRule="exact"/>
        <w:rPr>
          <w:sz w:val="20"/>
          <w:szCs w:val="20"/>
          <w:color w:val="auto"/>
        </w:rPr>
      </w:pPr>
    </w:p>
    <w:p>
      <w:pPr>
        <w:ind w:right="420" w:firstLine="440"/>
        <w:spacing w:after="0" w:line="317" w:lineRule="auto"/>
        <w:rPr>
          <w:sz w:val="20"/>
          <w:szCs w:val="20"/>
          <w:color w:val="auto"/>
        </w:rPr>
      </w:pPr>
      <w:r>
        <w:rPr>
          <w:rFonts w:ascii="Times New Roman" w:cs="Times New Roman" w:eastAsia="Times New Roman" w:hAnsi="Times New Roman"/>
          <w:sz w:val="17"/>
          <w:szCs w:val="17"/>
          <w:b w:val="1"/>
          <w:bCs w:val="1"/>
          <w:u w:val="single" w:color="auto"/>
          <w:color w:val="auto"/>
        </w:rPr>
        <w:t>Proposal 3</w:t>
      </w:r>
      <w:r>
        <w:rPr>
          <w:rFonts w:ascii="Times New Roman" w:cs="Times New Roman" w:eastAsia="Times New Roman" w:hAnsi="Times New Roman"/>
          <w:sz w:val="17"/>
          <w:szCs w:val="17"/>
          <w:color w:val="auto"/>
        </w:rPr>
        <w:t>. The Company’s stockholders approved, on a non-binding, advisory basis, the compensation of the Company’s named executive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officers, as disclosed in the Proxy Statement, pursuant to the compensation disclosure rules of the SEC. The results of the vote were as follows:</w:t>
      </w:r>
    </w:p>
    <w:p>
      <w:pPr>
        <w:spacing w:after="0" w:line="15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82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418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176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3340" w:type="dxa"/>
            <w:vAlign w:val="bottom"/>
            <w:gridSpan w:val="3"/>
            <w:shd w:val="clear" w:color="auto" w:fill="CCEEFF"/>
          </w:tcPr>
          <w:p>
            <w:pPr>
              <w:jc w:val="right"/>
              <w:ind w:right="1680"/>
              <w:spacing w:after="0"/>
              <w:rPr>
                <w:sz w:val="20"/>
                <w:szCs w:val="20"/>
                <w:color w:val="auto"/>
              </w:rPr>
            </w:pPr>
            <w:r>
              <w:rPr>
                <w:rFonts w:ascii="Times New Roman" w:cs="Times New Roman" w:eastAsia="Times New Roman" w:hAnsi="Times New Roman"/>
                <w:sz w:val="18"/>
                <w:szCs w:val="18"/>
                <w:color w:val="auto"/>
              </w:rPr>
              <w:t>155,110,825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5,554,146</w:t>
            </w:r>
          </w:p>
        </w:tc>
        <w:tc>
          <w:tcPr>
            <w:tcW w:w="2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176,733</w:t>
            </w:r>
          </w:p>
        </w:tc>
        <w:tc>
          <w:tcPr>
            <w:tcW w:w="16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20,813,641</w:t>
            </w:r>
          </w:p>
        </w:tc>
        <w:tc>
          <w:tcPr>
            <w:tcW w:w="6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 other items were presented for stockholder approval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Current Report on Form 8-K includes forward-looking statements within the meaning of the federal securities laws, including statements regarding Dr. Kelsey’s planned retirement and the timing thereof, his transition to the role of senior advisor to the chief executive officer and the appointment of Dr. Kelsey to the Board upon his retirement. Forward-looking statements represent the Company’s current expectations</w:t>
      </w:r>
    </w:p>
    <w:p>
      <w:pPr>
        <w:sectPr>
          <w:pgSz w:w="11900" w:h="16838" w:orient="portrait"/>
          <w:cols w:equalWidth="0" w:num="1">
            <w:col w:w="10940"/>
          </w:cols>
          <w:pgMar w:left="440" w:top="293" w:right="519" w:bottom="1440" w:gutter="0" w:footer="0" w:header="0"/>
          <w:type w:val="continuous"/>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beliefs regarding future events and are subject to known and unknown risks, uncertainties and other factors that could cause actual results, events, or circumstances to differ materially from those expressed or implied by such statements. These risks and uncertainties include, among others, that Dr. Kelsey’s retirement, transition, or continued service may not occur on the anticipated timeline or terms; that the contemplated appointment of</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Dr. Kelsey to the Board remains subject to Board approval and may not occur; the Company’s ability to attract, retain, and transition key personnel; and other risks relating to the Company’s business, including those described under the caption “Risk Factors” in the Company’s Quarterly Report on Form 10-Q that was filed with the SEC on May 6, 2026, and in the other periodic and current reports that the Company files from time to time with the SEC. The forward-looking statements included in this report speak only as of the date of this report, and the Company undertakes no obligation to update any forward-looking statements to reflect subsequent events or developments, except as may be required by law.</w:t>
      </w:r>
    </w:p>
    <w:p>
      <w:pPr>
        <w:sectPr>
          <w:pgSz w:w="11900" w:h="16838" w:orient="portrait"/>
          <w:cols w:equalWidth="0" w:num="1">
            <w:col w:w="10980"/>
          </w:cols>
          <w:pgMar w:left="440" w:top="297" w:right="47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REVOLUTION MEDICINES,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Mark A. Goldsmith, M.D., Ph.D.</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President and Chief Executive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2026-06-22T07:03:00Z</dcterms:created>
  <dcterms:modified xsi:type="dcterms:W3CDTF">2026-06-22T07:03:00Z</dcterms:modified>
</cp:coreProperties>
</file>