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Goldsmith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Revolution Medicines,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Saginaw Drive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 94063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Revolution Medicines,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0001628171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Goldsmith: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and throughout to avoid conclusory statements regarding your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and the results of your clinical tests and preclinical studies by describing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conducted the tests, the number of tests conducted and the range of results observed.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we note your disclosure on page 1 that RMC-4630 is a "potent and selective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inhibitor of SHP2," your statement on page 4 regarding your "ability to inhibit various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oncogenic RAS(ON) mutants" and your statement on page 108 that you have "substantial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evidence that SHP2 is a central node that can be targeted to disrupt signaling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5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pathways that may involve activation of multiple RTKs." Mark A. Goldsmith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LastNameMark A. Goldsmith Revolution Medicines, Inc.</w:t>
      </w: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NameRevolution Medicines, Inc. October 16,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16, 2019 Page 2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 and throughout regarding your "deep" pipeline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"deep differentiated pipeline." Please balance this disclosure here and throughout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disclosing that you have only one product candidate that is in clinical testing and that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other potential product candidates are in the preclinical and development stage.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Similarly, please balance your disclosure on page 3 that you believe that RMC-4630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positioned to become the backbone of targeted therapy combinations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of various RAS-dependent tumors and your disclosure on page 109,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describes how each category of your product candidates acts to inhibit cancer cells,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addressing your early stage of clinical testing, preclinical studies and the development of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pipeline chart to include a column for each clinical stage. In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that you have combined Phases 1 and 2 into a single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 brief definition here of what you mean by "frontier cancer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targets."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 emerging growth company, page 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copies of all written communications, as defined in Rule 405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Act, that you, or anyone authorized to do so on your behalf, present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investors in reliance on Section 5(d) of the Securities Act, whether or not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retain copies of the communications. Risk Factors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common stock and this offering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amended and restated certificate of incorporation will provide for an exclusive forum,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the Court of Chancery of the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Delaware as the exclusive forum for certain litigation, including any "proceeding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brought on [y]our behalf." Please disclose whether this provision applies to actions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Securities Act or Exchange Act. In that regard, we note that Section 27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Exchange Act creates exclusive federal jurisdiction over all suits brought to enforce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duty or liability created by the Exchange Act or the rules and regulations thereunder,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Section 22 of the Securities Act creates concurrent jurisdiction for federal and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courts over all suits brought to enforce any duty or liability created by the Securities 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the rules and regulations thereunder. If the provision applies to Securities Act claims,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your prospectus to state that there is uncertainty as to whether a court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enforce such provision and that investors cannot waive compliance with the federal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laws and the rules and regulations thereunder. If this provision does not apply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actions arising under the Securities Act or Exchange Act, please also ensure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provision in the governing documents states this clearly, or tell us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inform investors in future filings that the provision does not apply to any actions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Securities Act or Exchange Act. In addition, we note that, on page 65,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Goldsmith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LastNameMark A. Goldsmith Revolution Medicines, Inc.</w:t>
      </w: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NameRevolution Medicines, Inc. October 16,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16, 2019 Page 3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your amended and restated certificate of incorporation will provide for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in the Court of Chancery of the State of Delaware and in the U.S. federal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district courts, and, on page 179, you identify only the Court of Chancery of the State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 as the exclusive forum. Please revise for consistency. Use of Proceeds, page 70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an estimate of how far in the development of your multiple RAS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programs the proceeds from this offering will allow you to reach. Also,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total estimated cost of each of the specified purposes for which the net proceeds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intended to be used, and, if material amounts of other funds are necessary to accomplish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specified purposes, provide an estimate of the amounts of such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funds and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thereof.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73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appropriate short-term nature of the marketable securities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your capitalization table as of September 30, 2019, or remove as necessary.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material, also include disclosure of your accounting and policy for such securities in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unaudited interim financial statements as of September 30,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policies, significant judgments, and use of estimates Stock-based compensation, page 99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the reasons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differences between the recent valuations of your common shares leading up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public offer and the estimated offering price. This information will help facilitate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review of your accounting for equity issuances including stock compensation.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SHP2 inhibitor, RMC-4630, page 111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111, please disclose the type of animal tested, the length of the test, the exact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animals in each test, the dose the animals received in each test, and whether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graphs (a) through (d) show the average or mean results. Similarly, please identify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animals tested in the studies described on pages 112 to 115. Also, please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mice tested in Figure 7 on page 116. In addition, in your discussion of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studies and throughout the prospectus, please remove your assessments that the studies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effective or that your product candidates are or will be effective as only the FDA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government equivalent regulators have the authority to determine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0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 is effective or safe. Mark A. Goldsmith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Revolution Medicines, Inc. October 16,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RAS(ON) portfolio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RAS (ON) inhibitor programs, page 120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many times you tested the inhibitors in the studies described in Figures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 to 20 on pages 122 to 127 and whether the graphs demonstrate the average or mean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studies conducted. In addition, please revise to remove comparisons of your inhibitors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other inhibitors unless you have conducted a head-to-head clinical trial. In this regard,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comparison of RMC-5552 to other mTOR active site inhibitors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127. Also, in Figure 21, please disclose the number of mice tested and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results observed were statistically significant. Collaboration agreement with Sanofi, page 128</w:t>
      </w:r>
    </w:p>
    <w:p>
      <w:pPr>
        <w:spacing w:after="0" w:line="16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are responsible for 20% of the expenses associated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identification, validation and optimization of SHP2 inhibitors for 2018-2020 pursuant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research plan and budget under the collaboration agreement with Sanofi.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quantitative information regarding these costs, and revise your prospectus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summary and throughout to clarify that you are responsible for 20% of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costs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the identification, validation and optimization of SHP2 inhibitors for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2020. In addition, please describe the material terms of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Quality Agreement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Supply Agreement with Sanofi or tell us why you believe this is not necessary.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we note your disclosure on page 171.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Acquisition of Warp Drive, page F-22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your consideration of whether disaggregating the $55.8 million in-process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asset by individual programs would provide useful information,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such information is available.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Bonnie Baynes at 202-551-4924 or Lisa Vanjoske at 202-551-3614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Sonia Bednarowski at 202-551-3666 or Dietrich King at 202-551-8071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8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LastNameMark A. Goldsmith Comapany NameRevolution Medicines,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16, 2019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"/>
      <w:numFmt w:val="decimal"/>
      <w:start w:val="65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2021-08-12T23:06:21Z</dcterms:created>
  <dcterms:modified xsi:type="dcterms:W3CDTF">2021-08-12T23:06:21Z</dcterms:modified>
</cp:coreProperties>
</file>