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Revolution Medicines,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47-2029180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9"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700 Saginaw Drive</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Redwood City, California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94063</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650 481-6801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RVMD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November 1, 2023, Revolution Medicines, Inc. (“Revolution Medicines”) issued a press release to announce that Revolution Medicines and EQRx, Inc. (“EQRx”) have determined the final exchange ratio, described in Item 8.01 of this Current Report on Form 8-K, in accordance with the terms of the Agreement and Plan of Merger (the “Merger Agreement”), dated as of July 31, 2023, by and among Revolution Medicines, Equinox Merger Sub I, Inc., a wholly owned subsidiary of Revolution Medicines (“Merger Sub I”), Equinox Merger Sub II LLC (“Merger Sub II”), a wholly owned subsidiary of Revolution Medicines, and EQRx, pursuant to which, and subject to the satisfaction or waiver of the conditions specified therein, Merger Sub I will be merged with and into EQRx (the “First Merger”), with EQRx surviving the First Merger as a direct, wholly owned subsidiary of Revolution Medicines (the “Surviving Corporation”), and as soon as practicable following the First Merger, the Surviving Corporation will be merged with and into Merger Sub II, with Merger Sub II surviving as a direct, wholly owned subsidiary of Revolution Medicines (together with the First Merger, the “Mergers”).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hereto and incorporated herein by reference.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November 1, 2023, Revolution Medicines issued a press release to announce that Revolution Medicines and EQRx have determined the final exchange ratio in accordance with the terms of the Merger Agreement.</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 terms and subject to the conditions set forth in the Merger Agreement, at the effective time of the First Merger, each share of common stock, par value $0.0001 per share, of EQRx (“EQRx Common Stock”) issued and outstanding immediately prior to the effective time will be converted into the right to receive 0.1112 of a share of common stock, par value $0.0001 per share, of Revolution Medicines (“Revolution Medicines Common Stock”). No fractional shares of Revolution Medicines Common Stock will be issued in the Mergers, and EQRx stockholders will receive cash in lieu of any fractional shares as part of the merger consideration, as specified in the Merger Agreement.</w:t>
      </w:r>
    </w:p>
    <w:p>
      <w:pPr>
        <w:spacing w:after="0" w:line="17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final exchange ratio based on the actual determination date of October 31, 2023, is higher than the assumed exchange ratio of 0.0734 that was set out for illustrative purposes in the joint proxy statement/prospectus, dated September 29, 2023, that was filed by Revolution Medicines with the Securities and Exchange Commission (“SEC”) and previously distributed to Revolution Medicines and EQRx stockholders. If the Mergers are completed pursuant to the Merger Agreement, Revolution Medicines expects to issue approximately 55 million shares of Revolution Medicines Common Stock (excluding warrants and earn-out shares) in connection with the Mergers. The Company estimates that the Mergers will add approximately $1.1 billion in net cash proceeds, after estimated post-closing EQRx wind-down and transition costs, or approximately $20 per share of Revolution Medicines Common Stock issued in connection with the Mergers.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Current Report on Form 8-K contains forward-looking statements within the meaning of federal securities laws, including the “safe harbor” provisions of the Private Securities Litigation Reform Act of 1995. Such statements are based upon current plans, estimates and expectations of management of Revolution Medicines and EQRx in light of historical results and trends, current conditions and potential future developments, and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 All statements, other than historical facts, including express or implied statements regarding the proposed transaction; the conversion of equity interests contemplated by the Merger Agreement; the issuance of common stock of Revolution Medicines contemplated by the Merger Agreement; the expected timing of the closing of the proposed transaction; the ability of the parties to complete the proposed transaction considering the various closing conditions; the expected benefits of the proposed transaction; the competitive ability and position of the combined company; Revolution Medicines’ expectation to not advance EQRx’s research and development portfolio following closing of the proposed transaction; EQRx’s expectation to wind down its programs; and any assumptions underlying any of the foregoing, are forward-looking statements. Important factors that could cause actual results to differ materially from Revolution Medicines’ and EQRx’s plans, estimates or expectations described in such forward-looking statements could include, but are not limited to: (i) the risk that the proposed transaction may not be completed in a timely manner or at all, which may adversely affect Revolution Medicines’ and EQRx’s businesses and the price of their respective securities; (ii) uncertainties as to the timing of the consummation of the proposed transaction; (iii) the potential failure to receive, on a timely basis or otherwise, the required approvals of the proposed transaction, including</w:t>
      </w:r>
    </w:p>
    <w:p>
      <w:pPr>
        <w:sectPr>
          <w:pgSz w:w="11900" w:h="16838" w:orient="portrait"/>
          <w:cols w:equalWidth="0" w:num="1">
            <w:col w:w="11000"/>
          </w:cols>
          <w:pgMar w:left="440" w:top="297" w:right="459" w:bottom="1440" w:gutter="0" w:footer="0" w:header="0"/>
        </w:sectPr>
      </w:pPr>
    </w:p>
    <w:bookmarkStart w:id="2" w:name="page3"/>
    <w:bookmarkEnd w:id="2"/>
    <w:p>
      <w:pPr>
        <w:ind w:left="4"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stockholder approvals by both Revolution Medicines’ stockholders and EQRx’s stockholders, and the potential failure to satisfy the other conditions to the consummation of the transaction; (iv) that the proposed transaction may involve unexpected costs, liabilities or delays; (v) the effect of the announcement, pendency or completion of the proposed transaction on each of Revolution Medicines’ or EQRx’s ability to attract, motivate, retain and hire key personnel and maintain relationships with customers, distributors, suppliers and others with whom Revolution Medicines or EQRx does business, or on Revolution Medicines’ or EQRx’s operating results and business generally; (vi) that the proposed transaction may divert management’s attention from each of Revolution Medicines’ and EQRx’s ongoing business operations; (vii) the risk of any legal proceedings related to the proposed transaction or otherwise, or the impact of the proposed transaction thereupon, including resulting expense or delay; (viii) that Revolution Medicines or EQRx may be adversely affected by other economic, business and/or competitive factors; (ix) the occurrence of any event, change or other circumstance that could give rise to the termination of the Merger Agreement relating to the proposed transaction, including in circumstances which would require Revolution Medicines or EQRx to pay a termination fee; (x) the risk that restrictions during the pendency of the proposed transaction may impact Revolution Medicines’ or EQRx’s ability to pursue certain business opportunities or strategic transactions; (xi) the risk that Revolution Medicines or EQRx may be unable to obtain governmental and regulatory approvals required for the proposed transaction, or that required governmental and regulatory approvals may delay the consummation of the proposed transaction or result in the imposition of conditions that could reduce the anticipated benefits from the proposed transaction or cause the parties to abandon the proposed transaction; (xii) the risk that the anticipated benefits of the proposed transaction may otherwise not be fully realized or may take longer to realize than expected; (xiii) the impact of legislative, regulatory, economic, competitive and technological changes; (xiv) risks relating to the value of Revolution Medicines securities to be issued in the proposed transaction; (xv) the risk that integration of the proposed transaction post-closing may not occur as anticipated or the combined company may not be able to achieve the growth prospects expected from the transaction; (xvi) the effect of the announcement, pendency or completion of the proposed transaction on the market price of the common stock of each of Revolution Medicines and the common stock and publicly traded warrants of EQRx;</w:t>
      </w:r>
    </w:p>
    <w:p>
      <w:pPr>
        <w:spacing w:after="0" w:line="11" w:lineRule="exact"/>
        <w:rPr>
          <w:sz w:val="20"/>
          <w:szCs w:val="20"/>
          <w:color w:val="auto"/>
        </w:rPr>
      </w:pPr>
    </w:p>
    <w:p>
      <w:pPr>
        <w:ind w:left="4" w:right="80" w:hanging="4"/>
        <w:spacing w:after="0" w:line="281"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each of Revolution Medicines’ and EQRx’s business model and strategic plans for product candidates and pipeline, and challenges inherent in developing, commercializing, manufacturing, launching, marketing and selling potential existing and new products; (xviii) the scope, progress, results and costs of developing Revolution Medicines’ and EQRx’s product candidates and any future product candidates, including conducting preclinical studies and clinical trials, and otherwise related to the research and development of Revolution Medicines’ and EQRx’s pipeline;</w:t>
      </w:r>
    </w:p>
    <w:p>
      <w:pPr>
        <w:spacing w:after="0" w:line="2" w:lineRule="exact"/>
        <w:rPr>
          <w:rFonts w:ascii="Arial" w:cs="Arial" w:eastAsia="Arial" w:hAnsi="Arial"/>
          <w:sz w:val="16"/>
          <w:szCs w:val="16"/>
          <w:color w:val="auto"/>
        </w:rPr>
      </w:pPr>
    </w:p>
    <w:p>
      <w:pPr>
        <w:ind w:left="4" w:hanging="4"/>
        <w:spacing w:after="0" w:line="281" w:lineRule="auto"/>
        <w:tabs>
          <w:tab w:leader="none" w:pos="39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and costs involved in obtaining and maintaining regulatory approval for Revolution Medicines’ and EQRx’s current or future product candidates, and any related restrictions, limitations and/or warnings in the label of an approved product; (xx) the market for, adoption (including rate and degree of market acceptance) and pricing and reimbursement of Revolution Medicines’ and EQRx’s product candidates and their respective abilities to compete with therapies and procedures that are rapidly growing and evolving; (xxi) uncertainties in contractual relationships, including collaborations, partnerships, licensing or other arrangements and the performance of third-party suppliers and manufacturers; (xxii) the ability of each of Revolution Medicines and EQRx to establish and maintain intellectual property protection for products or avoid or defend claims of infringement; (xxiii) exposure to inflation, currency rate and interest rate fluctuations and risks associated with doing business locally and internationally, as well as fluctuations in the market price of each of Revolution Medicines’ and EQRx’s traded securities; (xxiv) risks relating to competition within the industry in which each of Revolution Medicines and EQRx operate; (xxv) the unpredictability and severity of catastrophic events, including, but not limited to, acts of terrorism or outbreak of war or hostilities; (xxvi) whether the termination of EQRx’s license agreements and/or discovery collaboration agreements may impact its or Revolution Medicines’ ability to license in additional programs in the future and the risk of delays or unforeseen costs in terminating such arrangements;</w:t>
      </w:r>
    </w:p>
    <w:p>
      <w:pPr>
        <w:spacing w:after="0" w:line="6" w:lineRule="exact"/>
        <w:rPr>
          <w:rFonts w:ascii="Arial" w:cs="Arial" w:eastAsia="Arial" w:hAnsi="Arial"/>
          <w:sz w:val="16"/>
          <w:szCs w:val="16"/>
          <w:color w:val="auto"/>
        </w:rPr>
      </w:pPr>
    </w:p>
    <w:p>
      <w:pPr>
        <w:ind w:left="4" w:right="120" w:hanging="4"/>
        <w:spacing w:after="0" w:line="251" w:lineRule="auto"/>
        <w:tabs>
          <w:tab w:leader="none" w:pos="539"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restructuring costs and charges may be greater than anticipated or incurred in different periods than anticipated; (xxviii) the risk that EQRx’s restructuring efforts may adversely affect its programs and its ability to recruit and retain skilled and motivated personnel, and may be distracting to employees and management; and (xxix) the risk that EQRx’s restructuring or wind-down efforts may negatively impact its business operations and reputation with or ability to serve counterparties or may take longer to realize than expected, as well as each of Revolution Medicines’ and EQRx’s response to any of the aforementioned factors. Additional factors that may affect the future results of Revolution Medicines and EQRx are set forth in their respective filings with the SEC, including each of Revolution Medicines’ and EQRx’s most recently filed Annual Reports on Form 10-K, subsequent Quarterly Reports on Form 10-Q, Current Reports on Form 8-K and other filings with the SEC, which are available on the SEC’s website at www.sec.gov. See in particular Item 1A of Revolution Medicines’ Quarterly Report on Form 10-Q for the quarterly period ended June 30, 2023 under the heading “Risk</w:t>
      </w:r>
    </w:p>
    <w:p>
      <w:pPr>
        <w:sectPr>
          <w:pgSz w:w="11900" w:h="16838" w:orient="portrait"/>
          <w:cols w:equalWidth="0" w:num="1">
            <w:col w:w="11004"/>
          </w:cols>
          <w:pgMar w:left="436" w:top="301" w:right="459" w:bottom="1440" w:gutter="0" w:footer="0" w:header="0"/>
        </w:sectPr>
      </w:pPr>
    </w:p>
    <w:bookmarkStart w:id="3" w:name="page4"/>
    <w:bookmarkEnd w:id="3"/>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Factors,” and Item 1A of each of EQRx’s Annual Report on Form 10-K for the fiscal year ended December 31, 2022 and Quarterly Reports on Form 10-Q for the quarterly periods ended March 31, 2023 and June 30, 2023 under the headings “Risk Factors.” The risks and uncertainties described above and in the SEC filings cited above are not exclusive and further information concerning Revolution Medicines and EQRx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which speak only as of the date hereof. Readers should also carefully review the risk factors described in other documents that Revolution Medicines and EQRx file from time to time with the SEC. Except as required by law, each of Revolution Medicines and EQRx assume no obligation to update or revise these forward-looking statements for any reason, even if new information becomes available in the future.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 and Where to Find It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proposed transaction, Revolution Medicines and EQRx filed with the SEC and mailed or otherwise provided to their respective security holders a joint proxy statement/prospectus regarding the proposed transaction (as amended or supplemented from time to time, the “Joint Proxy Statement/Prospectus”). INVESTORS AND REVOLUTION MEDICINES’ AND EQRX’S RESPECTIVE SECURITY HOLDERS ARE URGED TO CAREFULLY READ THE JOINT PROXY STATEMENT/PROSPECTUS IN ITS ENTIRETY AND ANY OTHER DOCUMENTS FILED BY EACH OF REVOLUTION MEDICINES AND EQRX WITH THE SEC IN CONNECTION WITH THE PROPOSED TRANSACTION OR INCORPORATED BY REFERENCE THEREIN BECAUSE THEY WILL CONTAIN IMPORTANT INFORMATION ABOUT THE PROPOSED TRANSACTION AND THE PARTIES TO THE PROPOSED TRANSACTION.</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Revolution Medicines’ investors and security holders may obtain a free copy of the Joint Proxy Statement/Prospectus and other documents that Revolution Medicines files with the SEC (when available) from the SEC’s website at www.sec.gov and Revolution Medicines’ website at ir.revmed.com. In addition, the Joint Proxy Statement/Prospectus and other documents filed by Revolution Medicines with the SEC (when available) may be obtained from Revolution Medicines free of charge by directing a request to Morrow Sodali LLC at RVMD@info.morrowsodali.com.</w:t>
      </w:r>
    </w:p>
    <w:p>
      <w:pPr>
        <w:spacing w:after="0" w:line="1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EQRx’s investors and security holders may obtain a free copy of the Joint Proxy Statement/Prospectus and other documents that EQRx files with the SEC (when available) from the SEC’s website at www.sec.gov and EQRx’s website at investors.eqrx.com. In addition, the Joint Proxy Statement/Prospectus and other documents filed by EQRx with the SEC (when available) may be obtained from EQRx free of charge by directing a request to EQRx’s Investor Relations at investors@eqrx.com.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Offer or Solicitation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in the Solicitation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Revolution Medicines, EQRx and their respective directors, executive officers, other members of management, certain employees and other persons may be deemed to be participants in the solicitation of proxies from the security holders of Revolution Medicines and EQRx in connection with the proposed transaction. Security holders may obtain information regarding the names, affiliations and interests of Revolution Medicines’ directors and executive officers in Revolution Medicines’ Annual Report on Form 10-K for the fiscal year ended December 31, 2022, which was filed with the SEC on February 27, 2023, and Revolution Medicines’ definitive proxy statement on Schedule 14A for its 2023 annual meeting of stockholders, which was filed with the SEC on April 26, 2023. To the extent holdings of Revolution Medicines’ securities by Revolution Medicines’ directors and executive officers have changed since the amounts set forth in such proxy statement, such changes have been or will be reflected on</w:t>
      </w:r>
    </w:p>
    <w:p>
      <w:pPr>
        <w:sectPr>
          <w:pgSz w:w="11900" w:h="16838" w:orient="portrait"/>
          <w:cols w:equalWidth="0" w:num="1">
            <w:col w:w="10960"/>
          </w:cols>
          <w:pgMar w:left="440" w:top="301" w:right="49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subsequent Statements of Changes in Beneficial Ownership on Form 4 filed with the SEC. Security holders may obtain information regarding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names, affiliations and interests of EQRx’s directors and executive officers in EQRx’s Annual Report on Form 10-K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which was filed with the SEC on February 23, 2023, and in certain of EQRx’s Current Reports on Form 8-K. To the extent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EQRx’s securities by EQRx’s directors and executive officers have changed since the amounts set forth in such Annual Report on Form 10-K,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have been or will be reflected on subsequent Statements of Changes in Beneficial Ownership on Form 4 filed with the SEC.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the interests of such individuals in the proposed transaction is included in the Joint Proxy Statement/Prospectus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transaction filed with the SEC. These documents (when available) may be obtained free of charge from the SEC’s website at www.sec.gov,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Revolution Medicines’ website at www.revmed.com and EQRx’s website at www.eqrx.com.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1, 2023.</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301" w:right="459" w:bottom="1440" w:gutter="0" w:footer="0" w:header="0"/>
        </w:sectPr>
      </w:pPr>
    </w:p>
    <w:bookmarkStart w:id="5" w:name="page6"/>
    <w:bookmarkEnd w:id="5"/>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REVOLUTION MEDICINES,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A. Goldsmith, M.D.,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260"/>
          </w:cols>
          <w:pgMar w:left="440" w:top="297" w:right="1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45640"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Leading Independent Proxy Advisory Firms ISS and Glass Lewis Recommend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Stockholders Vote “FOR” Proposed Acquisition of EQRx,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Revolution Medicines Also Announces the Final Exchange Ratio of 0.1112</w:t>
      </w:r>
    </w:p>
    <w:p>
      <w:pPr>
        <w:spacing w:after="0" w:line="221"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b w:val="1"/>
          <w:bCs w:val="1"/>
          <w:color w:val="auto"/>
        </w:rPr>
        <w:t xml:space="preserve">REDWOOD CITY, Calif., November 1, 2023 </w:t>
      </w:r>
      <w:r>
        <w:rPr>
          <w:rFonts w:ascii="Arial" w:cs="Arial" w:eastAsia="Arial" w:hAnsi="Arial"/>
          <w:sz w:val="16"/>
          <w:szCs w:val="16"/>
          <w:color w:val="auto"/>
        </w:rPr>
        <w:t>– Revolution Medicines, Inc. (Nasdaq: RVMD), a clinical-stage oncology company developing targeted</w:t>
      </w:r>
      <w:r>
        <w:rPr>
          <w:rFonts w:ascii="Arial" w:cs="Arial" w:eastAsia="Arial" w:hAnsi="Arial"/>
          <w:sz w:val="16"/>
          <w:szCs w:val="16"/>
          <w:b w:val="1"/>
          <w:bCs w:val="1"/>
          <w:color w:val="auto"/>
        </w:rPr>
        <w:t xml:space="preserve"> </w:t>
      </w:r>
      <w:r>
        <w:rPr>
          <w:rFonts w:ascii="Arial" w:cs="Arial" w:eastAsia="Arial" w:hAnsi="Arial"/>
          <w:sz w:val="16"/>
          <w:szCs w:val="16"/>
          <w:color w:val="auto"/>
        </w:rPr>
        <w:t>therapies for RAS-addicted cancers, today announced that leading independent proxy advisory firms, Institutional Shareholder Services Inc. (“ISS”) and Glass Lewis &amp; Co. (“Glass Lewis”), have recommended Revolution Medicines stockholders vote “FOR” the issuance of Revolution Medicines shares in the previously announced all-stock acquisition of EQRx, Inc. at the special meeting of stockholders scheduled for November 8, 2023.</w:t>
      </w:r>
    </w:p>
    <w:p>
      <w:pPr>
        <w:spacing w:after="0" w:line="15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their respective reports, ISS and Glass Lewis view the proposed transaction as favorable to Revolution Medicines stockholders. The acquisition will add the significant cash resources held by EQRx and strengthen Revolution Medicines’ balance sheet, allowing the company to sustain and retain control of its research and development plans for its RAS(ON) Inhibitor pipeline.</w:t>
      </w:r>
    </w:p>
    <w:p>
      <w:pPr>
        <w:spacing w:after="0" w:line="184" w:lineRule="exact"/>
        <w:rPr>
          <w:sz w:val="20"/>
          <w:szCs w:val="20"/>
          <w:color w:val="auto"/>
        </w:rPr>
      </w:pPr>
    </w:p>
    <w:p>
      <w:pPr>
        <w:ind w:right="120"/>
        <w:spacing w:after="0" w:line="220" w:lineRule="auto"/>
        <w:rPr>
          <w:sz w:val="20"/>
          <w:szCs w:val="20"/>
          <w:color w:val="auto"/>
        </w:rPr>
      </w:pPr>
      <w:r>
        <w:rPr>
          <w:rFonts w:ascii="Arial" w:cs="Arial" w:eastAsia="Arial" w:hAnsi="Arial"/>
          <w:sz w:val="18"/>
          <w:szCs w:val="18"/>
          <w:color w:val="auto"/>
        </w:rPr>
        <w:t>“We are pleased that ISS and Glass Lewis support our proposed acquisition of EQRx and the significant long-term value opportunity this compelling transaction provides to our stockholders,” said Mark A. Goldsmith, M.D., Ph.D., Revolution Medicines, chief executive officer and chairman. “The addition of approximately $1.1 billion to our balance sheet will increase our financial strength and enable robust investments to advance the clinical development of RMC-6236, our RAS</w:t>
      </w:r>
      <w:r>
        <w:rPr>
          <w:rFonts w:ascii="Arial" w:cs="Arial" w:eastAsia="Arial" w:hAnsi="Arial"/>
          <w:sz w:val="26"/>
          <w:szCs w:val="26"/>
          <w:color w:val="auto"/>
          <w:vertAlign w:val="superscript"/>
        </w:rPr>
        <w:t>MULTI</w:t>
      </w:r>
      <w:r>
        <w:rPr>
          <w:rFonts w:ascii="Arial" w:cs="Arial" w:eastAsia="Arial" w:hAnsi="Arial"/>
          <w:sz w:val="18"/>
          <w:szCs w:val="18"/>
          <w:color w:val="auto"/>
        </w:rPr>
        <w:t>(ON) Inhibitor, RMC-6291, our RAS</w:t>
      </w:r>
      <w:r>
        <w:rPr>
          <w:rFonts w:ascii="Arial" w:cs="Arial" w:eastAsia="Arial" w:hAnsi="Arial"/>
          <w:sz w:val="26"/>
          <w:szCs w:val="26"/>
          <w:color w:val="auto"/>
          <w:vertAlign w:val="superscript"/>
        </w:rPr>
        <w:t>G12C</w:t>
      </w:r>
      <w:r>
        <w:rPr>
          <w:rFonts w:ascii="Arial" w:cs="Arial" w:eastAsia="Arial" w:hAnsi="Arial"/>
          <w:sz w:val="18"/>
          <w:szCs w:val="18"/>
          <w:color w:val="auto"/>
        </w:rPr>
        <w:t>(ON) Inhibitor, and RMC-9805, our RAS</w:t>
      </w:r>
      <w:r>
        <w:rPr>
          <w:rFonts w:ascii="Arial" w:cs="Arial" w:eastAsia="Arial" w:hAnsi="Arial"/>
          <w:sz w:val="26"/>
          <w:szCs w:val="26"/>
          <w:color w:val="auto"/>
          <w:vertAlign w:val="superscript"/>
        </w:rPr>
        <w:t>G12D</w:t>
      </w:r>
      <w:r>
        <w:rPr>
          <w:rFonts w:ascii="Arial" w:cs="Arial" w:eastAsia="Arial" w:hAnsi="Arial"/>
          <w:sz w:val="18"/>
          <w:szCs w:val="18"/>
          <w:color w:val="auto"/>
        </w:rPr>
        <w:t>(ON) Inhibitor. This transaction will also increase our capacity to develop our growing RAS(ON) Inhibitor pipeline in order to deliver high-impact targeted medicines to an even larger range of patients with RAS-addicted cancers.”</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also today announced the final exchange ratio for the EQRx acquisition. Each share of common stock of EQRx issued and outstanding immediately prior to the merger will be converted into the right to receive 0.1112 shares of common stock of Revolution Medicines. If the transaction is completed, Revolution Medicines expects to issue approximately 55 million shares of its common stock in connection with the merger (excluding assumed warrants and earn-out shares). No fractional shares will be issued and EQRx stockholders will receive cash in lieu of any fractional shares as part of the merger consideration, as specified in the merger agreement with EQRx. The transaction is expected to close in November 2023, subject to satisfaction of customary closing conditions, including approval by both Revolution Medicines’ and EQRx’s stockholders. The company estimates that the acquisition will add approximately $1.1 billion in net cash proceeds, after estimated post-closing EQRx wind-down and transition costs, or approximately $20 per share of common stock issued in connection with the merger.</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of Revolution Medicine Stockholders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Revolution Medicines Board of Directors recommends Revolution Medicines stockholders vote “FOR” the issuance of shares in connection with the proposed transaction with EQRx. Revolution Medicines’ special meeting of stockholders is scheduled to take place virtually on Wednesday, November 8, 2023 at 8:00 a.m. PT. Only holders of record of Revolution Medicines common stock as of the close of business on September 26, 2023 are entitled to vote at the special meeting.</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Stockholders who have questions or need assistance voting their shares should contact Revolution Medicines’ proxy solicitor, Morrow Sodali, LLC at (800) 662-5200 or (203) 658-9400 or by email at rvmd@info.morrowsodali.com.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Revolution Medicines, Inc.</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Revolution Medicines is a clinical-stage oncology company developing novel targeted therapies for RAS-addicted cancers. The company’s R&amp;D pipeline comprises RAS(ON) Inhibitors designed to suppress diverse oncogenic variants of RAS proteins, and RAS Companion Inhibitors for use in combination treatment strategies. The company’s RAS(ON) Inhibitors RMC-6236 (RAS</w:t>
      </w:r>
      <w:r>
        <w:rPr>
          <w:rFonts w:ascii="Arial" w:cs="Arial" w:eastAsia="Arial" w:hAnsi="Arial"/>
          <w:sz w:val="23"/>
          <w:szCs w:val="23"/>
          <w:color w:val="auto"/>
          <w:vertAlign w:val="superscript"/>
        </w:rPr>
        <w:t>MULTI</w:t>
      </w:r>
      <w:r>
        <w:rPr>
          <w:rFonts w:ascii="Arial" w:cs="Arial" w:eastAsia="Arial" w:hAnsi="Arial"/>
          <w:sz w:val="16"/>
          <w:szCs w:val="16"/>
          <w:color w:val="auto"/>
        </w:rPr>
        <w:t>), RMC-6291 (KRAS</w:t>
      </w:r>
      <w:r>
        <w:rPr>
          <w:rFonts w:ascii="Arial" w:cs="Arial" w:eastAsia="Arial" w:hAnsi="Arial"/>
          <w:sz w:val="23"/>
          <w:szCs w:val="23"/>
          <w:color w:val="auto"/>
          <w:vertAlign w:val="superscript"/>
        </w:rPr>
        <w:t>G12C</w:t>
      </w:r>
      <w:r>
        <w:rPr>
          <w:rFonts w:ascii="Arial" w:cs="Arial" w:eastAsia="Arial" w:hAnsi="Arial"/>
          <w:sz w:val="16"/>
          <w:szCs w:val="16"/>
          <w:color w:val="auto"/>
        </w:rPr>
        <w:t>) and RMC-9805 (KRAS</w:t>
      </w:r>
      <w:r>
        <w:rPr>
          <w:rFonts w:ascii="Arial" w:cs="Arial" w:eastAsia="Arial" w:hAnsi="Arial"/>
          <w:sz w:val="23"/>
          <w:szCs w:val="23"/>
          <w:color w:val="auto"/>
          <w:vertAlign w:val="superscript"/>
        </w:rPr>
        <w:t>G12D</w:t>
      </w:r>
      <w:r>
        <w:rPr>
          <w:rFonts w:ascii="Arial" w:cs="Arial" w:eastAsia="Arial" w:hAnsi="Arial"/>
          <w:sz w:val="16"/>
          <w:szCs w:val="16"/>
          <w:color w:val="auto"/>
        </w:rPr>
        <w:t>) are currently in clinical development. Additional RAS(ON) Inhibitors in the company’s pipeline include RMC-5127 (KRAS</w:t>
      </w:r>
      <w:r>
        <w:rPr>
          <w:rFonts w:ascii="Arial" w:cs="Arial" w:eastAsia="Arial" w:hAnsi="Arial"/>
          <w:sz w:val="23"/>
          <w:szCs w:val="23"/>
          <w:color w:val="auto"/>
          <w:vertAlign w:val="superscript"/>
        </w:rPr>
        <w:t>G12V</w:t>
      </w:r>
      <w:r>
        <w:rPr>
          <w:rFonts w:ascii="Arial" w:cs="Arial" w:eastAsia="Arial" w:hAnsi="Arial"/>
          <w:sz w:val="16"/>
          <w:szCs w:val="16"/>
          <w:color w:val="auto"/>
        </w:rPr>
        <w:t>), RMC-0708 (KRAS</w:t>
      </w:r>
      <w:r>
        <w:rPr>
          <w:rFonts w:ascii="Arial" w:cs="Arial" w:eastAsia="Arial" w:hAnsi="Arial"/>
          <w:sz w:val="23"/>
          <w:szCs w:val="23"/>
          <w:color w:val="auto"/>
          <w:vertAlign w:val="superscript"/>
        </w:rPr>
        <w:t>Q61H</w:t>
      </w:r>
      <w:r>
        <w:rPr>
          <w:rFonts w:ascii="Arial" w:cs="Arial" w:eastAsia="Arial" w:hAnsi="Arial"/>
          <w:sz w:val="16"/>
          <w:szCs w:val="16"/>
          <w:color w:val="auto"/>
        </w:rPr>
        <w:t>) and RMC-8839 (KRAS</w:t>
      </w:r>
      <w:r>
        <w:rPr>
          <w:rFonts w:ascii="Arial" w:cs="Arial" w:eastAsia="Arial" w:hAnsi="Arial"/>
          <w:sz w:val="23"/>
          <w:szCs w:val="23"/>
          <w:color w:val="auto"/>
          <w:vertAlign w:val="superscript"/>
        </w:rPr>
        <w:t>G13C</w:t>
      </w:r>
      <w:r>
        <w:rPr>
          <w:rFonts w:ascii="Arial" w:cs="Arial" w:eastAsia="Arial" w:hAnsi="Arial"/>
          <w:sz w:val="16"/>
          <w:szCs w:val="16"/>
          <w:color w:val="auto"/>
        </w:rPr>
        <w:t>) which are currently in IND-enabling development, and additional compounds targeting other RAS variants.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federal securities laws, including the “safe harbor” provisions of the Private Securities Litigation Reform Act of 1995. Such statements are based upon current plans, estimates and expectations of management of Revolution Medicines and EQRx in light of historical results and trends, current conditions and potential future developments, and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 All statements, other than historical facts, including express or implied statements regarding the proposed transaction; the conversion of equity interests contemplated by the merger agreement; the issuance of common stock of Revolution Medicines contemplated by the merger agreement; the expected timing of the closing of the proposed transaction; the ability of the parties to complete the proposed transaction considering the various closing conditions; the expected benefits of the proposed transaction; the competitive ability and position of the combined company; Revolution Medicines’ development plans and timelines and its ability to advance its portfolio and research and development pipeline; progression of clinical studies and findings from these studies, including the tolerability and potential efficacy of Revolution Medicines’ candidates being studied; the potential advantages and effectiveness of Revolution Medicines’ clinical and preclinical candidates, including its RAS(ON) Inhibitors; the potential clinical utility of RMC-6236 in patients with non-small cell lung cancer and pancreatic cancer; the timing and completion of a clinical trial for the combination of RMC-6236 and RMC-6291; whether additional near-term and longer-term investments will strengthen the clinical advancement of Revolution Medicines’ RAS(ON) Inhibitors;</w:t>
      </w:r>
    </w:p>
    <w:p>
      <w:pPr>
        <w:sectPr>
          <w:pgSz w:w="11900" w:h="16838" w:orient="portrait"/>
          <w:cols w:equalWidth="0" w:num="1">
            <w:col w:w="11000"/>
          </w:cols>
          <w:pgMar w:left="440" w:top="270" w:right="459" w:bottom="1440" w:gutter="0" w:footer="0" w:header="0"/>
        </w:sectPr>
      </w:pPr>
    </w:p>
    <w:bookmarkStart w:id="8" w:name="page9"/>
    <w:bookmarkEnd w:id="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Revolution Medicines’ ability to enable seamless program progression; Revolution Medicines’ ability to advance its oncology assets and its intention to concentrate development resources on its three priority RAS-focused assets (RMC-6236, RMC-6291 and RMC-9805) following the proposed transaction; Revolution Medicines’ expectation to not advance EQRx’s research and development portfolio following closing of the proposed transaction; EQRx’s expectation to wind down its programs; and any assumptions underlying any of the foregoing, are forward-looking statements. Important factors that could cause actual results to differ materially from Revolution Medicines’ and EQRx’s plans, estimates or expectations described in such forward-looking statements could include, but are not limited to: (i) the risk that the proposed transaction may not be completed in a timely manner or at all, which may adversely affect Revolution Medicines’ and EQRx’s businesses and the price of their respective securities; (ii) uncertainties as to the timing of the consummation of the proposed transaction; (iii) the potential failure to receive, on a timely basis or otherwise, the required approvals of the proposed transaction, including stockholder approvals by both Revolution Medicines’ stockholders and EQRx’s stockholders, and the potential failure to satisfy the other conditions to the consummation of the transaction; (iv) that the proposed transaction may involve unexpected costs, liabilities or delays; (v) the effect of the announcement, pendency or completion of the proposed transaction on each of Revolution Medicines’ or EQRx’s ability to attract, motivate, retain and hire key personnel and maintain relationships with customers, distributors, suppliers and others with whom Revolution Medicines or EQRx does business, or on Revolution Medicines’ or EQRx’s operating results and business generally; (vi) that the proposed transaction may divert management’s attention from each of Revolution Medicines’ and EQRx’s ongoing business operations; (vii) the risk of any legal proceedings related to the proposed transaction or otherwise, or the impact of the proposed transaction thereupon, including resulting expense or delay; (viii) that Revolution Medicines or EQRx may be adversely affected by other economic, business and/or competitive factors; (ix) the occurrence of any event, change or other circumstance that could give rise to the termination of the merger agreement relating to the proposed transaction, including in circumstances which would require Revolution Medicines or EQRx to pay a termination fee; (x) the risk that restrictions during the pendency of the proposed transaction may impact Revolution Medicines’ or EQRx’s ability to pursue certain business opportunities or strategic transactions; (xi) the risk that Revolution Medicines or EQRx may be unable to obtain governmental and regulatory approvals required for the proposed transaction, or that required governmental and regulatory approvals may delay the consummation of the proposed transaction or result in the imposition of conditions that could reduce the anticipated benefits from the proposed transaction or cause the parties to abandon the proposed transaction; (xii) the risk that the anticipated benefits of the proposed transaction may otherwise not be fully realized or may take longer to realize than expected; (xiii) the impact of legislative, regulatory, economic, competitive and technological changes; (xiv) risks relating to the value of Revolution Medicines securities to be issued in the proposed transaction; (xv) the risk that integration of the proposed transaction post-closing may not occur as anticipated or the combined company may not be able to achieve the growth prospects expected from the transaction; (xvi) the effect of the announcement, pendency or completion of the proposed transaction on the market price of the common stock of each of Revolution Medicines and the common stock and publicly traded warrants of EQRx; (xvii) the implementation of each of Revolution Medicines’ and EQRx’s business model and strategic plans for product candidates and pipeline, and challenges inherent in developing, commercializing, manufacturing, launching, marketing and selling potential existing and new products; (xviii) the scope, progress, results and costs of developing Revolution Medicines’ and EQRx’s product</w:t>
      </w:r>
    </w:p>
    <w:p>
      <w:pPr>
        <w:sectPr>
          <w:pgSz w:w="11900" w:h="16838" w:orient="portrait"/>
          <w:cols w:equalWidth="0" w:num="1">
            <w:col w:w="11000"/>
          </w:cols>
          <w:pgMar w:left="440" w:top="274" w:right="459" w:bottom="1440" w:gutter="0" w:footer="0" w:header="0"/>
        </w:sectPr>
      </w:pPr>
    </w:p>
    <w:bookmarkStart w:id="9" w:name="page10"/>
    <w:bookmarkEnd w:id="9"/>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candidates and any future product candidates, including conducting preclinical studies and clinical trials, and otherwise related to the research and development of Revolution Medicines’ and EQRx’s pipeline; (xix) the timing and costs involved in obtaining and maintaining regulatory approval for Revolution Medicines’ and EQRx’s current or future product candidates, and any related restrictions, limitations and/or warnings in the label of an approved product; (xx) the market for, adoption (including rate and degree of market acceptance) and pricing and reimbursement of Revolution Medicines’ and EQRx’s product candidates and their respective abilities to compete with therapies and procedures that are rapidly growing and evolving; (xxi) uncertainties in contractual relationships, including collaborations, partnerships, licensing or other arrangements and the performance of third-party suppliers and manufacturers; (xxii) the ability of each of Revolution Medicines and EQRx to establish and maintain intellectual property protection for products or avoid or defend claims of infringement; (xxiii) exposure to inflation, currency rate and interest rate fluctuations and risks associated with doing business locally and internationally, as well as fluctuations in the market price of each of Revolution Medicines’ and EQRx’s traded securities; (xxiv) risks relating to competition within the industry in which each of Revolution Medicines and EQRx operate; (xxv) the unpredictability and severity of catastrophic events, including, but not limited to, acts of terrorism or outbreak of war or hostilities; (xxvi) whether the termination of EQRx’s license agreements and/or discovery collaboration agreements may impact its or Revolution Medicines’ ability to license in additional programs in the future and the risk of delays or unforeseen costs in terminating such arrangements; (xxvii) risks that restructuring costs and charges may be greater than anticipated or incurred in different periods than anticipated; (xxviii) the risk that EQRx’s restructuring efforts may adversely affect its programs and its ability to recruit and retain skilled and motivated personnel, and may be distracting to employees and management; and</w:t>
      </w:r>
    </w:p>
    <w:p>
      <w:pPr>
        <w:ind w:left="4" w:right="60" w:hanging="4"/>
        <w:spacing w:after="0" w:line="267" w:lineRule="auto"/>
        <w:tabs>
          <w:tab w:leader="none" w:pos="48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that EQRx’s restructuring or wind-down efforts may negatively impact its business operations and reputation with or ability to serve counterparties or may take longer to realize than expected, as well as each of Revolution Medicines’ and EQRx’s response to any of the aforementioned factors. Additional factors that may affect the future results of Revolution Medicines and EQRx are set forth in their respective filings with the U.S. Securities and Exchange Commission (the “SEC”), including each of Revolution Medicines’ and EQRx’s most recently filed Annual Reports on Form 10-K, subsequent Quarterly Reports on Form 10-Q, Current Reports on Form 8-K and other filings with the SEC, which are available on the SEC’s website at www.sec.gov. See in particular Item 1A of Revolution Medicines’ Quarterly Report on Form 10-Q for the quarterly period ended June 30, 2023 under the heading “Risk Factors,” and Item 1A of each of EQRx’s Annual Report on Form 10-K for the fiscal year ended December 31, 2022 and Quarterly Reports on Form 10-Q for the quarterly periods ended March 31, 2023 and June 30, 2023 under the headings “Risk Factors.” The risks and uncertainties described above and in the SEC filings cited above are not exclusive and further information concerning Revolution Medicines and EQRx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which speak only as of the date hereof. Readers should also carefully review the risk factors described in other documents that Revolution Medicines and EQRx file from time to time with the SEC. Except as required by law, each of Revolution Medicines and EQRx assume no obligation to update or revise these forward-looking statements for any reason, even if new information becomes available in the future.</w:t>
      </w:r>
    </w:p>
    <w:p>
      <w:pPr>
        <w:sectPr>
          <w:pgSz w:w="11900" w:h="16838" w:orient="portrait"/>
          <w:cols w:equalWidth="0" w:num="1">
            <w:col w:w="11004"/>
          </w:cols>
          <w:pgMar w:left="436"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proposed transaction, Revolution Medicines and EQRx filed with the SEC and mailed or otherwise provided to their respective security holders a joint proxy statement/prospectus regarding the proposed transaction (as amended or supplemented from time to time, the “Joint Proxy Statement/Prospectus”). INVESTORS AND REVOLUTION MEDICINES’ AND EQRX’S RESPECTIVE SECURITY HOLDERS ARE URGED TO CAREFULLY READ THE JOINT PROXY STATEMENT/PROSPECTUS IN ITS ENTIRETY AND ANY OTHER DOCUMENTS FILED BY EACH OF REVOLUTION MEDICINES AND EQRX WITH THE SEC IN CONNECTION WITH THE PROPOSED TRANSACTION OR INCORPORATED BY REFERENCE THEREIN BECAUSE THEY WILL CONTAIN IMPORTANT INFORMATION ABOUT THE PROPOSED TRANSACTION AND THE PARTIES TO THE PROPOSED TRANSACTION.</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Revolution Medicines’ investors and security holders may obtain a free copy of the Joint Proxy Statement/Prospectus and other documents that Revolution Medicines files with the SEC (when available) from the SEC’s website at www.sec.gov and Revolution Medicines’ website at ir.revmed.com. In addition, the Joint Proxy Statement/Prospectus and other documents filed by Revolution Medicines with the SEC (when available) may be obtained from Revolution Medicines free of charge by directing a request to Morrow Sodali LLC at RVMD@info.morrowsodali.com.</w:t>
      </w:r>
    </w:p>
    <w:p>
      <w:pPr>
        <w:spacing w:after="0" w:line="1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EQRx’s investors and security holders may obtain a free copy of the Joint Proxy Statement/Prospectus and other documents that EQRx files with the SEC (when available) from the SEC’s website at www.sec.gov and EQRx’s website at investors.eqrx.com. In addition, the Joint Proxy Statement/Prospectus and other documents filed by EQRx with the SEC (when available) may be obtained from EQRx free of charge by directing a request to EQRx’s Investor Relations at investors@eqrx.com.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is not intended to and shall not constitute an offer to buy or sell or the solicitation of an offer to buy or sell any securities, nor shall there be any offer, solicitation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Revolution Medicines, EQRx and their respective directors, executive officers, other members of management, certain employees and other persons may be deemed to be participants in the solicitation of proxies from the security holders of Revolution Medicines and EQRx in connection with the proposed transaction. Security holders may obtain information regarding the names, affiliations and interests of Revolution Medicines’ directors and executive officers in Revolution Medicines’ Annual Report on Form 10-K for the fiscal year ended December 31, 2022, which was filed with the SEC on February 27, 2023, and Revolution Medicines’ definitive proxy statement on Schedule 14A for its 2023 annual meeting of</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which was filed with the SEC on April 26, 2023. To the extent holdings of Revolution Medicines’ securities by Revolution Medicines’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directors and executive officers have changed since the amounts set forth in such proxy statement, such changes have been or will be reflected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subsequent Statements of Changes in Beneficial Ownership on Form 4 filed with the SEC. Security holders may obtain information regarding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names, affiliations and interests of EQRx’s directors and executive officers in EQRx’s Annual Report on Form 10-K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which was filed with the SEC on February 23, 2023, and in certain of EQRx’s Current Reports on Form 8-K. To the extent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EQRx’s securities by EQRx’s directors and executive officers have changed since the amounts set forth in such Annual Report on Form 10-K,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changes have been or will be reflected on subsequent Statements of Changes in Beneficial Ownership on Form 4 filed with the SEC.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the interests of such individuals in the proposed transaction is included in the Joint Proxy Statement/Prospectus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transaction filed with the SEC. These documents (when available) may be obtained free of charge from the SEC’s website at www.sec.gov,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Revolution Medicines’ website at www.revmed.com and EQRx’s website at www.eqrx.com.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 &amp; 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Erin Graves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650-779-0136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egraves@revmed.com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7"/>
    </w:lvl>
  </w:abstractNum>
  <w:abstractNum w:abstractNumId="3">
    <w:nsid w:val="46E87CCD"/>
    <w:multiLevelType w:val="hybridMultilevel"/>
    <w:lvl w:ilvl="0">
      <w:lvlJc w:val="left"/>
      <w:lvlText w:val="(%1)"/>
      <w:numFmt w:val="lowerRoman"/>
      <w:start w:val="19"/>
    </w:lvl>
  </w:abstractNum>
  <w:abstractNum w:abstractNumId="4">
    <w:nsid w:val="3D1B58BA"/>
    <w:multiLevelType w:val="hybridMultilevel"/>
    <w:lvl w:ilvl="0">
      <w:lvlJc w:val="left"/>
      <w:lvlText w:val="(%1)"/>
      <w:numFmt w:val="lowerRoman"/>
      <w:start w:val="27"/>
    </w:lvl>
  </w:abstractNum>
  <w:abstractNum w:abstractNumId="5">
    <w:nsid w:val="507ED7AB"/>
    <w:multiLevelType w:val="hybridMultilevel"/>
    <w:lvl w:ilvl="0">
      <w:lvlJc w:val="left"/>
      <w:lvlText w:val="(%1)"/>
      <w:numFmt w:val="lowerRoman"/>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2023-11-01T06:13:23Z</dcterms:created>
  <dcterms:modified xsi:type="dcterms:W3CDTF">2023-11-01T06:13:23Z</dcterms:modified>
</cp:coreProperties>
</file>